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2019年度政务</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信息公开工作报告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仿宋_GB2312" w:hAnsi="仿宋_GB2312" w:eastAsia="仿宋_GB2312" w:cs="仿宋_GB2312"/>
          <w:sz w:val="32"/>
          <w:szCs w:val="32"/>
          <w:lang w:val="en-US" w:eastAsia="zh-CN"/>
        </w:rPr>
        <w:t>2019年，我局按照市委、市政府统一安排部署，积极开展落实政务信息公开工作，</w:t>
      </w:r>
      <w:r>
        <w:rPr>
          <w:rFonts w:hint="eastAsia" w:ascii="仿宋_GB2312" w:hAnsi="仿宋_GB2312" w:eastAsia="仿宋_GB2312" w:cs="仿宋_GB2312"/>
          <w:sz w:val="32"/>
          <w:szCs w:val="32"/>
        </w:rPr>
        <w:t>进一步扩大</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公开范围、拓宽</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公开渠道，有力</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保障了公众的知情权、监督权，也为社会各界参与环保、支持环保提供便利途径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现将我局政务信息公开情况报告如下。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eastAsia="zh-CN"/>
        </w:rPr>
        <w:sectPr>
          <w:footnotePr>
            <w:numFmt w:val="decimal"/>
          </w:footnotePr>
          <w:pgSz w:w="11905" w:h="16838"/>
          <w:pgMar w:top="1440" w:right="1797" w:bottom="1440" w:left="1797" w:header="0" w:footer="6" w:gutter="0"/>
          <w:pgNumType w:start="1"/>
          <w:cols w:space="0" w:num="1"/>
          <w:titlePg/>
          <w:rtlGutter w:val="0"/>
          <w:docGrid w:linePitch="360" w:charSpace="0"/>
        </w:sectPr>
      </w:pPr>
      <w:r>
        <w:rPr>
          <w:rFonts w:hint="eastAsia" w:ascii="仿宋_GB2312" w:hAnsi="仿宋_GB2312" w:eastAsia="仿宋_GB2312" w:cs="仿宋_GB2312"/>
          <w:b/>
          <w:bCs/>
          <w:sz w:val="32"/>
          <w:szCs w:val="32"/>
          <w:lang w:val="en-US" w:eastAsia="zh-CN"/>
        </w:rPr>
        <w:t>（一）五公开。一是决策公开。</w:t>
      </w:r>
      <w:r>
        <w:rPr>
          <w:rFonts w:hint="eastAsia" w:ascii="仿宋_GB2312" w:hAnsi="仿宋_GB2312" w:eastAsia="仿宋_GB2312" w:cs="仿宋_GB2312"/>
          <w:sz w:val="32"/>
          <w:szCs w:val="32"/>
          <w:lang w:val="en-US" w:eastAsia="zh-CN"/>
        </w:rPr>
        <w:t>2019年重大决策事项除依法需要保密外，已按要求在局网站及其他媒体平台及时对外公开。</w:t>
      </w:r>
      <w:r>
        <w:rPr>
          <w:rFonts w:hint="eastAsia" w:ascii="仿宋_GB2312" w:hAnsi="仿宋_GB2312" w:eastAsia="仿宋_GB2312" w:cs="仿宋_GB2312"/>
          <w:b/>
          <w:bCs/>
          <w:sz w:val="32"/>
          <w:szCs w:val="32"/>
          <w:lang w:val="en-US" w:eastAsia="zh-CN"/>
        </w:rPr>
        <w:t>二是执行公开。</w:t>
      </w:r>
      <w:r>
        <w:rPr>
          <w:rFonts w:hint="eastAsia" w:ascii="仿宋_GB2312" w:hAnsi="仿宋_GB2312" w:eastAsia="仿宋_GB2312" w:cs="仿宋_GB2312"/>
          <w:b w:val="0"/>
          <w:bCs w:val="0"/>
          <w:sz w:val="32"/>
          <w:szCs w:val="32"/>
          <w:lang w:val="en-US" w:eastAsia="zh-CN"/>
        </w:rPr>
        <w:t>围绕“三深化三提升”活动以及重点民生实事，开展了“万名环保干部进万企”活动，制定了《万名环保干部进万企方案》，并及时宣传活动开展的进展情况。</w:t>
      </w:r>
      <w:r>
        <w:rPr>
          <w:rFonts w:hint="eastAsia" w:ascii="仿宋_GB2312" w:hAnsi="仿宋_GB2312" w:eastAsia="仿宋_GB2312" w:cs="仿宋_GB2312"/>
          <w:b/>
          <w:bCs/>
          <w:sz w:val="32"/>
          <w:szCs w:val="32"/>
          <w:lang w:val="en-US" w:eastAsia="zh-CN"/>
        </w:rPr>
        <w:t>三是管理公开。</w:t>
      </w:r>
      <w:r>
        <w:rPr>
          <w:rFonts w:hint="eastAsia" w:ascii="仿宋_GB2312" w:hAnsi="仿宋_GB2312" w:eastAsia="仿宋_GB2312" w:cs="仿宋_GB2312"/>
          <w:sz w:val="32"/>
          <w:szCs w:val="32"/>
          <w:lang w:val="en-US" w:eastAsia="zh-CN"/>
        </w:rPr>
        <w:t>结合政府机构改革和职能优化，根据权责清单的调整情况按要求在局门户网站公开并及时更新。</w:t>
      </w:r>
      <w:r>
        <w:rPr>
          <w:rFonts w:hint="eastAsia" w:ascii="仿宋_GB2312" w:hAnsi="仿宋_GB2312" w:eastAsia="仿宋_GB2312" w:cs="仿宋_GB2312"/>
          <w:b/>
          <w:bCs/>
          <w:sz w:val="32"/>
          <w:szCs w:val="32"/>
          <w:lang w:val="en-US" w:eastAsia="zh-CN"/>
        </w:rPr>
        <w:t>四是服务公开。</w:t>
      </w:r>
      <w:r>
        <w:rPr>
          <w:rFonts w:hint="eastAsia" w:ascii="仿宋_GB2312" w:hAnsi="仿宋_GB2312" w:eastAsia="仿宋_GB2312" w:cs="仿宋_GB2312"/>
          <w:sz w:val="32"/>
          <w:szCs w:val="32"/>
          <w:lang w:val="en-US" w:eastAsia="zh-CN"/>
        </w:rPr>
        <w:t>按照河北省生态环境局和邢台市审批局相关要求，及时在河北政务服务网、邢台市生态环境局网等平台公开政务服务事项、办事指南、办理结果等信息。</w:t>
      </w:r>
      <w:r>
        <w:rPr>
          <w:rFonts w:hint="eastAsia" w:ascii="仿宋_GB2312" w:hAnsi="仿宋_GB2312" w:eastAsia="仿宋_GB2312" w:cs="仿宋_GB2312"/>
          <w:b/>
          <w:bCs/>
          <w:sz w:val="32"/>
          <w:szCs w:val="32"/>
          <w:lang w:val="en-US" w:eastAsia="zh-CN"/>
        </w:rPr>
        <w:t>五是结果公开。</w:t>
      </w:r>
      <w:r>
        <w:rPr>
          <w:rFonts w:hint="eastAsia" w:ascii="仿宋_GB2312" w:hAnsi="仿宋_GB2312" w:eastAsia="仿宋_GB2312" w:cs="仿宋_GB2312"/>
          <w:sz w:val="32"/>
          <w:szCs w:val="32"/>
          <w:lang w:val="en-US" w:eastAsia="zh-CN"/>
        </w:rPr>
        <w:t>积极落实中央、省决策部署，推进改革发展，推进邢台生态环境保护综合行政执法改革，推进沙河市玻璃产业转型升级深度治理试点工作，推进邢台市区域空间生态环境评价暨“三线一单”编制工作；今年共</w:t>
      </w:r>
      <w:r>
        <w:rPr>
          <w:rFonts w:hint="eastAsia" w:ascii="仿宋_GB2312" w:hAnsi="仿宋_GB2312" w:eastAsia="仿宋_GB2312" w:cs="仿宋_GB2312"/>
          <w:kern w:val="2"/>
          <w:sz w:val="32"/>
          <w:szCs w:val="32"/>
          <w:lang w:eastAsia="zh-CN"/>
        </w:rPr>
        <w:t>承办的人大建议、政协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sz w:val="32"/>
          <w:lang w:val="en-US" w:eastAsia="zh-CN"/>
        </w:rPr>
      </w:pPr>
      <w:r>
        <w:rPr>
          <w:rFonts w:hint="eastAsia" w:ascii="仿宋_GB2312" w:hAnsi="仿宋_GB2312" w:eastAsia="仿宋_GB2312" w:cs="仿宋_GB2312"/>
          <w:kern w:val="2"/>
          <w:sz w:val="32"/>
          <w:szCs w:val="32"/>
          <w:lang w:eastAsia="zh-CN"/>
        </w:rPr>
        <w:t>提案</w:t>
      </w:r>
      <w:r>
        <w:rPr>
          <w:rFonts w:hint="eastAsia" w:ascii="仿宋_GB2312" w:hAnsi="仿宋_GB2312" w:eastAsia="仿宋_GB2312" w:cs="仿宋_GB2312"/>
          <w:color w:val="auto"/>
          <w:kern w:val="2"/>
          <w:sz w:val="32"/>
          <w:szCs w:val="32"/>
          <w:lang w:val="en-US" w:eastAsia="zh-CN"/>
        </w:rPr>
        <w:t>53</w:t>
      </w:r>
      <w:r>
        <w:rPr>
          <w:rFonts w:hint="eastAsia" w:ascii="仿宋_GB2312" w:hAnsi="仿宋_GB2312" w:eastAsia="仿宋_GB2312" w:cs="仿宋_GB2312"/>
          <w:color w:val="auto"/>
          <w:kern w:val="2"/>
          <w:sz w:val="32"/>
          <w:szCs w:val="32"/>
          <w:lang w:eastAsia="zh-CN"/>
        </w:rPr>
        <w:t>件</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color w:val="auto"/>
          <w:kern w:val="2"/>
          <w:sz w:val="32"/>
          <w:szCs w:val="32"/>
          <w:lang w:eastAsia="zh-CN"/>
        </w:rPr>
        <w:t>主办件</w:t>
      </w:r>
      <w:r>
        <w:rPr>
          <w:rFonts w:hint="eastAsia" w:ascii="仿宋_GB2312" w:hAnsi="仿宋_GB2312" w:eastAsia="仿宋_GB2312" w:cs="仿宋_GB2312"/>
          <w:color w:val="auto"/>
          <w:kern w:val="2"/>
          <w:sz w:val="32"/>
          <w:szCs w:val="32"/>
          <w:lang w:val="en-US" w:eastAsia="zh-CN"/>
        </w:rPr>
        <w:t>40</w:t>
      </w:r>
      <w:r>
        <w:rPr>
          <w:rFonts w:hint="eastAsia" w:ascii="仿宋_GB2312" w:hAnsi="仿宋_GB2312" w:eastAsia="仿宋_GB2312" w:cs="仿宋_GB2312"/>
          <w:color w:val="auto"/>
          <w:kern w:val="2"/>
          <w:sz w:val="32"/>
          <w:szCs w:val="32"/>
          <w:lang w:eastAsia="zh-CN"/>
        </w:rPr>
        <w:t>件、会办件</w:t>
      </w:r>
      <w:r>
        <w:rPr>
          <w:rFonts w:hint="eastAsia" w:ascii="仿宋_GB2312" w:hAnsi="仿宋_GB2312" w:eastAsia="仿宋_GB2312" w:cs="仿宋_GB2312"/>
          <w:color w:val="auto"/>
          <w:kern w:val="2"/>
          <w:sz w:val="32"/>
          <w:szCs w:val="32"/>
          <w:lang w:val="en-US" w:eastAsia="zh-CN"/>
        </w:rPr>
        <w:t>13</w:t>
      </w:r>
      <w:r>
        <w:rPr>
          <w:rFonts w:hint="eastAsia" w:ascii="仿宋_GB2312" w:hAnsi="仿宋_GB2312" w:eastAsia="仿宋_GB2312" w:cs="仿宋_GB2312"/>
          <w:color w:val="auto"/>
          <w:kern w:val="2"/>
          <w:sz w:val="32"/>
          <w:szCs w:val="32"/>
          <w:lang w:eastAsia="zh-CN"/>
        </w:rPr>
        <w:t>件</w:t>
      </w:r>
      <w:r>
        <w:rPr>
          <w:rFonts w:hint="eastAsia" w:ascii="仿宋_GB2312" w:hAnsi="仿宋_GB2312" w:eastAsia="仿宋_GB2312" w:cs="仿宋_GB2312"/>
          <w:color w:val="auto"/>
          <w:kern w:val="2"/>
          <w:sz w:val="32"/>
          <w:szCs w:val="32"/>
          <w:lang w:val="en-US" w:eastAsia="zh-CN"/>
        </w:rPr>
        <w:t>)</w:t>
      </w:r>
      <w:r>
        <w:rPr>
          <w:rFonts w:hint="eastAsia" w:ascii="仿宋_GB2312" w:hAnsi="仿宋_GB2312" w:eastAsia="仿宋_GB2312" w:cs="仿宋_GB2312"/>
          <w:kern w:val="2"/>
          <w:sz w:val="32"/>
          <w:szCs w:val="20"/>
          <w:lang w:eastAsia="zh-CN"/>
        </w:rPr>
        <w:t>，</w:t>
      </w:r>
      <w:r>
        <w:rPr>
          <w:rFonts w:hint="eastAsia" w:ascii="仿宋_GB2312" w:hAnsi="仿宋_GB2312" w:eastAsia="仿宋_GB2312" w:cs="仿宋_GB2312"/>
          <w:kern w:val="2"/>
          <w:sz w:val="32"/>
          <w:szCs w:val="20"/>
        </w:rPr>
        <w:t>涉及大气污染</w:t>
      </w:r>
      <w:r>
        <w:rPr>
          <w:rFonts w:hint="eastAsia" w:ascii="仿宋_GB2312" w:hAnsi="仿宋_GB2312" w:eastAsia="仿宋_GB2312" w:cs="仿宋_GB2312"/>
          <w:kern w:val="2"/>
          <w:sz w:val="32"/>
          <w:szCs w:val="20"/>
          <w:lang w:eastAsia="zh-CN"/>
        </w:rPr>
        <w:t>防治</w:t>
      </w:r>
      <w:r>
        <w:rPr>
          <w:rFonts w:hint="eastAsia" w:ascii="仿宋_GB2312" w:hAnsi="仿宋_GB2312" w:eastAsia="仿宋_GB2312" w:cs="仿宋_GB2312"/>
          <w:kern w:val="2"/>
          <w:sz w:val="32"/>
          <w:szCs w:val="20"/>
        </w:rPr>
        <w:t>、水</w:t>
      </w:r>
      <w:r>
        <w:rPr>
          <w:rFonts w:hint="eastAsia" w:ascii="仿宋_GB2312" w:hAnsi="仿宋_GB2312" w:eastAsia="仿宋_GB2312" w:cs="仿宋_GB2312"/>
          <w:kern w:val="2"/>
          <w:sz w:val="32"/>
          <w:szCs w:val="20"/>
          <w:lang w:eastAsia="zh-CN"/>
        </w:rPr>
        <w:t>环境</w:t>
      </w:r>
      <w:r>
        <w:rPr>
          <w:rFonts w:hint="eastAsia" w:ascii="Times New Roman" w:hAnsi="Times New Roman" w:eastAsia="仿宋_GB2312" w:cs="Times New Roman"/>
          <w:kern w:val="2"/>
          <w:sz w:val="32"/>
          <w:szCs w:val="20"/>
          <w:lang w:eastAsia="zh-CN"/>
        </w:rPr>
        <w:t>综合整治</w:t>
      </w:r>
      <w:r>
        <w:rPr>
          <w:rFonts w:hint="eastAsia" w:ascii="Times New Roman" w:hAnsi="Times New Roman" w:eastAsia="仿宋_GB2312" w:cs="Times New Roman"/>
          <w:kern w:val="2"/>
          <w:sz w:val="32"/>
          <w:szCs w:val="20"/>
        </w:rPr>
        <w:t>、污染减排、生态环境保护等方面</w:t>
      </w:r>
      <w:r>
        <w:rPr>
          <w:rFonts w:hint="eastAsia" w:ascii="Times New Roman" w:hAnsi="Times New Roman" w:eastAsia="仿宋_GB2312" w:cs="Times New Roman"/>
          <w:kern w:val="2"/>
          <w:sz w:val="32"/>
          <w:szCs w:val="20"/>
          <w:lang w:eastAsia="zh-CN"/>
        </w:rPr>
        <w:t>，已</w:t>
      </w:r>
      <w:r>
        <w:rPr>
          <w:rFonts w:hint="eastAsia" w:ascii="仿宋_GB2312" w:hAnsi="仿宋_GB2312" w:eastAsia="仿宋_GB2312" w:cs="仿宋_GB2312"/>
          <w:kern w:val="2"/>
          <w:sz w:val="32"/>
          <w:szCs w:val="20"/>
          <w:lang w:eastAsia="zh-CN"/>
        </w:rPr>
        <w:t>全部按时办结，通过</w:t>
      </w:r>
      <w:r>
        <w:rPr>
          <w:rFonts w:hint="eastAsia" w:ascii="Times New Roman" w:hAnsi="Times New Roman" w:eastAsia="仿宋_GB2312" w:cs="Times New Roman"/>
          <w:kern w:val="2"/>
          <w:sz w:val="32"/>
          <w:szCs w:val="20"/>
          <w:lang w:eastAsia="zh-CN"/>
        </w:rPr>
        <w:t>走访，</w:t>
      </w:r>
      <w:r>
        <w:rPr>
          <w:rFonts w:hint="eastAsia" w:ascii="仿宋_GB2312" w:hAnsi="仿宋_GB2312" w:eastAsia="仿宋_GB2312"/>
          <w:sz w:val="32"/>
          <w:lang w:eastAsia="zh-CN"/>
        </w:rPr>
        <w:t>代表和委员满意</w:t>
      </w:r>
      <w:r>
        <w:rPr>
          <w:rFonts w:hint="eastAsia" w:ascii="仿宋_GB2312" w:hAnsi="仿宋_GB2312" w:eastAsia="仿宋_GB2312"/>
          <w:sz w:val="32"/>
          <w:lang w:val="en-US" w:eastAsia="zh-CN"/>
        </w:rPr>
        <w:t>率100%。按照应公开尽公开原则，已在局门户网站公开办理结果。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20"/>
          <w:lang w:val="en-US" w:eastAsia="zh-CN"/>
        </w:rPr>
      </w:pPr>
      <w:r>
        <w:rPr>
          <w:rFonts w:hint="eastAsia" w:ascii="仿宋_GB2312" w:hAnsi="仿宋_GB2312" w:eastAsia="仿宋_GB2312" w:cs="仿宋_GB2312"/>
          <w:b/>
          <w:bCs/>
          <w:sz w:val="32"/>
          <w:lang w:val="en-US" w:eastAsia="zh-CN"/>
        </w:rPr>
        <w:t>（二）重点领域信息公开。</w:t>
      </w:r>
      <w:r>
        <w:rPr>
          <w:rFonts w:hint="eastAsia" w:ascii="仿宋_GB2312" w:hAnsi="仿宋_GB2312" w:eastAsia="仿宋_GB2312" w:cs="仿宋_GB2312"/>
          <w:b/>
          <w:bCs/>
          <w:sz w:val="32"/>
          <w:szCs w:val="32"/>
          <w:lang w:val="en-US" w:eastAsia="zh-CN"/>
        </w:rPr>
        <w:t>一是执法公开。</w:t>
      </w:r>
      <w:r>
        <w:rPr>
          <w:rFonts w:hint="eastAsia" w:ascii="仿宋_GB2312" w:hAnsi="仿宋_GB2312" w:eastAsia="仿宋_GB2312" w:cs="仿宋_GB2312"/>
          <w:sz w:val="32"/>
          <w:szCs w:val="32"/>
          <w:lang w:val="en-US" w:eastAsia="zh-CN"/>
        </w:rPr>
        <w:t>根据职责，对环境保护领域大力推行“双随机、一公开”制度，及时公开随机抽查事项清单、抽查结果、抽查主体、依据、内容和方式；按照邢台市行政执法公示办法、行政执法全过程记录办法、重大行政执法决定法制审核办法，准确、及时公开行政执法信息。</w:t>
      </w:r>
      <w:r>
        <w:rPr>
          <w:rFonts w:hint="eastAsia" w:ascii="仿宋_GB2312" w:hAnsi="仿宋_GB2312" w:eastAsia="仿宋_GB2312" w:cs="仿宋_GB2312"/>
          <w:b/>
          <w:bCs/>
          <w:sz w:val="32"/>
          <w:szCs w:val="32"/>
          <w:lang w:val="en-US" w:eastAsia="zh-CN"/>
        </w:rPr>
        <w:t>二是财政信息公开。</w:t>
      </w:r>
      <w:r>
        <w:rPr>
          <w:rFonts w:hint="eastAsia" w:ascii="仿宋_GB2312" w:hAnsi="仿宋_GB2312" w:eastAsia="仿宋_GB2312" w:cs="仿宋_GB2312"/>
          <w:sz w:val="32"/>
          <w:szCs w:val="32"/>
          <w:lang w:val="en-US" w:eastAsia="zh-CN"/>
        </w:rPr>
        <w:t>按照要求，将《邢台市生态环境局2019年预算》及时在市政府网站和局门户网站进行公开。</w:t>
      </w:r>
      <w:r>
        <w:rPr>
          <w:rFonts w:hint="eastAsia" w:ascii="仿宋_GB2312" w:hAnsi="仿宋_GB2312" w:eastAsia="仿宋_GB2312" w:cs="仿宋_GB2312"/>
          <w:b/>
          <w:bCs/>
          <w:sz w:val="32"/>
          <w:szCs w:val="32"/>
          <w:lang w:val="en-US" w:eastAsia="zh-CN"/>
        </w:rPr>
        <w:t>三是环保领域信息公开。</w:t>
      </w:r>
      <w:r>
        <w:rPr>
          <w:rFonts w:hint="eastAsia" w:ascii="仿宋_GB2312" w:hAnsi="仿宋_GB2312" w:eastAsia="仿宋_GB2312" w:cs="仿宋_GB2312"/>
          <w:sz w:val="32"/>
          <w:szCs w:val="32"/>
          <w:lang w:val="en-US" w:eastAsia="zh-CN"/>
        </w:rPr>
        <w:t>及时将大气、水、土、环保督察、固废管理等方面的相关政策、工作信息在局门户网站、微信平台、微博平台及其他国家要求的专网平台进行公开。其中，在市政府和市生态环境保护局门户网站设立生态环境保护督察专栏，专项发布环保督察整改情况。2019年共发布中央环保督察“回头看”及大气污染问题专项督察整改信息37篇，省委省政府环保督察整改信息94篇，接受群众监督，宣传整改成效显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kern w:val="44"/>
          <w:sz w:val="32"/>
          <w:szCs w:val="32"/>
          <w:lang w:val="en-US" w:eastAsia="zh-CN" w:bidi="ar"/>
        </w:rPr>
      </w:pPr>
      <w:r>
        <w:rPr>
          <w:rFonts w:hint="eastAsia" w:ascii="仿宋_GB2312" w:hAnsi="仿宋_GB2312" w:eastAsia="仿宋_GB2312" w:cs="仿宋_GB2312"/>
          <w:b/>
          <w:bCs/>
          <w:kern w:val="2"/>
          <w:sz w:val="32"/>
          <w:szCs w:val="20"/>
          <w:lang w:val="en-US" w:eastAsia="zh-CN"/>
        </w:rPr>
        <w:t>（三）政策解读。</w:t>
      </w:r>
      <w:r>
        <w:rPr>
          <w:rFonts w:hint="eastAsia" w:ascii="仿宋_GB2312" w:hAnsi="仿宋_GB2312" w:eastAsia="仿宋_GB2312" w:cs="仿宋_GB2312"/>
          <w:b w:val="0"/>
          <w:bCs w:val="0"/>
          <w:color w:val="000000"/>
          <w:sz w:val="32"/>
          <w:szCs w:val="32"/>
          <w:lang w:val="en-US" w:eastAsia="zh-CN"/>
        </w:rPr>
        <w:t>在市局门户网站设立政策解读专栏，积极与省市媒体对接，及时刊发（播）我市环保工作政策、措施、重要时政新闻消息及重污染天气预警等信息。例如：通过政务新媒体发布“邢台市重污染天气红色预警车辆管控措施解读”、“邢台市2019年大气污染防治工作方案新闻发布会全程实录”、“《邢台市工业企业大气污染防治条例》解读”等政策及解读情况。我局</w:t>
      </w:r>
      <w:r>
        <w:rPr>
          <w:rFonts w:hint="eastAsia" w:ascii="仿宋_GB2312" w:hAnsi="仿宋_GB2312" w:eastAsia="仿宋_GB2312" w:cs="仿宋_GB2312"/>
          <w:b w:val="0"/>
          <w:bCs w:val="0"/>
          <w:color w:val="000000"/>
          <w:kern w:val="44"/>
          <w:sz w:val="32"/>
          <w:szCs w:val="32"/>
          <w:lang w:val="en-US" w:eastAsia="zh-CN" w:bidi="ar"/>
        </w:rPr>
        <w:t>通过定期召开新闻发布会和其他相关媒体对我市出台的各项环境污染治理政策文件进行解读。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color w:val="000000"/>
          <w:kern w:val="44"/>
          <w:sz w:val="32"/>
          <w:szCs w:val="32"/>
          <w:lang w:val="en-US" w:eastAsia="zh-CN" w:bidi="ar"/>
        </w:rPr>
      </w:pPr>
      <w:r>
        <w:rPr>
          <w:rFonts w:hint="eastAsia" w:ascii="仿宋_GB2312" w:hAnsi="仿宋_GB2312" w:eastAsia="仿宋_GB2312" w:cs="仿宋_GB2312"/>
          <w:b/>
          <w:bCs/>
          <w:sz w:val="32"/>
          <w:szCs w:val="32"/>
          <w:lang w:val="en-US" w:eastAsia="zh-CN"/>
        </w:rPr>
        <w:t>（四）依申请公开。一是申请渠道。</w:t>
      </w:r>
      <w:r>
        <w:rPr>
          <w:rFonts w:hint="eastAsia" w:ascii="仿宋_GB2312" w:hAnsi="仿宋_GB2312" w:eastAsia="仿宋_GB2312" w:cs="仿宋_GB2312"/>
          <w:b w:val="0"/>
          <w:bCs w:val="0"/>
          <w:sz w:val="32"/>
          <w:szCs w:val="32"/>
          <w:lang w:val="en-US" w:eastAsia="zh-CN"/>
        </w:rPr>
        <w:t>在局门户网站开设了信息公开专栏，可以根据依申请公开指南在线提交申请公开，也可以下载依申请公开表，通过电子邮件或邮寄等方式申请。</w:t>
      </w:r>
      <w:r>
        <w:rPr>
          <w:rFonts w:hint="eastAsia" w:ascii="仿宋_GB2312" w:hAnsi="仿宋_GB2312" w:eastAsia="仿宋_GB2312" w:cs="仿宋_GB2312"/>
          <w:b/>
          <w:bCs/>
          <w:sz w:val="32"/>
          <w:szCs w:val="32"/>
          <w:lang w:val="en-US" w:eastAsia="zh-CN"/>
        </w:rPr>
        <w:t>二是答复情况</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2019年共收到群众来信、当面提交等方式提交的依申请公开21件，已全部按照相关要求及时进行了答复。</w:t>
      </w:r>
      <w:r>
        <w:rPr>
          <w:rFonts w:hint="eastAsia" w:ascii="仿宋_GB2312" w:hAnsi="仿宋_GB2312" w:eastAsia="仿宋_GB2312" w:cs="仿宋_GB2312"/>
          <w:b/>
          <w:bCs/>
          <w:sz w:val="32"/>
          <w:szCs w:val="32"/>
          <w:lang w:val="en-US" w:eastAsia="zh-CN"/>
        </w:rPr>
        <w:t>三是行政复议、诉讼</w:t>
      </w:r>
      <w:r>
        <w:rPr>
          <w:rFonts w:hint="eastAsia" w:ascii="仿宋_GB2312" w:hAnsi="仿宋_GB2312" w:eastAsia="仿宋_GB2312" w:cs="仿宋_GB2312"/>
          <w:sz w:val="32"/>
          <w:szCs w:val="32"/>
          <w:lang w:val="en-US" w:eastAsia="zh-CN"/>
        </w:rPr>
        <w:t>。经过对2019年办理的行政复议和诉讼的梳理，无涉及信息公开类行政复议、诉讼案件。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5"/>
        <w:tblW w:w="9140" w:type="dxa"/>
        <w:jc w:val="center"/>
        <w:tblInd w:w="0" w:type="dxa"/>
        <w:tblLayout w:type="fixed"/>
        <w:tblCellMar>
          <w:top w:w="0" w:type="dxa"/>
          <w:left w:w="0" w:type="dxa"/>
          <w:bottom w:w="0" w:type="dxa"/>
          <w:right w:w="0" w:type="dxa"/>
        </w:tblCellMar>
      </w:tblPr>
      <w:tblGrid>
        <w:gridCol w:w="3493"/>
        <w:gridCol w:w="2103"/>
        <w:gridCol w:w="8"/>
        <w:gridCol w:w="1418"/>
        <w:gridCol w:w="2118"/>
      </w:tblGrid>
      <w:tr>
        <w:tblPrEx>
          <w:tblLayout w:type="fixed"/>
          <w:tblCellMar>
            <w:top w:w="0" w:type="dxa"/>
            <w:left w:w="0" w:type="dxa"/>
            <w:bottom w:w="0" w:type="dxa"/>
            <w:right w:w="0" w:type="dxa"/>
          </w:tblCellMar>
        </w:tblPrEx>
        <w:trPr>
          <w:trHeight w:val="436" w:hRule="atLeast"/>
          <w:jc w:val="center"/>
        </w:trPr>
        <w:tc>
          <w:tcPr>
            <w:tcW w:w="9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90"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103"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宋体" w:hAnsi="宋体" w:eastAsia="宋体" w:cs="宋体"/>
                <w:kern w:val="0"/>
                <w:sz w:val="20"/>
                <w:szCs w:val="20"/>
                <w:lang w:val="en-US" w:eastAsia="zh-CN" w:bidi="ar"/>
              </w:rPr>
              <w:t>制作数量</w:t>
            </w:r>
          </w:p>
        </w:tc>
        <w:tc>
          <w:tcPr>
            <w:tcW w:w="1426"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宋体" w:hAnsi="宋体" w:eastAsia="宋体" w:cs="宋体"/>
                <w:kern w:val="0"/>
                <w:sz w:val="20"/>
                <w:szCs w:val="20"/>
                <w:lang w:val="en-US" w:eastAsia="zh-CN" w:bidi="ar"/>
              </w:rPr>
              <w:t>公开数量</w:t>
            </w:r>
          </w:p>
        </w:tc>
        <w:tc>
          <w:tcPr>
            <w:tcW w:w="21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Layout w:type="fixed"/>
          <w:tblCellMar>
            <w:top w:w="0" w:type="dxa"/>
            <w:left w:w="0" w:type="dxa"/>
            <w:bottom w:w="0" w:type="dxa"/>
            <w:right w:w="0" w:type="dxa"/>
          </w:tblCellMar>
        </w:tblPrEx>
        <w:trPr>
          <w:trHeight w:val="433"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2103"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426"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Layout w:type="fixed"/>
          <w:tblCellMar>
            <w:top w:w="0" w:type="dxa"/>
            <w:left w:w="0" w:type="dxa"/>
            <w:bottom w:w="0" w:type="dxa"/>
            <w:right w:w="0" w:type="dxa"/>
          </w:tblCellMar>
        </w:tblPrEx>
        <w:trPr>
          <w:trHeight w:val="373"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2103"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w:t>
            </w:r>
          </w:p>
        </w:tc>
        <w:tc>
          <w:tcPr>
            <w:tcW w:w="1426"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w:t>
            </w:r>
          </w:p>
        </w:tc>
        <w:tc>
          <w:tcPr>
            <w:tcW w:w="21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w:t>
            </w:r>
          </w:p>
        </w:tc>
      </w:tr>
      <w:tr>
        <w:tblPrEx>
          <w:tblLayout w:type="fixed"/>
          <w:tblCellMar>
            <w:top w:w="0" w:type="dxa"/>
            <w:left w:w="0" w:type="dxa"/>
            <w:bottom w:w="0" w:type="dxa"/>
            <w:right w:w="0" w:type="dxa"/>
          </w:tblCellMar>
        </w:tblPrEx>
        <w:trPr>
          <w:trHeight w:val="425" w:hRule="atLeast"/>
          <w:jc w:val="center"/>
        </w:trPr>
        <w:tc>
          <w:tcPr>
            <w:tcW w:w="9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485"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103"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426"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21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0" w:type="dxa"/>
            <w:bottom w:w="0" w:type="dxa"/>
            <w:right w:w="0" w:type="dxa"/>
          </w:tblCellMar>
        </w:tblPrEx>
        <w:trPr>
          <w:trHeight w:val="448"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211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14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bookmarkStart w:id="0" w:name="_GoBack"/>
            <w:bookmarkEnd w:id="0"/>
          </w:p>
        </w:tc>
        <w:tc>
          <w:tcPr>
            <w:tcW w:w="21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352</w:t>
            </w:r>
          </w:p>
        </w:tc>
      </w:tr>
      <w:tr>
        <w:tblPrEx>
          <w:tblLayout w:type="fixed"/>
          <w:tblCellMar>
            <w:top w:w="0" w:type="dxa"/>
            <w:left w:w="0" w:type="dxa"/>
            <w:bottom w:w="0" w:type="dxa"/>
            <w:right w:w="0" w:type="dxa"/>
          </w:tblCellMar>
        </w:tblPrEx>
        <w:trPr>
          <w:trHeight w:val="453"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211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4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Layout w:type="fixed"/>
          <w:tblCellMar>
            <w:top w:w="0" w:type="dxa"/>
            <w:left w:w="0" w:type="dxa"/>
            <w:bottom w:w="0" w:type="dxa"/>
            <w:right w:w="0" w:type="dxa"/>
          </w:tblCellMar>
        </w:tblPrEx>
        <w:trPr>
          <w:trHeight w:val="90" w:hRule="atLeast"/>
          <w:jc w:val="center"/>
        </w:trPr>
        <w:tc>
          <w:tcPr>
            <w:tcW w:w="9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560"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103"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426"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21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Layout w:type="fixed"/>
          <w:tblCellMar>
            <w:top w:w="0" w:type="dxa"/>
            <w:left w:w="0" w:type="dxa"/>
            <w:bottom w:w="0" w:type="dxa"/>
            <w:right w:w="0" w:type="dxa"/>
          </w:tblCellMar>
        </w:tblPrEx>
        <w:trPr>
          <w:trHeight w:val="532"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211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16</w:t>
            </w:r>
          </w:p>
        </w:tc>
        <w:tc>
          <w:tcPr>
            <w:tcW w:w="14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21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89</w:t>
            </w:r>
          </w:p>
        </w:tc>
      </w:tr>
      <w:tr>
        <w:tblPrEx>
          <w:tblLayout w:type="fixed"/>
          <w:tblCellMar>
            <w:top w:w="0" w:type="dxa"/>
            <w:left w:w="0" w:type="dxa"/>
            <w:bottom w:w="0" w:type="dxa"/>
            <w:right w:w="0" w:type="dxa"/>
          </w:tblCellMar>
        </w:tblPrEx>
        <w:trPr>
          <w:trHeight w:val="532"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211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3</w:t>
            </w:r>
          </w:p>
        </w:tc>
        <w:tc>
          <w:tcPr>
            <w:tcW w:w="14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0</w:t>
            </w:r>
          </w:p>
        </w:tc>
        <w:tc>
          <w:tcPr>
            <w:tcW w:w="2118"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1</w:t>
            </w:r>
          </w:p>
        </w:tc>
      </w:tr>
      <w:tr>
        <w:tblPrEx>
          <w:tblLayout w:type="fixed"/>
          <w:tblCellMar>
            <w:top w:w="0" w:type="dxa"/>
            <w:left w:w="0" w:type="dxa"/>
            <w:bottom w:w="0" w:type="dxa"/>
            <w:right w:w="0" w:type="dxa"/>
          </w:tblCellMar>
        </w:tblPrEx>
        <w:trPr>
          <w:trHeight w:val="569" w:hRule="atLeast"/>
          <w:jc w:val="center"/>
        </w:trPr>
        <w:tc>
          <w:tcPr>
            <w:tcW w:w="9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532"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11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53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Layout w:type="fixed"/>
          <w:tblCellMar>
            <w:top w:w="0" w:type="dxa"/>
            <w:left w:w="0" w:type="dxa"/>
            <w:bottom w:w="0" w:type="dxa"/>
            <w:right w:w="0" w:type="dxa"/>
          </w:tblCellMar>
        </w:tblPrEx>
        <w:trPr>
          <w:trHeight w:val="472"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211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3536" w:type="dxa"/>
            <w:gridSpan w:val="2"/>
            <w:tcBorders>
              <w:top w:val="nil"/>
              <w:left w:val="nil"/>
              <w:bottom w:val="single" w:color="auto" w:sz="8" w:space="0"/>
              <w:right w:val="single" w:color="000000"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Layout w:type="fixed"/>
          <w:tblCellMar>
            <w:top w:w="0" w:type="dxa"/>
            <w:left w:w="0" w:type="dxa"/>
            <w:bottom w:w="0" w:type="dxa"/>
            <w:right w:w="0" w:type="dxa"/>
          </w:tblCellMar>
        </w:tblPrEx>
        <w:trPr>
          <w:trHeight w:val="406" w:hRule="atLeast"/>
          <w:jc w:val="center"/>
        </w:trPr>
        <w:tc>
          <w:tcPr>
            <w:tcW w:w="9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Layout w:type="fixed"/>
          <w:tblCellMar>
            <w:top w:w="0" w:type="dxa"/>
            <w:left w:w="0" w:type="dxa"/>
            <w:bottom w:w="0" w:type="dxa"/>
            <w:right w:w="0" w:type="dxa"/>
          </w:tblCellMar>
        </w:tblPrEx>
        <w:trPr>
          <w:trHeight w:val="553"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11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536"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Layout w:type="fixed"/>
          <w:tblCellMar>
            <w:top w:w="0" w:type="dxa"/>
            <w:left w:w="0" w:type="dxa"/>
            <w:bottom w:w="0" w:type="dxa"/>
            <w:right w:w="0" w:type="dxa"/>
          </w:tblCellMar>
        </w:tblPrEx>
        <w:trPr>
          <w:trHeight w:val="586" w:hRule="atLeast"/>
          <w:jc w:val="center"/>
        </w:trPr>
        <w:tc>
          <w:tcPr>
            <w:tcW w:w="349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2111" w:type="dxa"/>
            <w:gridSpan w:val="2"/>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10</w:t>
            </w:r>
          </w:p>
        </w:tc>
        <w:tc>
          <w:tcPr>
            <w:tcW w:w="3536" w:type="dxa"/>
            <w:gridSpan w:val="2"/>
            <w:tcBorders>
              <w:top w:val="nil"/>
              <w:left w:val="nil"/>
              <w:bottom w:val="single" w:color="auto" w:sz="8" w:space="0"/>
              <w:right w:val="single" w:color="000000" w:sz="8" w:space="0"/>
            </w:tcBorders>
            <w:noWrap/>
            <w:tcMar>
              <w:left w:w="108" w:type="dxa"/>
              <w:right w:w="108" w:type="dxa"/>
            </w:tcMar>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2267.2万元</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5"/>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3"/>
        <w:gridCol w:w="2086"/>
        <w:gridCol w:w="814"/>
        <w:gridCol w:w="755"/>
        <w:gridCol w:w="755"/>
        <w:gridCol w:w="813"/>
        <w:gridCol w:w="973"/>
        <w:gridCol w:w="711"/>
        <w:gridCol w:w="695"/>
      </w:tblGrid>
      <w:tr>
        <w:tblPrEx>
          <w:tblLayout w:type="fixed"/>
          <w:tblCellMar>
            <w:top w:w="0" w:type="dxa"/>
            <w:left w:w="0" w:type="dxa"/>
            <w:bottom w:w="0" w:type="dxa"/>
            <w:right w:w="0" w:type="dxa"/>
          </w:tblCellMar>
        </w:tblPrEx>
        <w:trPr>
          <w:jc w:val="center"/>
        </w:trPr>
        <w:tc>
          <w:tcPr>
            <w:tcW w:w="3555"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6"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Layout w:type="fixed"/>
          <w:tblCellMar>
            <w:top w:w="0" w:type="dxa"/>
            <w:left w:w="0" w:type="dxa"/>
            <w:bottom w:w="0" w:type="dxa"/>
            <w:right w:w="0" w:type="dxa"/>
          </w:tblCellMar>
        </w:tblPrEx>
        <w:trPr>
          <w:jc w:val="center"/>
        </w:trPr>
        <w:tc>
          <w:tcPr>
            <w:tcW w:w="355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1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1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39"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（一）予以公开</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8</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939"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7</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939"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939"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16</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1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5"/>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333333"/>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333333"/>
          <w:spacing w:val="0"/>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2020年1月22日</w:t>
      </w:r>
    </w:p>
    <w:sectPr>
      <w:footerReference r:id="rId5" w:type="first"/>
      <w:footerReference r:id="rId3" w:type="default"/>
      <w:footerReference r:id="rId4" w:type="even"/>
      <w:footnotePr>
        <w:numFmt w:val="decimal"/>
      </w:footnotePr>
      <w:pgSz w:w="11905" w:h="16838"/>
      <w:pgMar w:top="1440" w:right="1797" w:bottom="1440" w:left="1797" w:header="0" w:footer="6" w:gutter="0"/>
      <w:pgNumType w:start="2"/>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posOffset>2606675</wp:posOffset>
              </wp:positionH>
              <wp:positionV relativeFrom="paragraph">
                <wp:posOffset>-323850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25pt;margin-top:-25.5pt;height:144pt;width:144pt;mso-position-horizontal-relative:margin;mso-wrap-style:none;z-index:251661312;mso-width-relative:page;mso-height-relative:page;" filled="f" stroked="f" coordsize="21600,21600" o:gfxdata="UEsDBAoAAAAAAIdO4kAAAAAAAAAAAAAAAAAEAAAAZHJzL1BLAwQUAAAACACHTuJAoJzU1tgAAAAL&#10;AQAADwAAAGRycy9kb3ducmV2LnhtbE2Py07DMBBF90j8gzVI7Fo7fdGGOJWoCEskGhZduvGQBPyI&#10;bDcNf8+wguXMHN05t9hP1rARQ+y9k5DNBTB0jde9ayW819VsCywm5bQy3qGEb4ywL29vCpVrf3Vv&#10;OB5TyyjExVxJ6FIacs5j06FVce4HdHT78MGqRGNouQ7qSuHW8IUQG25V7+hDpwY8dNh8HS9WwqGq&#10;6zBiDOaEL9Xy8/Vphc+TlPd3mXgElnBKfzD86pM6lOR09henIzMSVplYEyphts6oFBGb3ZY2ZwmL&#10;5YMAXhb8f4fyB1BLAwQUAAAACACHTuJAm9IMLxUCAAATBAAADgAAAGRycy9lMm9Eb2MueG1srVNN&#10;jtMwFN4jcQfLe5q0DKOqajoqMypCqpiRCmLtOnZjyfazbLdJOQDcgBUb9pyr5+DZaTpohhVi43zx&#10;+//e5/lNZzQ5CB8U2IqORyUlwnKold1V9NPH1aspJSEyWzMNVlT0KAK9Wbx8MW/dTEygAV0LTzCJ&#10;DbPWVbSJ0c2KIvBGGBZG4IRFowRvWMRfvytqz1rMbnQxKcvrogVfOw9chIC3d72RLnJ+KQWP91IG&#10;EYmuKPYW8+nzuU1nsZiz2c4z1yh+boP9QxeGKYtFL6nuWGRk79WzVEZxDwFkHHEwBUipuMgz4DTj&#10;8sk0m4Y5kWdBcoK70BT+X1r+4fDgiaorekWJZQZXdPr+7fTj1+nnV3KV6GldmKHXxqFf7N5Ch2se&#10;7gNepqk76U364jwE7Uj08UKu6CLhKWg6mU5LNHG0DT+Yv3gMdz7EdwIMSaCiHreXSWWHdYi96+CS&#10;qllYKa3zBrUlbUWvX7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gnNTW2AAAAAsBAAAPAAAA&#10;AAAAAAEAIAAAACIAAABkcnMvZG93bnJldi54bWxQSwECFAAUAAAACACHTuJAm9IMLxUCAAATBAAA&#10;DgAAAAAAAAABACAAAAAnAQAAZHJzL2Uyb0RvYy54bWxQSwUGAAAAAAYABgBZAQAArg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posOffset>2597150</wp:posOffset>
              </wp:positionH>
              <wp:positionV relativeFrom="paragraph">
                <wp:posOffset>-361950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4.5pt;margin-top:-28.5pt;height:144pt;width:144pt;mso-position-horizontal-relative:margin;mso-wrap-style:none;z-index:251663360;mso-width-relative:page;mso-height-relative:page;" filled="f" stroked="f" coordsize="21600,21600" o:gfxdata="UEsDBAoAAAAAAIdO4kAAAAAAAAAAAAAAAAAEAAAAZHJzL1BLAwQUAAAACACHTuJAQIeDYNgAAAAL&#10;AQAADwAAAGRycy9kb3ducmV2LnhtbE2PwU7DMBBE70j8g7VI3Fo7bSltiFOJinBEouHQoxsvScBe&#10;R7abhr/HPcFtRjuafVPsJmvYiD70jiRkcwEMqXG6p1bCR13NNsBCVKSVcYQSfjDArry9KVSu3YXe&#10;cTzElqUSCrmS0MU45JyHpkOrwtwNSOn26bxVMVnfcu3VJZVbwxdCrLlVPaUPnRpw32HzfThbCfuq&#10;rv2IwZsjvlbLr7fnFb5MUt7fZeIJWMQp/oXhip/QoUxMJ3cmHZiRsBLbtCVKmD08JpES6+1VnCQs&#10;lpkAXhb8/4byF1BLAwQUAAAACACHTuJAXtCZFRQCAAATBAAADgAAAGRycy9lMm9Eb2MueG1srVNN&#10;jtMwFN4jcQfLe5q0qK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19M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CHg2DYAAAACwEAAA8AAAAA&#10;AAAAAQAgAAAAIgAAAGRycy9kb3ducmV2LnhtbFBLAQIUABQAAAAIAIdO4kBe0JkVFAIAABMEAAAO&#10;AAAAAAAAAAEAIAAAACcBAABkcnMvZTJvRG9jLnhtbFBLBQYAAAAABgAGAFkBAACt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posOffset>2606675</wp:posOffset>
              </wp:positionH>
              <wp:positionV relativeFrom="paragraph">
                <wp:posOffset>-304800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25pt;margin-top:-24pt;height:144pt;width:144pt;mso-position-horizontal-relative:margin;mso-wrap-style:none;z-index:251666432;mso-width-relative:page;mso-height-relative:page;" filled="f" stroked="f" coordsize="21600,21600" o:gfxdata="UEsDBAoAAAAAAIdO4kAAAAAAAAAAAAAAAAAEAAAAZHJzL1BLAwQUAAAACACHTuJAtrAXKtgAAAAL&#10;AQAADwAAAGRycy9kb3ducmV2LnhtbE2Py07DMBBF90j8gzVI7Fo7JVQhxKlERVgi0bBg6cZDEvAj&#10;st00/D3Dii5n5ujOudVusYbNGOLonYRsLYCh67weXS/hvW1WBbCYlNPKeIcSfjDCrr6+qlSp/dm9&#10;4XxIPaMQF0slYUhpKjmP3YBWxbWf0NHt0werEo2h5zqoM4VbwzdCbLlVo6MPg5pwP2D3fThZCfum&#10;bcOMMZgPfGnuvl6fcnxepLy9ycQjsIRL+ofhT5/UoSanoz85HZmRkGfinlAJq7ygUkRsHwraHCVs&#10;ciGA1xW/7FD/AlBLAwQUAAAACACHTuJAEdcmWhMCAAATBAAADgAAAGRycy9lMm9Eb2MueG1srVPL&#10;jtMwFN0j8Q+W9zRpEVVVNR2VGRUhVcxIBbF2HaeJ5Jdst0n5APgDVmzY8139Do6dpoOYWSE2zo3v&#10;85x7vLjplCRH4XxjdEHHo5wSobkpG70v6KeP61czSnxgumTSaFHQk/D0ZvnyxaK1czExtZGlcARF&#10;tJ+3tqB1CHaeZZ7XQjE/MlZoOCvjFAv4dfusdKxFdSWzSZ5Ps9a40jrDhfe4veuddJnqV5Xg4b6q&#10;vAhEFhSzhXS6dO7imS0XbL53zNYNv4zB/mEKxRqNptdSdywwcnDNk1Kq4c54U4URNyozVdVwkTAA&#10;zTj/C822ZlYkLCDH2ytN/v+V5R+OD440ZUGnlGimsKLz92/nH7/OP7+SaaSntX6OqK1FXOjemg5r&#10;Hu49LiPqrnIqfoGHwA+iT1dyRRcIj0mzyWyWw8XhG35QP3tMt86Hd8IoEo2COmwvkcqOGx/60CEk&#10;dtNm3UiZNig1aQHh9Zs8JVw9KC41ekQQ/bDRCt2uuyDbmfIEYM70yvCWrxs03zAfHpiDFDAw5B3u&#10;cVTSoIm5WJTUxn157j7GY0PwUtJCWgXV0D4l8r3G5qIKB8MNxm4w9EHdGmh1jGdjeTKR4IIczMoZ&#10;9RmaX8UecDHN0amgYTBvQy9vvBkuVqsUdLCu2dd9AnRnWdjoreWxTSTS29UhgMzEcSSoZ+XCG5SX&#10;tnR5JVHaf/6nqMe3vP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rAXKtgAAAALAQAADwAAAAAA&#10;AAABACAAAAAiAAAAZHJzL2Rvd25yZXYueG1sUEsBAhQAFAAAAAgAh07iQBHXJloTAgAAEwQAAA4A&#10;AAAAAAAAAQAgAAAAJwEAAGRycy9lMm9Eb2MueG1sUEsFBgAAAAAGAAYAWQEAAKw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30056"/>
    <w:rsid w:val="002B5EC5"/>
    <w:rsid w:val="07E30E6A"/>
    <w:rsid w:val="0BD83207"/>
    <w:rsid w:val="1777277A"/>
    <w:rsid w:val="19443ED7"/>
    <w:rsid w:val="3072641F"/>
    <w:rsid w:val="30BD4094"/>
    <w:rsid w:val="361D0CC8"/>
    <w:rsid w:val="415D0350"/>
    <w:rsid w:val="44830056"/>
    <w:rsid w:val="49EA0009"/>
    <w:rsid w:val="5A9D4803"/>
    <w:rsid w:val="5E1E6E66"/>
    <w:rsid w:val="60984AF0"/>
    <w:rsid w:val="611B3993"/>
    <w:rsid w:val="62492FC8"/>
    <w:rsid w:val="641E082D"/>
    <w:rsid w:val="677166D9"/>
    <w:rsid w:val="6B88203D"/>
    <w:rsid w:val="6DDA7AC5"/>
    <w:rsid w:val="71F06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theme/theme1.xml" Type="http://schemas.openxmlformats.org/officeDocument/2006/relationships/theme"/><Relationship Id="rId7" Target="../customXml/item1.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2020-01-10T01:05:00Z</dcterms:created>
  <dc:creator>秋</dc:creator>
  <cp:lastModifiedBy>秋</cp:lastModifiedBy>
  <cp:lastPrinted>2020-01-22T03:52:00Z</cp:lastPrinted>
  <dcterms:modified xsi:type="dcterms:W3CDTF">2021-02-23T03:53:29Z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