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jc w:val="left"/>
        <w:rPr>
          <w:rFonts w:ascii="仿宋" w:hAnsi="仿宋" w:eastAsia="仿宋" w:cs="仿宋"/>
          <w:kern w:val="0"/>
          <w:sz w:val="32"/>
          <w:szCs w:val="32"/>
          <w:shd w:val="clear" w:color="auto" w:fill="FFFFFF"/>
          <w:lang w:bidi="ar"/>
        </w:rPr>
      </w:pPr>
    </w:p>
    <w:p>
      <w:pPr>
        <w:widowControl/>
        <w:spacing w:line="480" w:lineRule="exact"/>
        <w:jc w:val="left"/>
        <w:rPr>
          <w:rFonts w:hint="eastAsia" w:ascii="仿宋" w:hAnsi="仿宋" w:eastAsia="仿宋" w:cs="仿宋"/>
          <w:kern w:val="0"/>
          <w:sz w:val="32"/>
          <w:szCs w:val="32"/>
          <w:shd w:val="clear" w:color="auto" w:fill="FFFFFF"/>
          <w:lang w:bidi="ar"/>
        </w:rPr>
      </w:pPr>
      <w:r>
        <w:rPr>
          <w:rFonts w:hint="eastAsia" w:ascii="仿宋" w:hAnsi="仿宋" w:eastAsia="仿宋" w:cs="仿宋"/>
          <w:kern w:val="0"/>
          <w:sz w:val="32"/>
          <w:szCs w:val="32"/>
          <w:shd w:val="clear" w:color="auto" w:fill="FFFFFF"/>
          <w:lang w:bidi="ar"/>
        </w:rPr>
        <w:t>附件</w:t>
      </w:r>
      <w:r>
        <w:rPr>
          <w:rFonts w:hint="eastAsia" w:ascii="仿宋" w:hAnsi="仿宋" w:eastAsia="仿宋" w:cs="仿宋"/>
          <w:kern w:val="0"/>
          <w:sz w:val="32"/>
          <w:szCs w:val="32"/>
          <w:shd w:val="clear" w:color="auto" w:fill="FFFFFF"/>
          <w:lang w:val="en-US" w:eastAsia="zh-CN" w:bidi="ar"/>
        </w:rPr>
        <w:t>5</w:t>
      </w:r>
      <w:r>
        <w:rPr>
          <w:rFonts w:hint="eastAsia" w:ascii="仿宋" w:hAnsi="仿宋" w:eastAsia="仿宋" w:cs="仿宋"/>
          <w:kern w:val="0"/>
          <w:sz w:val="32"/>
          <w:szCs w:val="32"/>
          <w:shd w:val="clear" w:color="auto" w:fill="FFFFFF"/>
          <w:lang w:bidi="ar"/>
        </w:rPr>
        <w:t>：</w:t>
      </w:r>
    </w:p>
    <w:p>
      <w:pPr>
        <w:widowControl/>
        <w:spacing w:line="480" w:lineRule="exact"/>
        <w:jc w:val="left"/>
        <w:rPr>
          <w:rFonts w:hint="eastAsia" w:ascii="仿宋" w:hAnsi="仿宋" w:eastAsia="仿宋" w:cs="仿宋"/>
          <w:kern w:val="0"/>
          <w:sz w:val="32"/>
          <w:szCs w:val="32"/>
          <w:shd w:val="clear" w:color="auto" w:fill="FFFFFF"/>
          <w:lang w:bidi="ar"/>
        </w:rPr>
      </w:pPr>
    </w:p>
    <w:p>
      <w:pPr>
        <w:spacing w:line="480" w:lineRule="exact"/>
        <w:jc w:val="both"/>
        <w:rPr>
          <w:rFonts w:hint="eastAsia" w:ascii="宋体" w:hAnsi="宋体" w:eastAsiaTheme="minorEastAsia"/>
          <w:b/>
          <w:sz w:val="44"/>
          <w:szCs w:val="44"/>
          <w:lang w:eastAsia="zh-CN"/>
        </w:rPr>
      </w:pPr>
      <w:r>
        <w:rPr>
          <w:rFonts w:hint="eastAsia" w:ascii="宋体" w:hAnsi="宋体"/>
          <w:b/>
          <w:sz w:val="44"/>
          <w:szCs w:val="44"/>
          <w:lang w:eastAsia="zh-CN"/>
        </w:rPr>
        <w:t>一、</w:t>
      </w:r>
    </w:p>
    <w:p>
      <w:pPr>
        <w:spacing w:line="480" w:lineRule="exact"/>
        <w:jc w:val="center"/>
        <w:rPr>
          <w:rFonts w:ascii="仿宋" w:hAnsi="仿宋" w:eastAsia="仿宋" w:cs="仿宋"/>
          <w:sz w:val="32"/>
          <w:szCs w:val="32"/>
        </w:rPr>
      </w:pPr>
      <w:r>
        <w:rPr>
          <w:rFonts w:hint="eastAsia" w:ascii="宋体" w:hAnsi="宋体"/>
          <w:b/>
          <w:sz w:val="44"/>
          <w:szCs w:val="44"/>
        </w:rPr>
        <w:t>部门整体支出绩效评价</w:t>
      </w:r>
      <w:r>
        <w:rPr>
          <w:rFonts w:hint="eastAsia" w:ascii="宋体" w:hAnsi="宋体" w:eastAsia="宋体" w:cs="宋体"/>
          <w:b/>
          <w:color w:val="000000"/>
          <w:kern w:val="0"/>
          <w:sz w:val="44"/>
          <w:szCs w:val="44"/>
          <w:shd w:val="clear" w:color="auto" w:fill="FFFFFF"/>
          <w:lang w:bidi="ar"/>
        </w:rPr>
        <w:t>指标体系评分表</w:t>
      </w:r>
    </w:p>
    <w:tbl>
      <w:tblPr>
        <w:tblStyle w:val="10"/>
        <w:tblW w:w="93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9"/>
        <w:gridCol w:w="743"/>
        <w:gridCol w:w="1275"/>
        <w:gridCol w:w="3436"/>
        <w:gridCol w:w="2373"/>
        <w:gridCol w:w="7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一级指标</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二级指标</w:t>
            </w:r>
          </w:p>
        </w:tc>
        <w:tc>
          <w:tcPr>
            <w:tcW w:w="4711" w:type="dxa"/>
            <w:gridSpan w:val="2"/>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三级指标</w:t>
            </w:r>
          </w:p>
        </w:tc>
        <w:tc>
          <w:tcPr>
            <w:tcW w:w="2373" w:type="dxa"/>
            <w:vMerge w:val="restart"/>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评分标准</w:t>
            </w:r>
          </w:p>
        </w:tc>
        <w:tc>
          <w:tcPr>
            <w:tcW w:w="764" w:type="dxa"/>
            <w:vMerge w:val="restart"/>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b/>
              </w:rPr>
            </w:pPr>
            <w:r>
              <w:rPr>
                <w:rFonts w:ascii="仿宋_GB2312" w:hAnsi="新宋体" w:eastAsia="仿宋_GB2312" w:cs="仿宋_GB2312"/>
                <w:b/>
                <w:kern w:val="0"/>
                <w:sz w:val="24"/>
                <w:szCs w:val="24"/>
                <w:lang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指标名称</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center"/>
              <w:rPr>
                <w:b/>
              </w:rPr>
            </w:pPr>
            <w:r>
              <w:rPr>
                <w:rFonts w:ascii="仿宋_GB2312" w:hAnsi="新宋体" w:eastAsia="仿宋_GB2312" w:cs="仿宋_GB2312"/>
                <w:b/>
                <w:kern w:val="0"/>
                <w:sz w:val="24"/>
                <w:szCs w:val="24"/>
                <w:lang w:bidi="ar"/>
              </w:rPr>
              <w:t>指标解释说明</w:t>
            </w:r>
          </w:p>
        </w:tc>
        <w:tc>
          <w:tcPr>
            <w:tcW w:w="2373" w:type="dxa"/>
            <w:vMerge w:val="continue"/>
            <w:tcBorders>
              <w:top w:val="single" w:color="000000" w:sz="4" w:space="0"/>
              <w:left w:val="single" w:color="auto" w:sz="4" w:space="0"/>
              <w:bottom w:val="single" w:color="000000" w:sz="4" w:space="0"/>
              <w:right w:val="single" w:color="auto" w:sz="4" w:space="0"/>
            </w:tcBorders>
            <w:vAlign w:val="center"/>
          </w:tcPr>
          <w:p>
            <w:pPr>
              <w:rPr>
                <w:rFonts w:ascii="宋体"/>
                <w:szCs w:val="21"/>
              </w:rPr>
            </w:pPr>
          </w:p>
        </w:tc>
        <w:tc>
          <w:tcPr>
            <w:tcW w:w="764" w:type="dxa"/>
            <w:vMerge w:val="continue"/>
            <w:tcBorders>
              <w:top w:val="single" w:color="000000" w:sz="4" w:space="0"/>
              <w:left w:val="single" w:color="auto" w:sz="4" w:space="0"/>
              <w:bottom w:val="single" w:color="000000" w:sz="4" w:space="0"/>
              <w:right w:val="single" w:color="auto" w:sz="4" w:space="0"/>
            </w:tcBorders>
            <w:vAlign w:val="center"/>
          </w:tcPr>
          <w:p>
            <w:pP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投入（1</w:t>
            </w:r>
            <w:r>
              <w:rPr>
                <w:rFonts w:hint="eastAsia" w:ascii="仿宋_GB2312" w:hAnsi="新宋体" w:eastAsia="仿宋_GB2312" w:cs="仿宋_GB2312"/>
                <w:kern w:val="0"/>
                <w:szCs w:val="21"/>
                <w:lang w:bidi="ar"/>
              </w:rPr>
              <w:t>0</w:t>
            </w:r>
            <w:r>
              <w:rPr>
                <w:rFonts w:ascii="仿宋_GB2312" w:hAnsi="新宋体" w:eastAsia="仿宋_GB2312" w:cs="仿宋_GB2312"/>
                <w:kern w:val="0"/>
                <w:szCs w:val="21"/>
                <w:lang w:bidi="ar"/>
              </w:rPr>
              <w:t>）</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hint="eastAsia" w:ascii="仿宋_GB2312" w:hAnsi="新宋体" w:eastAsia="仿宋_GB2312" w:cs="仿宋_GB2312"/>
                <w:kern w:val="0"/>
                <w:szCs w:val="21"/>
                <w:lang w:bidi="ar"/>
              </w:rPr>
              <w:t>绩效</w:t>
            </w:r>
            <w:r>
              <w:rPr>
                <w:rFonts w:ascii="仿宋_GB2312" w:hAnsi="新宋体" w:eastAsia="仿宋_GB2312" w:cs="仿宋_GB2312"/>
                <w:kern w:val="0"/>
                <w:szCs w:val="21"/>
                <w:lang w:bidi="ar"/>
              </w:rPr>
              <w:t>目标设定</w:t>
            </w:r>
            <w:r>
              <w:rPr>
                <w:rFonts w:hint="eastAsia" w:ascii="仿宋_GB2312" w:hAnsi="新宋体" w:eastAsia="仿宋_GB2312" w:cs="仿宋_GB2312"/>
                <w:kern w:val="0"/>
                <w:szCs w:val="21"/>
                <w:lang w:bidi="ar"/>
              </w:rPr>
              <w:t>情况</w:t>
            </w:r>
          </w:p>
          <w:p>
            <w:pPr>
              <w:widowControl/>
              <w:spacing w:line="240" w:lineRule="exact"/>
              <w:jc w:val="left"/>
              <w:rPr>
                <w:color w:val="FF0000"/>
                <w:szCs w:val="21"/>
              </w:rPr>
            </w:pPr>
            <w:r>
              <w:rPr>
                <w:rFonts w:ascii="仿宋_GB2312" w:hAnsi="新宋体" w:eastAsia="仿宋_GB2312" w:cs="仿宋_GB2312"/>
                <w:kern w:val="0"/>
                <w:szCs w:val="21"/>
                <w:lang w:bidi="ar"/>
              </w:rPr>
              <w:t>（5</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1275" w:type="dxa"/>
            <w:tcBorders>
              <w:top w:val="single" w:color="000000" w:sz="4" w:space="0"/>
              <w:left w:val="single" w:color="000000"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职责明确</w:t>
            </w:r>
            <w:r>
              <w:rPr>
                <w:rFonts w:hint="eastAsia" w:ascii="仿宋_GB2312" w:hAnsi="新宋体" w:eastAsia="仿宋_GB2312" w:cs="仿宋_GB2312"/>
                <w:kern w:val="0"/>
                <w:szCs w:val="21"/>
                <w:lang w:bidi="ar"/>
              </w:rPr>
              <w:t xml:space="preserve"> </w:t>
            </w:r>
            <w:r>
              <w:rPr>
                <w:rFonts w:ascii="仿宋_GB2312" w:hAnsi="新宋体" w:eastAsia="仿宋_GB2312" w:cs="仿宋_GB2312"/>
                <w:kern w:val="0"/>
                <w:szCs w:val="21"/>
                <w:lang w:bidi="ar"/>
              </w:rPr>
              <w:t>（1</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部门的职责设定是否符合“三定”方案中所赋予的职责，用以反映和评价部门工作的目的性与计划性。</w:t>
            </w:r>
          </w:p>
        </w:tc>
        <w:tc>
          <w:tcPr>
            <w:tcW w:w="2373"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符合（1）；</w:t>
            </w:r>
          </w:p>
          <w:p>
            <w:pPr>
              <w:widowControl/>
              <w:spacing w:line="240" w:lineRule="exact"/>
              <w:jc w:val="left"/>
              <w:rPr>
                <w:szCs w:val="21"/>
              </w:rPr>
            </w:pPr>
            <w:r>
              <w:rPr>
                <w:rFonts w:ascii="仿宋_GB2312" w:hAnsi="新宋体" w:eastAsia="仿宋_GB2312" w:cs="仿宋_GB2312"/>
                <w:kern w:val="0"/>
                <w:szCs w:val="21"/>
                <w:lang w:bidi="ar"/>
              </w:rPr>
              <w:t>不符合（0）。</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34"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活动合规性（2</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部门的活动是否在职责范围之内并符合部门中长期规划，用以反映和评价部门活动目标与部门履职、年度工作任务的相符性情况。</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1.部门活动的设定在部门所确定的职责范围之内；</w:t>
            </w:r>
          </w:p>
          <w:p>
            <w:pPr>
              <w:widowControl/>
              <w:spacing w:line="240" w:lineRule="exact"/>
              <w:jc w:val="left"/>
              <w:rPr>
                <w:szCs w:val="21"/>
              </w:rPr>
            </w:pPr>
            <w:r>
              <w:rPr>
                <w:rFonts w:ascii="仿宋_GB2312" w:hAnsi="新宋体" w:eastAsia="仿宋_GB2312" w:cs="仿宋_GB2312"/>
                <w:kern w:val="0"/>
                <w:szCs w:val="21"/>
                <w:lang w:bidi="ar"/>
              </w:rPr>
              <w:t>2.部门活动符合</w:t>
            </w:r>
            <w:r>
              <w:rPr>
                <w:rFonts w:hint="eastAsia" w:ascii="仿宋_GB2312" w:hAnsi="新宋体" w:eastAsia="仿宋_GB2312" w:cs="仿宋_GB2312"/>
                <w:kern w:val="0"/>
                <w:szCs w:val="21"/>
                <w:lang w:bidi="ar"/>
              </w:rPr>
              <w:t>市</w:t>
            </w:r>
            <w:r>
              <w:rPr>
                <w:rFonts w:ascii="仿宋_GB2312" w:hAnsi="新宋体" w:eastAsia="仿宋_GB2312" w:cs="仿宋_GB2312"/>
                <w:kern w:val="0"/>
                <w:szCs w:val="21"/>
                <w:lang w:bidi="ar"/>
              </w:rPr>
              <w:t>委、</w:t>
            </w:r>
            <w:r>
              <w:rPr>
                <w:rFonts w:hint="eastAsia" w:ascii="仿宋_GB2312" w:hAnsi="新宋体" w:eastAsia="仿宋_GB2312" w:cs="仿宋_GB2312"/>
                <w:kern w:val="0"/>
                <w:szCs w:val="21"/>
                <w:lang w:bidi="ar"/>
              </w:rPr>
              <w:t>市</w:t>
            </w:r>
            <w:r>
              <w:rPr>
                <w:rFonts w:ascii="仿宋_GB2312" w:hAnsi="新宋体" w:eastAsia="仿宋_GB2312" w:cs="仿宋_GB2312"/>
                <w:kern w:val="0"/>
                <w:szCs w:val="21"/>
                <w:lang w:bidi="ar"/>
              </w:rPr>
              <w:t>政府的发展规划及本部门的年度工作安排与发展规划。</w:t>
            </w:r>
          </w:p>
        </w:tc>
        <w:tc>
          <w:tcPr>
            <w:tcW w:w="2373"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全部符合（2）；</w:t>
            </w:r>
          </w:p>
          <w:p>
            <w:pPr>
              <w:widowControl/>
              <w:spacing w:line="240" w:lineRule="exact"/>
              <w:jc w:val="left"/>
              <w:rPr>
                <w:szCs w:val="21"/>
              </w:rPr>
            </w:pPr>
            <w:r>
              <w:rPr>
                <w:rFonts w:ascii="仿宋_GB2312" w:hAnsi="新宋体" w:eastAsia="仿宋_GB2312" w:cs="仿宋_GB2312"/>
                <w:kern w:val="0"/>
                <w:szCs w:val="21"/>
                <w:lang w:bidi="ar"/>
              </w:rPr>
              <w:t>其中一项不符合（0）。</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活动合理性（2</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部门所设立的活动是否明确合理、活动的关键性指标设置是否可衡量，用以反映和评价部门活动目标设定的合理性。</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1.活动目标的设定是可量化的，可通过清晰、可衡量的关键指标值予以体现；</w:t>
            </w:r>
          </w:p>
          <w:p>
            <w:pPr>
              <w:widowControl/>
              <w:spacing w:line="240" w:lineRule="exact"/>
              <w:jc w:val="left"/>
              <w:rPr>
                <w:szCs w:val="21"/>
              </w:rPr>
            </w:pPr>
            <w:r>
              <w:rPr>
                <w:rFonts w:ascii="仿宋_GB2312" w:hAnsi="新宋体" w:eastAsia="仿宋_GB2312" w:cs="仿宋_GB2312"/>
                <w:kern w:val="0"/>
                <w:szCs w:val="21"/>
                <w:lang w:bidi="ar"/>
              </w:rPr>
              <w:t>2.在活动目标设定时，将关键指标明细分解为具体的达成目标与工作任务。</w:t>
            </w:r>
          </w:p>
        </w:tc>
        <w:tc>
          <w:tcPr>
            <w:tcW w:w="2373"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全部符合（2）；</w:t>
            </w:r>
          </w:p>
          <w:p>
            <w:pPr>
              <w:widowControl/>
              <w:spacing w:line="240" w:lineRule="exact"/>
              <w:jc w:val="left"/>
              <w:rPr>
                <w:szCs w:val="21"/>
              </w:rPr>
            </w:pPr>
            <w:r>
              <w:rPr>
                <w:rFonts w:ascii="仿宋_GB2312" w:hAnsi="新宋体" w:eastAsia="仿宋_GB2312" w:cs="仿宋_GB2312"/>
                <w:kern w:val="0"/>
                <w:szCs w:val="21"/>
                <w:lang w:bidi="ar"/>
              </w:rPr>
              <w:t>其中一项不符合（0）。</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restart"/>
            <w:tcBorders>
              <w:top w:val="single" w:color="000000" w:sz="4" w:space="0"/>
              <w:left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预算配置</w:t>
            </w:r>
            <w:r>
              <w:rPr>
                <w:rFonts w:hint="eastAsia" w:ascii="仿宋_GB2312" w:hAnsi="新宋体" w:eastAsia="仿宋_GB2312" w:cs="仿宋_GB2312"/>
                <w:kern w:val="0"/>
                <w:szCs w:val="21"/>
                <w:lang w:bidi="ar"/>
              </w:rPr>
              <w:t>情况</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5分</w:t>
            </w:r>
            <w:r>
              <w:rPr>
                <w:rFonts w:ascii="仿宋_GB2312" w:hAnsi="新宋体" w:eastAsia="仿宋_GB2312" w:cs="仿宋_GB2312"/>
                <w:kern w:val="0"/>
                <w:szCs w:val="21"/>
                <w:lang w:bidi="ar"/>
              </w:rPr>
              <w:t>)</w:t>
            </w:r>
          </w:p>
        </w:tc>
        <w:tc>
          <w:tcPr>
            <w:tcW w:w="1275" w:type="dxa"/>
            <w:tcBorders>
              <w:top w:val="single" w:color="auto" w:sz="4" w:space="0"/>
              <w:left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在职人员控制率（</w:t>
            </w:r>
            <w:r>
              <w:rPr>
                <w:rFonts w:hint="eastAsia" w:ascii="仿宋_GB2312" w:hAnsi="新宋体" w:eastAsia="仿宋_GB2312" w:cs="仿宋_GB2312"/>
                <w:kern w:val="0"/>
                <w:szCs w:val="21"/>
                <w:lang w:bidi="ar"/>
              </w:rPr>
              <w:t>1分</w:t>
            </w:r>
            <w:r>
              <w:rPr>
                <w:rFonts w:ascii="仿宋_GB2312" w:hAnsi="新宋体" w:eastAsia="仿宋_GB2312" w:cs="仿宋_GB2312"/>
                <w:kern w:val="0"/>
                <w:szCs w:val="21"/>
                <w:lang w:bidi="ar"/>
              </w:rPr>
              <w:t>）</w:t>
            </w:r>
          </w:p>
        </w:tc>
        <w:tc>
          <w:tcPr>
            <w:tcW w:w="3436" w:type="dxa"/>
            <w:tcBorders>
              <w:top w:val="single" w:color="auto"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部门本年度实际在职人员数与编制数的比率，用以反映和评价部门对人员成本的控制程度。</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在职人员控制率=（在职人员数/编制数）×100%。</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在职人员数：部门实际在职人数，以财政部确定的部门决算编制口径为准，由编制部门和人劳部门批复同意的临聘人员除外。</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编制数：机构编制部门核定批复的部门人员编制数。</w:t>
            </w:r>
          </w:p>
        </w:tc>
        <w:tc>
          <w:tcPr>
            <w:tcW w:w="2373" w:type="dxa"/>
            <w:tcBorders>
              <w:top w:val="single" w:color="auto"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1.在职人员控制率小于或等于100%的，得满分；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2.在职人员控制率大于或等于115%的，得0分；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3.在职人员控制率在100%-115%之间的，在0分和满分之间计算确定：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得分=[max（在职人员控制率）－某部门在职人员控制率]/[max（在职人员控制率）－min（在职人员控制率）]×该指标分值。</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79" w:type="dxa"/>
            <w:vMerge w:val="restart"/>
            <w:tcBorders>
              <w:top w:val="single" w:color="000000" w:sz="4" w:space="0"/>
              <w:left w:val="single" w:color="000000" w:sz="4" w:space="0"/>
              <w:right w:val="single" w:color="000000" w:sz="4" w:space="0"/>
            </w:tcBorders>
            <w:vAlign w:val="center"/>
          </w:tcPr>
          <w:p>
            <w:pPr>
              <w:spacing w:line="240" w:lineRule="exact"/>
              <w:rPr>
                <w:rFonts w:ascii="宋体"/>
                <w:szCs w:val="21"/>
              </w:rPr>
            </w:pPr>
          </w:p>
        </w:tc>
        <w:tc>
          <w:tcPr>
            <w:tcW w:w="743"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1275" w:type="dxa"/>
            <w:tcBorders>
              <w:top w:val="single" w:color="auto" w:sz="4" w:space="0"/>
              <w:left w:val="single" w:color="000000" w:sz="4" w:space="0"/>
              <w:right w:val="single" w:color="auto" w:sz="4" w:space="0"/>
            </w:tcBorders>
            <w:vAlign w:val="center"/>
          </w:tcPr>
          <w:p>
            <w:pPr>
              <w:widowControl/>
              <w:spacing w:line="240" w:lineRule="exact"/>
              <w:jc w:val="left"/>
              <w:textAlignment w:val="center"/>
              <w:rPr>
                <w:rFonts w:ascii="仿宋" w:hAnsi="仿宋" w:eastAsia="仿宋" w:cs="仿宋"/>
                <w:kern w:val="0"/>
                <w:szCs w:val="21"/>
                <w:lang w:bidi="ar"/>
              </w:rPr>
            </w:pPr>
            <w:r>
              <w:rPr>
                <w:rFonts w:hint="eastAsia" w:ascii="仿宋" w:hAnsi="仿宋" w:eastAsia="仿宋" w:cs="仿宋"/>
                <w:color w:val="000000"/>
                <w:kern w:val="0"/>
                <w:szCs w:val="21"/>
                <w:lang w:bidi="ar"/>
              </w:rPr>
              <w:t>“三公经费”变动率（2分）</w:t>
            </w:r>
          </w:p>
        </w:tc>
        <w:tc>
          <w:tcPr>
            <w:tcW w:w="3436" w:type="dxa"/>
            <w:tcBorders>
              <w:top w:val="single" w:color="auto" w:sz="4" w:space="0"/>
              <w:left w:val="single" w:color="auto" w:sz="4" w:space="0"/>
              <w:right w:val="single" w:color="auto" w:sz="4" w:space="0"/>
            </w:tcBorders>
            <w:vAlign w:val="center"/>
          </w:tcPr>
          <w:p>
            <w:pPr>
              <w:widowControl/>
              <w:spacing w:line="240" w:lineRule="exact"/>
              <w:jc w:val="left"/>
              <w:textAlignment w:val="center"/>
              <w:rPr>
                <w:rFonts w:ascii="仿宋" w:hAnsi="仿宋" w:eastAsia="仿宋" w:cs="仿宋"/>
                <w:kern w:val="0"/>
                <w:szCs w:val="21"/>
                <w:lang w:bidi="ar"/>
              </w:rPr>
            </w:pPr>
            <w:r>
              <w:rPr>
                <w:rFonts w:hint="eastAsia" w:ascii="仿宋" w:hAnsi="仿宋" w:eastAsia="仿宋" w:cs="仿宋"/>
                <w:color w:val="000000"/>
                <w:kern w:val="0"/>
                <w:szCs w:val="21"/>
                <w:lang w:bidi="ar"/>
              </w:rPr>
              <w:t>部门本年度“三公经费”预算数与上年度“三公经费”预算数的变动比率，用以反映和考核部门对控制重点行政成本的努力程度。“三公经费”变动率=[（本年度“三公经费”总额-上年度“三公经费”总额）/上年度“三公经费”总额]×100%。</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“三公经费”：年度预算安排的因公出国（境）费、公务车辆购置及运行费和公务招待费。</w:t>
            </w:r>
          </w:p>
        </w:tc>
        <w:tc>
          <w:tcPr>
            <w:tcW w:w="2373" w:type="dxa"/>
            <w:tcBorders>
              <w:top w:val="single" w:color="auto"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小于或等于</w:t>
            </w:r>
            <w:r>
              <w:rPr>
                <w:rFonts w:hint="eastAsia" w:ascii="仿宋_GB2312" w:hAnsi="新宋体" w:eastAsia="仿宋_GB2312" w:cs="仿宋_GB2312"/>
                <w:kern w:val="0"/>
                <w:szCs w:val="21"/>
                <w:lang w:bidi="ar"/>
              </w:rPr>
              <w:t>-5</w:t>
            </w:r>
            <w:r>
              <w:rPr>
                <w:rFonts w:ascii="仿宋_GB2312" w:hAnsi="新宋体" w:eastAsia="仿宋_GB2312" w:cs="仿宋_GB2312"/>
                <w:kern w:val="0"/>
                <w:szCs w:val="21"/>
                <w:lang w:bidi="ar"/>
              </w:rPr>
              <w:t>%的，得满分；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大于或等于1</w:t>
            </w:r>
            <w:r>
              <w:rPr>
                <w:rFonts w:hint="eastAsia" w:ascii="仿宋_GB2312" w:hAnsi="新宋体" w:eastAsia="仿宋_GB2312" w:cs="仿宋_GB2312"/>
                <w:kern w:val="0"/>
                <w:szCs w:val="21"/>
                <w:lang w:bidi="ar"/>
              </w:rPr>
              <w:t>0</w:t>
            </w:r>
            <w:r>
              <w:rPr>
                <w:rFonts w:ascii="仿宋_GB2312" w:hAnsi="新宋体" w:eastAsia="仿宋_GB2312" w:cs="仿宋_GB2312"/>
                <w:kern w:val="0"/>
                <w:szCs w:val="21"/>
                <w:lang w:bidi="ar"/>
              </w:rPr>
              <w:t>%的，得0分；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3.在职人员控制率在</w:t>
            </w:r>
            <w:r>
              <w:rPr>
                <w:rFonts w:hint="eastAsia" w:ascii="仿宋_GB2312" w:hAnsi="新宋体" w:eastAsia="仿宋_GB2312" w:cs="仿宋_GB2312"/>
                <w:kern w:val="0"/>
                <w:szCs w:val="21"/>
                <w:lang w:bidi="ar"/>
              </w:rPr>
              <w:t>-5</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10</w:t>
            </w:r>
            <w:r>
              <w:rPr>
                <w:rFonts w:ascii="仿宋_GB2312" w:hAnsi="新宋体" w:eastAsia="仿宋_GB2312" w:cs="仿宋_GB2312"/>
                <w:kern w:val="0"/>
                <w:szCs w:val="21"/>
                <w:lang w:bidi="ar"/>
              </w:rPr>
              <w:t>%之间的，在0分和满分之间计算确定：</w:t>
            </w:r>
          </w:p>
          <w:p>
            <w:pPr>
              <w:widowControl/>
              <w:spacing w:line="240" w:lineRule="exact"/>
              <w:jc w:val="left"/>
              <w:textAlignment w:val="center"/>
              <w:rPr>
                <w:rFonts w:ascii="仿宋" w:hAnsi="仿宋" w:eastAsia="仿宋" w:cs="仿宋"/>
                <w:kern w:val="0"/>
                <w:szCs w:val="21"/>
                <w:lang w:bidi="ar"/>
              </w:rPr>
            </w:pPr>
            <w:r>
              <w:rPr>
                <w:rFonts w:ascii="仿宋_GB2312" w:hAnsi="新宋体" w:eastAsia="仿宋_GB2312" w:cs="仿宋_GB2312"/>
                <w:kern w:val="0"/>
                <w:szCs w:val="21"/>
                <w:lang w:bidi="ar"/>
              </w:rPr>
              <w:t>得分=[max（</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]/[max（</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）－min（</w:t>
            </w:r>
            <w:r>
              <w:rPr>
                <w:rFonts w:hint="eastAsia" w:ascii="仿宋" w:hAnsi="仿宋" w:eastAsia="仿宋" w:cs="仿宋"/>
                <w:color w:val="000000"/>
                <w:kern w:val="0"/>
                <w:szCs w:val="21"/>
                <w:lang w:bidi="ar"/>
              </w:rPr>
              <w:t>“三公经费”变动率</w:t>
            </w:r>
            <w:r>
              <w:rPr>
                <w:rFonts w:ascii="仿宋_GB2312" w:hAnsi="新宋体" w:eastAsia="仿宋_GB2312" w:cs="仿宋_GB2312"/>
                <w:kern w:val="0"/>
                <w:szCs w:val="21"/>
                <w:lang w:bidi="ar"/>
              </w:rPr>
              <w:t>）]×该指标分值。</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79" w:type="dxa"/>
            <w:vMerge w:val="continue"/>
            <w:tcBorders>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left w:val="single" w:color="000000" w:sz="4" w:space="0"/>
              <w:bottom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1275" w:type="dxa"/>
            <w:tcBorders>
              <w:top w:val="single" w:color="auto" w:sz="4" w:space="0"/>
              <w:left w:val="single" w:color="000000" w:sz="4" w:space="0"/>
              <w:right w:val="single" w:color="auto" w:sz="4" w:space="0"/>
            </w:tcBorders>
            <w:vAlign w:val="center"/>
          </w:tcPr>
          <w:p>
            <w:pPr>
              <w:widowControl/>
              <w:spacing w:line="240" w:lineRule="exact"/>
              <w:jc w:val="left"/>
              <w:textAlignment w:val="center"/>
              <w:rPr>
                <w:rFonts w:ascii="仿宋" w:hAnsi="仿宋" w:eastAsia="仿宋" w:cs="仿宋"/>
                <w:kern w:val="0"/>
                <w:szCs w:val="21"/>
                <w:lang w:bidi="ar"/>
              </w:rPr>
            </w:pPr>
            <w:r>
              <w:rPr>
                <w:rFonts w:hint="eastAsia" w:ascii="仿宋" w:hAnsi="仿宋" w:eastAsia="仿宋" w:cs="仿宋"/>
                <w:color w:val="000000"/>
                <w:kern w:val="0"/>
                <w:szCs w:val="21"/>
                <w:lang w:bidi="ar"/>
              </w:rPr>
              <w:t>重点支出安排率（2分）</w:t>
            </w:r>
          </w:p>
        </w:tc>
        <w:tc>
          <w:tcPr>
            <w:tcW w:w="3436" w:type="dxa"/>
            <w:tcBorders>
              <w:top w:val="single" w:color="auto" w:sz="4" w:space="0"/>
              <w:left w:val="single" w:color="auto" w:sz="4" w:space="0"/>
              <w:right w:val="single" w:color="auto" w:sz="4" w:space="0"/>
            </w:tcBorders>
            <w:vAlign w:val="center"/>
          </w:tcPr>
          <w:p>
            <w:pPr>
              <w:widowControl/>
              <w:spacing w:line="240" w:lineRule="exact"/>
              <w:jc w:val="left"/>
              <w:textAlignment w:val="center"/>
              <w:rPr>
                <w:rFonts w:ascii="仿宋" w:hAnsi="仿宋" w:eastAsia="仿宋" w:cs="仿宋"/>
                <w:kern w:val="0"/>
                <w:szCs w:val="21"/>
                <w:lang w:bidi="ar"/>
              </w:rPr>
            </w:pPr>
            <w:r>
              <w:rPr>
                <w:rFonts w:hint="eastAsia" w:ascii="仿宋" w:hAnsi="仿宋" w:eastAsia="仿宋" w:cs="仿宋"/>
                <w:color w:val="000000"/>
                <w:kern w:val="0"/>
                <w:szCs w:val="21"/>
                <w:lang w:bidi="ar"/>
              </w:rPr>
              <w:t>部门本年度预算安排的重点项目支出与部门项目总支出的比率，用以反映和考核部门对履行主要职责或完成重点任务的保障程度。重点支出安排率=（重点项目支出/项目总支出）×100%。</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重点项目支出：部门（单位）年度预算安排的，与本部门履职和发展密切相关、具有明显社会和经济影响、党委政府关心或社会比较关注的项目支出总额。</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项目总支出：部门（单位）年度预算安排的项目支出总额。</w:t>
            </w:r>
          </w:p>
        </w:tc>
        <w:tc>
          <w:tcPr>
            <w:tcW w:w="2373" w:type="dxa"/>
            <w:tcBorders>
              <w:top w:val="single" w:color="auto"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大于或等于95%的，得满分；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小于或等于85%的，得0分；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在85%-95%之间的，在0分和满分之间计算确定：</w:t>
            </w:r>
          </w:p>
          <w:p>
            <w:pPr>
              <w:widowControl/>
              <w:spacing w:line="240" w:lineRule="exact"/>
              <w:jc w:val="left"/>
              <w:textAlignment w:val="center"/>
              <w:rPr>
                <w:rFonts w:ascii="仿宋" w:hAnsi="仿宋" w:eastAsia="仿宋" w:cs="仿宋"/>
                <w:kern w:val="0"/>
                <w:szCs w:val="21"/>
                <w:lang w:bidi="ar"/>
              </w:rPr>
            </w:pPr>
            <w:r>
              <w:rPr>
                <w:rFonts w:ascii="仿宋_GB2312" w:hAnsi="新宋体" w:eastAsia="仿宋_GB2312" w:cs="仿宋_GB2312"/>
                <w:kern w:val="0"/>
                <w:szCs w:val="21"/>
                <w:lang w:bidi="ar"/>
              </w:rPr>
              <w:t>得分=[某部门</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-min（</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）]/[max（</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）－min（</w:t>
            </w:r>
            <w:r>
              <w:rPr>
                <w:rFonts w:hint="eastAsia" w:ascii="仿宋" w:hAnsi="仿宋" w:eastAsia="仿宋" w:cs="仿宋"/>
                <w:color w:val="000000"/>
                <w:kern w:val="0"/>
                <w:szCs w:val="21"/>
                <w:lang w:bidi="ar"/>
              </w:rPr>
              <w:t>重点支出安排率</w:t>
            </w:r>
            <w:r>
              <w:rPr>
                <w:rFonts w:ascii="仿宋_GB2312" w:hAnsi="新宋体" w:eastAsia="仿宋_GB2312" w:cs="仿宋_GB2312"/>
                <w:kern w:val="0"/>
                <w:szCs w:val="21"/>
                <w:lang w:bidi="ar"/>
              </w:rPr>
              <w:t>）]×该指标分值。</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过程(</w:t>
            </w:r>
            <w:r>
              <w:rPr>
                <w:rFonts w:hint="eastAsia" w:ascii="仿宋_GB2312" w:hAnsi="新宋体" w:eastAsia="仿宋_GB2312" w:cs="仿宋_GB2312"/>
                <w:kern w:val="0"/>
                <w:szCs w:val="21"/>
                <w:lang w:bidi="ar"/>
              </w:rPr>
              <w:t>45分</w:t>
            </w:r>
            <w:r>
              <w:rPr>
                <w:rFonts w:ascii="仿宋_GB2312" w:hAnsi="新宋体" w:eastAsia="仿宋_GB2312" w:cs="仿宋_GB2312"/>
                <w:kern w:val="0"/>
                <w:szCs w:val="21"/>
                <w:lang w:bidi="ar"/>
              </w:rPr>
              <w:t>)</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预算执行</w:t>
            </w:r>
            <w:r>
              <w:rPr>
                <w:rFonts w:hint="eastAsia" w:ascii="仿宋_GB2312" w:hAnsi="新宋体" w:eastAsia="仿宋_GB2312" w:cs="仿宋_GB2312"/>
                <w:kern w:val="0"/>
                <w:szCs w:val="21"/>
                <w:lang w:bidi="ar"/>
              </w:rPr>
              <w:t>情况</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25分</w:t>
            </w:r>
            <w:r>
              <w:rPr>
                <w:rFonts w:ascii="仿宋_GB2312" w:hAnsi="新宋体" w:eastAsia="仿宋_GB2312" w:cs="仿宋_GB2312"/>
                <w:kern w:val="0"/>
                <w:szCs w:val="21"/>
                <w:lang w:bidi="ar"/>
              </w:rPr>
              <w:t>)</w:t>
            </w: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预算完成率（5</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通过对部门本年度预算完成数与预算数的比较，反映和评价部门预算的完成程度。</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预算完成率=（预算完成数/预算数）×100%。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1.预算完成率大于或等于95%的，得满分；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2.预算完成率小于或等于85%的，得0分；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3.预算完成率在85%-95%之间的，在0分和满分之间计算确定：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得分=[某部门预算完成率-min（预算完成率）]/[max（预算完成率）－min（预算完成率）]×该指标分值。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预算调整率（</w:t>
            </w:r>
            <w:r>
              <w:rPr>
                <w:rFonts w:hint="eastAsia" w:ascii="仿宋_GB2312" w:hAnsi="新宋体" w:eastAsia="仿宋_GB2312" w:cs="仿宋_GB2312"/>
                <w:kern w:val="0"/>
                <w:szCs w:val="21"/>
                <w:lang w:bidi="ar"/>
              </w:rPr>
              <w:t>3分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部门本年度预算调整数与预算数的比率，用以反映和评价部门预算的调整程度。</w:t>
            </w:r>
          </w:p>
          <w:p>
            <w:pPr>
              <w:widowControl/>
              <w:spacing w:line="240" w:lineRule="exact"/>
              <w:jc w:val="left"/>
              <w:rPr>
                <w:szCs w:val="21"/>
              </w:rPr>
            </w:pPr>
            <w:r>
              <w:rPr>
                <w:rFonts w:ascii="仿宋_GB2312" w:hAnsi="新宋体" w:eastAsia="仿宋_GB2312" w:cs="仿宋_GB2312"/>
                <w:kern w:val="0"/>
                <w:szCs w:val="21"/>
                <w:lang w:bidi="ar"/>
              </w:rPr>
              <w:t>预算调整率=（预算调整数/预算数）×100%。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 xml:space="preserve">1.预算调整率等于0的，得满分； </w:t>
            </w:r>
          </w:p>
          <w:p>
            <w:pPr>
              <w:widowControl/>
              <w:spacing w:line="240" w:lineRule="exact"/>
              <w:jc w:val="left"/>
              <w:rPr>
                <w:szCs w:val="21"/>
              </w:rPr>
            </w:pPr>
            <w:r>
              <w:rPr>
                <w:rFonts w:ascii="仿宋_GB2312" w:hAnsi="新宋体" w:eastAsia="仿宋_GB2312" w:cs="仿宋_GB2312"/>
                <w:kern w:val="0"/>
                <w:szCs w:val="21"/>
                <w:lang w:bidi="ar"/>
              </w:rPr>
              <w:t>2.预算调整率大于或等于10%的，得0分；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3.预算调整率在0-10%之间的，在0分和满分之间确定：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得分=［max（预算调整率）-某部门预算调整率］/［max（预算调整率）-min（预算调整率）］×该指标分值。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4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color w:val="000000"/>
                <w:kern w:val="0"/>
                <w:szCs w:val="21"/>
                <w:lang w:bidi="ar"/>
              </w:rPr>
              <w:t>支付进度率</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5分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度支付数与</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度任务数的比率，用以反映和评价部门预算执行的及时和均衡程度。</w:t>
            </w:r>
          </w:p>
          <w:p>
            <w:pPr>
              <w:widowControl/>
              <w:spacing w:line="240" w:lineRule="exact"/>
              <w:jc w:val="left"/>
              <w:rPr>
                <w:szCs w:val="21"/>
              </w:rPr>
            </w:pPr>
            <w:r>
              <w:rPr>
                <w:rFonts w:ascii="仿宋_GB2312" w:hAnsi="新宋体" w:eastAsia="仿宋_GB2312" w:cs="仿宋_GB2312"/>
                <w:kern w:val="0"/>
                <w:szCs w:val="21"/>
                <w:lang w:bidi="ar"/>
              </w:rPr>
              <w:t>支付进度率=（</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度支付数/</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度任务数）×100%。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按</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度的执行情况进行打分</w:t>
            </w:r>
            <w:r>
              <w:rPr>
                <w:rFonts w:hint="eastAsia" w:ascii="仿宋_GB2312" w:hAnsi="新宋体" w:eastAsia="仿宋_GB2312" w:cs="仿宋_GB2312"/>
                <w:kern w:val="0"/>
                <w:szCs w:val="21"/>
                <w:lang w:bidi="ar"/>
              </w:rPr>
              <w:t>。</w:t>
            </w:r>
            <w:r>
              <w:rPr>
                <w:rFonts w:ascii="仿宋_GB2312" w:hAnsi="新宋体" w:eastAsia="仿宋_GB2312" w:cs="仿宋_GB2312"/>
                <w:kern w:val="0"/>
                <w:szCs w:val="21"/>
                <w:lang w:bidi="ar"/>
              </w:rPr>
              <w:t>得分=</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度支付数/</w:t>
            </w:r>
            <w:r>
              <w:rPr>
                <w:rFonts w:hint="eastAsia" w:ascii="仿宋_GB2312" w:hAnsi="新宋体" w:eastAsia="仿宋_GB2312" w:cs="仿宋_GB2312"/>
                <w:kern w:val="0"/>
                <w:szCs w:val="21"/>
                <w:lang w:bidi="ar"/>
              </w:rPr>
              <w:t>年</w:t>
            </w:r>
            <w:r>
              <w:rPr>
                <w:rFonts w:ascii="仿宋_GB2312" w:hAnsi="新宋体" w:eastAsia="仿宋_GB2312" w:cs="仿宋_GB2312"/>
                <w:kern w:val="0"/>
                <w:szCs w:val="21"/>
                <w:lang w:bidi="ar"/>
              </w:rPr>
              <w:t>度任务数×该指标分值。</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4"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结转结余率（4</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通过对部门本年度结转结余总额与支出预算数的比较，反映和评价部门对本年度结转结余资金的实际控制程度。</w:t>
            </w:r>
          </w:p>
          <w:p>
            <w:pPr>
              <w:widowControl/>
              <w:spacing w:line="240" w:lineRule="exact"/>
              <w:jc w:val="left"/>
              <w:rPr>
                <w:szCs w:val="21"/>
              </w:rPr>
            </w:pPr>
            <w:r>
              <w:rPr>
                <w:rFonts w:ascii="仿宋_GB2312" w:hAnsi="新宋体" w:eastAsia="仿宋_GB2312" w:cs="仿宋_GB2312"/>
                <w:kern w:val="0"/>
                <w:szCs w:val="21"/>
                <w:lang w:bidi="ar"/>
              </w:rPr>
              <w:t>结转结余率=（结转结余总额/支出预算数）×100%。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1.结转结余率等于0的，得满分；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2.结转结余率大于或等于50%的，得0分；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3.结转结余率在0-50%之间的，在0和满分之间计算确定：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得分=[max（结转结余率）－某部门结转结余率]/[max（结转结余率）－min（结转结余率）]×该指标分值。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10"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公用经费控制率（</w:t>
            </w:r>
            <w:r>
              <w:rPr>
                <w:rFonts w:hint="eastAsia" w:ascii="仿宋_GB2312" w:hAnsi="新宋体" w:eastAsia="仿宋_GB2312" w:cs="仿宋_GB2312"/>
                <w:kern w:val="0"/>
                <w:szCs w:val="21"/>
                <w:lang w:bidi="ar"/>
              </w:rPr>
              <w:t>4分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通过对部门本年度实际支出的公用经费总额与预算安排的公用经费总额的比率，反映和评价部门对机构运转成本的实际控制程度。</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公用经费控制率=（实际支出公用经费总额/预算安排公用经费总额）×100%。</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1.公用经费控制率小于或等于100%的，得满分；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2.公用经费控制率大于或等于105%的，得0分；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3.公用经费控制率在100%-105%之间的，在0和满分之间计算确定：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得分=［max（公用经费控制率）-某部门公用经费控制率］/［max（公用经费控制率）-min（公用经费控制率）］×该指标分值。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00"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政府采购执行率（</w:t>
            </w:r>
            <w:r>
              <w:rPr>
                <w:rFonts w:hint="eastAsia" w:ascii="仿宋_GB2312" w:hAnsi="新宋体" w:eastAsia="仿宋_GB2312" w:cs="仿宋_GB2312"/>
                <w:kern w:val="0"/>
                <w:szCs w:val="21"/>
                <w:lang w:bidi="ar"/>
              </w:rPr>
              <w:t>4分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通过对部门本年度实际政府采购预算项目个数与政府采购预算项目个数的比较，反映和评价部门政府采购预算执行情况。</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政府采购执行率=（实际政府采购预算项目个数/政府采购预算项目个数）×100%。</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政府采购项目中非预算内安排的项目除外。</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1.政府采购执行率等于100%的，得满分；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2.政府采购执行率小于或等于90%的，0分；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3.政府采购执行率在90%-100%之间的，在0和满分之间计算确定：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得分=［某部门政府采购执行率-min（政府采购执行率）］/［max（政府采购执行率）-min（政府采购执行率）］×该指标分值。</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预算管理</w:t>
            </w:r>
            <w:r>
              <w:rPr>
                <w:rFonts w:hint="eastAsia" w:ascii="仿宋_GB2312" w:hAnsi="新宋体" w:eastAsia="仿宋_GB2312" w:cs="仿宋_GB2312"/>
                <w:kern w:val="0"/>
                <w:szCs w:val="21"/>
                <w:lang w:bidi="ar"/>
              </w:rPr>
              <w:t>情况</w:t>
            </w:r>
          </w:p>
          <w:p>
            <w:pPr>
              <w:widowControl/>
              <w:spacing w:line="240" w:lineRule="exact"/>
              <w:jc w:val="left"/>
              <w:rPr>
                <w:szCs w:val="21"/>
              </w:rPr>
            </w:pPr>
            <w:r>
              <w:rPr>
                <w:rFonts w:ascii="仿宋_GB2312" w:hAnsi="新宋体" w:eastAsia="仿宋_GB2312" w:cs="仿宋_GB2312"/>
                <w:kern w:val="0"/>
                <w:szCs w:val="21"/>
                <w:lang w:bidi="ar"/>
              </w:rPr>
              <w:t>（15）</w:t>
            </w: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资金使用合规性（8</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部门使用预算资金是否符合相关的预算财务管理制度的规定，反映和评价部门预算资金的规范运行情况。</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1.符合国家财经法规和财务管理制度规定以及有关部门资金管理办法的规定；</w:t>
            </w:r>
          </w:p>
          <w:p>
            <w:pPr>
              <w:widowControl/>
              <w:spacing w:line="240" w:lineRule="exact"/>
              <w:jc w:val="left"/>
              <w:rPr>
                <w:szCs w:val="21"/>
              </w:rPr>
            </w:pPr>
            <w:r>
              <w:rPr>
                <w:rFonts w:ascii="仿宋_GB2312" w:hAnsi="新宋体" w:eastAsia="仿宋_GB2312" w:cs="仿宋_GB2312"/>
                <w:kern w:val="0"/>
                <w:szCs w:val="21"/>
                <w:lang w:bidi="ar"/>
              </w:rPr>
              <w:t>2.资金的拨付有完整的审批过程和手续；</w:t>
            </w:r>
          </w:p>
          <w:p>
            <w:pPr>
              <w:widowControl/>
              <w:spacing w:line="240" w:lineRule="exact"/>
              <w:jc w:val="left"/>
              <w:rPr>
                <w:szCs w:val="21"/>
              </w:rPr>
            </w:pPr>
            <w:r>
              <w:rPr>
                <w:rFonts w:ascii="仿宋_GB2312" w:hAnsi="新宋体" w:eastAsia="仿宋_GB2312" w:cs="仿宋_GB2312"/>
                <w:kern w:val="0"/>
                <w:szCs w:val="21"/>
                <w:lang w:bidi="ar"/>
              </w:rPr>
              <w:t>3.项目的重大开支经过评估论证；</w:t>
            </w:r>
          </w:p>
          <w:p>
            <w:pPr>
              <w:widowControl/>
              <w:spacing w:line="240" w:lineRule="exact"/>
              <w:jc w:val="left"/>
              <w:rPr>
                <w:szCs w:val="21"/>
              </w:rPr>
            </w:pPr>
            <w:r>
              <w:rPr>
                <w:rFonts w:ascii="仿宋_GB2312" w:hAnsi="新宋体" w:eastAsia="仿宋_GB2312" w:cs="仿宋_GB2312"/>
                <w:kern w:val="0"/>
                <w:szCs w:val="21"/>
                <w:lang w:bidi="ar"/>
              </w:rPr>
              <w:t>4.符合部门预算批复的用途；</w:t>
            </w:r>
          </w:p>
          <w:p>
            <w:pPr>
              <w:widowControl/>
              <w:spacing w:line="240" w:lineRule="exact"/>
              <w:jc w:val="left"/>
              <w:rPr>
                <w:szCs w:val="21"/>
              </w:rPr>
            </w:pPr>
            <w:r>
              <w:rPr>
                <w:rFonts w:ascii="仿宋_GB2312" w:hAnsi="新宋体" w:eastAsia="仿宋_GB2312" w:cs="仿宋_GB2312"/>
                <w:kern w:val="0"/>
                <w:szCs w:val="21"/>
                <w:lang w:bidi="ar"/>
              </w:rPr>
              <w:t>5.不存在截留情况；</w:t>
            </w:r>
          </w:p>
          <w:p>
            <w:pPr>
              <w:widowControl/>
              <w:spacing w:line="240" w:lineRule="exact"/>
              <w:jc w:val="left"/>
              <w:rPr>
                <w:szCs w:val="21"/>
              </w:rPr>
            </w:pPr>
            <w:r>
              <w:rPr>
                <w:rFonts w:ascii="仿宋_GB2312" w:hAnsi="新宋体" w:eastAsia="仿宋_GB2312" w:cs="仿宋_GB2312"/>
                <w:kern w:val="0"/>
                <w:szCs w:val="21"/>
                <w:lang w:bidi="ar"/>
              </w:rPr>
              <w:t>6.不存在挤占情况；</w:t>
            </w:r>
          </w:p>
          <w:p>
            <w:pPr>
              <w:widowControl/>
              <w:spacing w:line="240" w:lineRule="exact"/>
              <w:jc w:val="left"/>
              <w:rPr>
                <w:szCs w:val="21"/>
              </w:rPr>
            </w:pPr>
            <w:r>
              <w:rPr>
                <w:rFonts w:ascii="仿宋_GB2312" w:hAnsi="新宋体" w:eastAsia="仿宋_GB2312" w:cs="仿宋_GB2312"/>
                <w:kern w:val="0"/>
                <w:szCs w:val="21"/>
                <w:lang w:bidi="ar"/>
              </w:rPr>
              <w:t>7.不存在挪用情况；</w:t>
            </w:r>
          </w:p>
          <w:p>
            <w:pPr>
              <w:widowControl/>
              <w:spacing w:line="240" w:lineRule="exact"/>
              <w:jc w:val="left"/>
              <w:rPr>
                <w:szCs w:val="21"/>
              </w:rPr>
            </w:pPr>
            <w:r>
              <w:rPr>
                <w:rFonts w:ascii="仿宋_GB2312" w:hAnsi="新宋体" w:eastAsia="仿宋_GB2312" w:cs="仿宋_GB2312"/>
                <w:kern w:val="0"/>
                <w:szCs w:val="21"/>
                <w:lang w:bidi="ar"/>
              </w:rPr>
              <w:t>8.不存在虚列支出情况。</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全部符合（8）；</w:t>
            </w:r>
          </w:p>
          <w:p>
            <w:pPr>
              <w:widowControl/>
              <w:spacing w:line="240" w:lineRule="exact"/>
              <w:jc w:val="left"/>
              <w:rPr>
                <w:szCs w:val="21"/>
              </w:rPr>
            </w:pPr>
            <w:r>
              <w:rPr>
                <w:rFonts w:ascii="仿宋_GB2312" w:hAnsi="新宋体" w:eastAsia="仿宋_GB2312" w:cs="仿宋_GB2312"/>
                <w:kern w:val="0"/>
                <w:szCs w:val="21"/>
                <w:lang w:bidi="ar"/>
              </w:rPr>
              <w:t>符合其中七项（6）；</w:t>
            </w:r>
          </w:p>
          <w:p>
            <w:pPr>
              <w:widowControl/>
              <w:spacing w:line="240" w:lineRule="exact"/>
              <w:jc w:val="left"/>
              <w:rPr>
                <w:szCs w:val="21"/>
              </w:rPr>
            </w:pPr>
            <w:r>
              <w:rPr>
                <w:rFonts w:ascii="仿宋_GB2312" w:hAnsi="新宋体" w:eastAsia="仿宋_GB2312" w:cs="仿宋_GB2312"/>
                <w:kern w:val="0"/>
                <w:szCs w:val="21"/>
                <w:lang w:bidi="ar"/>
              </w:rPr>
              <w:t>符合其中六项（4）；</w:t>
            </w:r>
          </w:p>
          <w:p>
            <w:pPr>
              <w:widowControl/>
              <w:spacing w:line="240" w:lineRule="exact"/>
              <w:jc w:val="left"/>
              <w:rPr>
                <w:szCs w:val="21"/>
              </w:rPr>
            </w:pPr>
            <w:r>
              <w:rPr>
                <w:rFonts w:ascii="仿宋_GB2312" w:hAnsi="新宋体" w:eastAsia="仿宋_GB2312" w:cs="仿宋_GB2312"/>
                <w:kern w:val="0"/>
                <w:szCs w:val="21"/>
                <w:lang w:bidi="ar"/>
              </w:rPr>
              <w:t>符合其中五项（2）；</w:t>
            </w:r>
          </w:p>
          <w:p>
            <w:pPr>
              <w:widowControl/>
              <w:spacing w:line="240" w:lineRule="exact"/>
              <w:jc w:val="left"/>
              <w:rPr>
                <w:szCs w:val="21"/>
              </w:rPr>
            </w:pPr>
            <w:r>
              <w:rPr>
                <w:rFonts w:ascii="仿宋_GB2312" w:hAnsi="新宋体" w:eastAsia="仿宋_GB2312" w:cs="仿宋_GB2312"/>
                <w:kern w:val="0"/>
                <w:szCs w:val="21"/>
                <w:lang w:bidi="ar"/>
              </w:rPr>
              <w:t>符合其中四项及以下（0）。</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预决算信息公开性（3</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部门是否按照政府信息公开有关规定公开相关预决算信息，用以反映和评价部门预决算管理的公开透明情况。</w:t>
            </w:r>
          </w:p>
          <w:p>
            <w:pPr>
              <w:widowControl/>
              <w:spacing w:line="240" w:lineRule="exact"/>
              <w:jc w:val="left"/>
              <w:rPr>
                <w:szCs w:val="21"/>
              </w:rPr>
            </w:pPr>
            <w:r>
              <w:rPr>
                <w:rFonts w:ascii="仿宋_GB2312" w:hAnsi="新宋体" w:eastAsia="仿宋_GB2312" w:cs="仿宋_GB2312"/>
                <w:kern w:val="0"/>
                <w:szCs w:val="21"/>
                <w:lang w:bidi="ar"/>
              </w:rPr>
              <w:t>预决算信息是指与部门预算、执行、决算、监督、绩效等管理相关的信息。</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1.公开预决算信息；</w:t>
            </w:r>
          </w:p>
          <w:p>
            <w:pPr>
              <w:widowControl/>
              <w:spacing w:line="240" w:lineRule="exact"/>
              <w:jc w:val="left"/>
              <w:rPr>
                <w:szCs w:val="21"/>
              </w:rPr>
            </w:pPr>
            <w:r>
              <w:rPr>
                <w:rFonts w:ascii="仿宋_GB2312" w:hAnsi="新宋体" w:eastAsia="仿宋_GB2312" w:cs="仿宋_GB2312"/>
                <w:kern w:val="0"/>
                <w:szCs w:val="21"/>
                <w:lang w:bidi="ar"/>
              </w:rPr>
              <w:t>2.按规定内容公开预决算信息；</w:t>
            </w:r>
          </w:p>
          <w:p>
            <w:pPr>
              <w:widowControl/>
              <w:spacing w:line="240" w:lineRule="exact"/>
              <w:jc w:val="left"/>
              <w:rPr>
                <w:szCs w:val="21"/>
              </w:rPr>
            </w:pPr>
            <w:r>
              <w:rPr>
                <w:rFonts w:ascii="仿宋_GB2312" w:hAnsi="新宋体" w:eastAsia="仿宋_GB2312" w:cs="仿宋_GB2312"/>
                <w:kern w:val="0"/>
                <w:szCs w:val="21"/>
                <w:lang w:bidi="ar"/>
              </w:rPr>
              <w:t>3.按规定时限公开预决算信息。</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全部符合（3）；</w:t>
            </w:r>
          </w:p>
          <w:p>
            <w:pPr>
              <w:widowControl/>
              <w:spacing w:line="240" w:lineRule="exact"/>
              <w:jc w:val="left"/>
              <w:rPr>
                <w:szCs w:val="21"/>
              </w:rPr>
            </w:pPr>
            <w:r>
              <w:rPr>
                <w:rFonts w:ascii="仿宋_GB2312" w:hAnsi="新宋体" w:eastAsia="仿宋_GB2312" w:cs="仿宋_GB2312"/>
                <w:kern w:val="0"/>
                <w:szCs w:val="21"/>
                <w:lang w:bidi="ar"/>
              </w:rPr>
              <w:t>符合其中两项（2）</w:t>
            </w:r>
          </w:p>
          <w:p>
            <w:pPr>
              <w:widowControl/>
              <w:spacing w:line="240" w:lineRule="exact"/>
              <w:jc w:val="left"/>
              <w:rPr>
                <w:szCs w:val="21"/>
              </w:rPr>
            </w:pPr>
            <w:r>
              <w:rPr>
                <w:rFonts w:ascii="仿宋_GB2312" w:hAnsi="新宋体" w:eastAsia="仿宋_GB2312" w:cs="仿宋_GB2312"/>
                <w:kern w:val="0"/>
                <w:szCs w:val="21"/>
                <w:lang w:bidi="ar"/>
              </w:rPr>
              <w:t>符合其中一项及以下（0）。</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color w:val="000000"/>
                <w:kern w:val="0"/>
                <w:szCs w:val="21"/>
                <w:lang w:bidi="ar"/>
              </w:rPr>
              <w:t>基础信息完善性</w:t>
            </w:r>
            <w:r>
              <w:rPr>
                <w:rFonts w:ascii="仿宋_GB2312" w:hAnsi="新宋体" w:eastAsia="仿宋_GB2312" w:cs="仿宋_GB2312"/>
                <w:kern w:val="0"/>
                <w:szCs w:val="21"/>
                <w:lang w:bidi="ar"/>
              </w:rPr>
              <w:t>（4</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部门基础信息是否完善，用以反映和评价基础信息对预算管理工作的支撑情况。</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1.基本财务管理制度健全；</w:t>
            </w:r>
          </w:p>
          <w:p>
            <w:pPr>
              <w:widowControl/>
              <w:spacing w:line="240" w:lineRule="exact"/>
              <w:jc w:val="left"/>
              <w:rPr>
                <w:szCs w:val="21"/>
              </w:rPr>
            </w:pPr>
            <w:r>
              <w:rPr>
                <w:rFonts w:ascii="仿宋_GB2312" w:hAnsi="新宋体" w:eastAsia="仿宋_GB2312" w:cs="仿宋_GB2312"/>
                <w:kern w:val="0"/>
                <w:szCs w:val="21"/>
                <w:lang w:bidi="ar"/>
              </w:rPr>
              <w:t>2.基础数据信息和会计信息资料真实；</w:t>
            </w:r>
          </w:p>
          <w:p>
            <w:pPr>
              <w:widowControl/>
              <w:spacing w:line="240" w:lineRule="exact"/>
              <w:jc w:val="left"/>
              <w:rPr>
                <w:szCs w:val="21"/>
              </w:rPr>
            </w:pPr>
            <w:r>
              <w:rPr>
                <w:rFonts w:ascii="仿宋_GB2312" w:hAnsi="新宋体" w:eastAsia="仿宋_GB2312" w:cs="仿宋_GB2312"/>
                <w:kern w:val="0"/>
                <w:szCs w:val="21"/>
                <w:lang w:bidi="ar"/>
              </w:rPr>
              <w:t>3.基础数据信息和会计信息资料完整；</w:t>
            </w:r>
          </w:p>
          <w:p>
            <w:pPr>
              <w:widowControl/>
              <w:spacing w:line="240" w:lineRule="exact"/>
              <w:jc w:val="left"/>
              <w:rPr>
                <w:szCs w:val="21"/>
              </w:rPr>
            </w:pPr>
            <w:r>
              <w:rPr>
                <w:rFonts w:ascii="仿宋_GB2312" w:hAnsi="新宋体" w:eastAsia="仿宋_GB2312" w:cs="仿宋_GB2312"/>
                <w:kern w:val="0"/>
                <w:szCs w:val="21"/>
                <w:lang w:bidi="ar"/>
              </w:rPr>
              <w:t>4.基础数据信息和会计信息资料准确。</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符合全部四项（4）；</w:t>
            </w:r>
          </w:p>
          <w:p>
            <w:pPr>
              <w:widowControl/>
              <w:spacing w:line="240" w:lineRule="exact"/>
              <w:jc w:val="left"/>
              <w:rPr>
                <w:szCs w:val="21"/>
              </w:rPr>
            </w:pPr>
            <w:r>
              <w:rPr>
                <w:rFonts w:ascii="仿宋_GB2312" w:hAnsi="新宋体" w:eastAsia="仿宋_GB2312" w:cs="仿宋_GB2312"/>
                <w:kern w:val="0"/>
                <w:szCs w:val="21"/>
                <w:lang w:bidi="ar"/>
              </w:rPr>
              <w:t>符合其中三项（2）；</w:t>
            </w:r>
          </w:p>
          <w:p>
            <w:pPr>
              <w:widowControl/>
              <w:spacing w:line="240" w:lineRule="exact"/>
              <w:jc w:val="left"/>
              <w:rPr>
                <w:szCs w:val="21"/>
              </w:rPr>
            </w:pPr>
            <w:r>
              <w:rPr>
                <w:rFonts w:ascii="仿宋_GB2312" w:hAnsi="新宋体" w:eastAsia="仿宋_GB2312" w:cs="仿宋_GB2312"/>
                <w:kern w:val="0"/>
                <w:szCs w:val="21"/>
                <w:lang w:bidi="ar"/>
              </w:rPr>
              <w:t>符合其中两项（1）；</w:t>
            </w:r>
          </w:p>
          <w:p>
            <w:pPr>
              <w:widowControl/>
              <w:spacing w:line="240" w:lineRule="exact"/>
              <w:jc w:val="left"/>
              <w:rPr>
                <w:szCs w:val="21"/>
              </w:rPr>
            </w:pPr>
            <w:r>
              <w:rPr>
                <w:rFonts w:ascii="仿宋_GB2312" w:hAnsi="新宋体" w:eastAsia="仿宋_GB2312" w:cs="仿宋_GB2312"/>
                <w:kern w:val="0"/>
                <w:szCs w:val="21"/>
                <w:lang w:bidi="ar"/>
              </w:rPr>
              <w:t>符合其中一项及以下（0）。</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资产管理</w:t>
            </w:r>
            <w:r>
              <w:rPr>
                <w:rFonts w:hint="eastAsia" w:ascii="仿宋_GB2312" w:hAnsi="新宋体" w:eastAsia="仿宋_GB2312" w:cs="仿宋_GB2312"/>
                <w:kern w:val="0"/>
                <w:szCs w:val="21"/>
                <w:lang w:bidi="ar"/>
              </w:rPr>
              <w:t>情况</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5分</w:t>
            </w:r>
            <w:r>
              <w:rPr>
                <w:rFonts w:ascii="仿宋_GB2312" w:hAnsi="新宋体" w:eastAsia="仿宋_GB2312" w:cs="仿宋_GB2312"/>
                <w:kern w:val="0"/>
                <w:szCs w:val="21"/>
                <w:lang w:bidi="ar"/>
              </w:rPr>
              <w:t>）</w:t>
            </w:r>
          </w:p>
        </w:tc>
        <w:tc>
          <w:tcPr>
            <w:tcW w:w="1275" w:type="dxa"/>
            <w:tcBorders>
              <w:top w:val="single" w:color="auto"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资产管理完整性（</w:t>
            </w:r>
            <w:r>
              <w:rPr>
                <w:rFonts w:hint="eastAsia" w:ascii="仿宋_GB2312" w:hAnsi="新宋体" w:eastAsia="仿宋_GB2312" w:cs="仿宋_GB2312"/>
                <w:kern w:val="0"/>
                <w:szCs w:val="21"/>
                <w:lang w:bidi="ar"/>
              </w:rPr>
              <w:t>2分</w:t>
            </w:r>
            <w:r>
              <w:rPr>
                <w:rFonts w:ascii="仿宋_GB2312" w:hAnsi="新宋体" w:eastAsia="仿宋_GB2312" w:cs="仿宋_GB2312"/>
                <w:kern w:val="0"/>
                <w:szCs w:val="21"/>
                <w:lang w:bidi="ar"/>
              </w:rPr>
              <w:t>）</w:t>
            </w:r>
          </w:p>
        </w:tc>
        <w:tc>
          <w:tcPr>
            <w:tcW w:w="3436" w:type="dxa"/>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部门的资产是否保存完整、使用合规、收入及时足额上缴，用以反映和评价部门资产运行情况。</w:t>
            </w:r>
          </w:p>
          <w:p>
            <w:pPr>
              <w:widowControl/>
              <w:spacing w:line="240" w:lineRule="exact"/>
              <w:jc w:val="left"/>
              <w:rPr>
                <w:szCs w:val="21"/>
              </w:rPr>
            </w:pPr>
            <w:r>
              <w:rPr>
                <w:rFonts w:ascii="仿宋_GB2312" w:hAnsi="新宋体" w:eastAsia="仿宋_GB2312" w:cs="仿宋_GB2312"/>
                <w:kern w:val="0"/>
                <w:szCs w:val="21"/>
                <w:lang w:bidi="ar"/>
              </w:rPr>
              <w:t>评价要点：</w:t>
            </w:r>
          </w:p>
          <w:p>
            <w:pPr>
              <w:widowControl/>
              <w:spacing w:line="240" w:lineRule="exact"/>
              <w:jc w:val="left"/>
              <w:rPr>
                <w:szCs w:val="21"/>
              </w:rPr>
            </w:pPr>
            <w:r>
              <w:rPr>
                <w:rFonts w:ascii="仿宋_GB2312" w:hAnsi="新宋体" w:eastAsia="仿宋_GB2312" w:cs="仿宋_GB2312"/>
                <w:kern w:val="0"/>
                <w:szCs w:val="21"/>
                <w:lang w:bidi="ar"/>
              </w:rPr>
              <w:t>1.资产保存完整；</w:t>
            </w:r>
          </w:p>
          <w:p>
            <w:pPr>
              <w:widowControl/>
              <w:spacing w:line="240" w:lineRule="exact"/>
              <w:jc w:val="left"/>
              <w:rPr>
                <w:szCs w:val="21"/>
              </w:rPr>
            </w:pPr>
            <w:r>
              <w:rPr>
                <w:rFonts w:ascii="仿宋_GB2312" w:hAnsi="新宋体" w:eastAsia="仿宋_GB2312" w:cs="仿宋_GB2312"/>
                <w:kern w:val="0"/>
                <w:szCs w:val="21"/>
                <w:lang w:bidi="ar"/>
              </w:rPr>
              <w:t>2.资产账务管理是否合规，帐实相符；</w:t>
            </w:r>
          </w:p>
          <w:p>
            <w:pPr>
              <w:widowControl/>
              <w:spacing w:line="240" w:lineRule="exact"/>
              <w:jc w:val="left"/>
              <w:rPr>
                <w:szCs w:val="21"/>
              </w:rPr>
            </w:pPr>
            <w:r>
              <w:rPr>
                <w:rFonts w:ascii="仿宋_GB2312" w:hAnsi="新宋体" w:eastAsia="仿宋_GB2312" w:cs="仿宋_GB2312"/>
                <w:kern w:val="0"/>
                <w:szCs w:val="21"/>
                <w:lang w:bidi="ar"/>
              </w:rPr>
              <w:t>3.资产有偿使用及处置收入及时足额上缴。</w:t>
            </w:r>
          </w:p>
        </w:tc>
        <w:tc>
          <w:tcPr>
            <w:tcW w:w="2373" w:type="dxa"/>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符合全部三项（3）；</w:t>
            </w:r>
          </w:p>
          <w:p>
            <w:pPr>
              <w:widowControl/>
              <w:spacing w:line="240" w:lineRule="exact"/>
              <w:jc w:val="left"/>
              <w:rPr>
                <w:szCs w:val="21"/>
              </w:rPr>
            </w:pPr>
            <w:r>
              <w:rPr>
                <w:rFonts w:ascii="仿宋_GB2312" w:hAnsi="新宋体" w:eastAsia="仿宋_GB2312" w:cs="仿宋_GB2312"/>
                <w:kern w:val="0"/>
                <w:szCs w:val="21"/>
                <w:lang w:bidi="ar"/>
              </w:rPr>
              <w:t>符合其中两项（2）；</w:t>
            </w:r>
          </w:p>
          <w:p>
            <w:pPr>
              <w:widowControl/>
              <w:spacing w:line="240" w:lineRule="exact"/>
              <w:jc w:val="left"/>
              <w:rPr>
                <w:szCs w:val="21"/>
              </w:rPr>
            </w:pPr>
            <w:r>
              <w:rPr>
                <w:rFonts w:ascii="仿宋_GB2312" w:hAnsi="新宋体" w:eastAsia="仿宋_GB2312" w:cs="仿宋_GB2312"/>
                <w:kern w:val="0"/>
                <w:szCs w:val="21"/>
                <w:lang w:bidi="ar"/>
              </w:rPr>
              <w:t>符合其中一项（1）；</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符合零项（0）。</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auto"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固定资产利用率（</w:t>
            </w:r>
            <w:r>
              <w:rPr>
                <w:rFonts w:hint="eastAsia" w:ascii="仿宋_GB2312" w:hAnsi="新宋体" w:eastAsia="仿宋_GB2312" w:cs="仿宋_GB2312"/>
                <w:kern w:val="0"/>
                <w:szCs w:val="21"/>
                <w:lang w:bidi="ar"/>
              </w:rPr>
              <w:t>3分</w:t>
            </w:r>
            <w:r>
              <w:rPr>
                <w:rFonts w:ascii="仿宋_GB2312" w:hAnsi="新宋体" w:eastAsia="仿宋_GB2312" w:cs="仿宋_GB2312"/>
                <w:kern w:val="0"/>
                <w:szCs w:val="21"/>
                <w:lang w:bidi="ar"/>
              </w:rPr>
              <w:t>）</w:t>
            </w:r>
          </w:p>
        </w:tc>
        <w:tc>
          <w:tcPr>
            <w:tcW w:w="3436" w:type="dxa"/>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部门实际在用固定资产总额与所有固定资产总额的比率，用以反映和评价部门固定资产使用效率。</w:t>
            </w:r>
          </w:p>
          <w:p>
            <w:pPr>
              <w:widowControl/>
              <w:spacing w:line="240" w:lineRule="exact"/>
              <w:jc w:val="left"/>
              <w:rPr>
                <w:szCs w:val="21"/>
              </w:rPr>
            </w:pPr>
            <w:r>
              <w:rPr>
                <w:rFonts w:ascii="仿宋_GB2312" w:hAnsi="新宋体" w:eastAsia="仿宋_GB2312" w:cs="仿宋_GB2312"/>
                <w:kern w:val="0"/>
                <w:szCs w:val="21"/>
                <w:lang w:bidi="ar"/>
              </w:rPr>
              <w:t>固定资产利用率=（实际在用固定资产总额/所有固定资产总额）×100%。</w:t>
            </w:r>
          </w:p>
        </w:tc>
        <w:tc>
          <w:tcPr>
            <w:tcW w:w="2373" w:type="dxa"/>
            <w:tcBorders>
              <w:top w:val="single" w:color="auto"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1.固定资产利用率大于或等于95%的，得满分；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2.固定资产利用率小于或等于85%的，得0分；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3.固定资产利用率在85%-95%之间的，在0和满分之间计算确定：</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得分=［某部门固定资产利用率-min（固定资产利用率）］/［max（固定资产利用率）-min（固定资产利用率）］×该指标分值。</w:t>
            </w:r>
          </w:p>
        </w:tc>
        <w:tc>
          <w:tcPr>
            <w:tcW w:w="764" w:type="dxa"/>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产出(2</w:t>
            </w:r>
            <w:r>
              <w:rPr>
                <w:rFonts w:hint="eastAsia" w:ascii="仿宋_GB2312" w:hAnsi="新宋体" w:eastAsia="仿宋_GB2312" w:cs="仿宋_GB2312"/>
                <w:kern w:val="0"/>
                <w:szCs w:val="21"/>
                <w:lang w:bidi="ar"/>
              </w:rPr>
              <w:t>5分</w:t>
            </w:r>
            <w:r>
              <w:rPr>
                <w:rFonts w:ascii="仿宋_GB2312" w:hAnsi="新宋体" w:eastAsia="仿宋_GB2312" w:cs="仿宋_GB2312"/>
                <w:kern w:val="0"/>
                <w:szCs w:val="21"/>
                <w:lang w:bidi="ar"/>
              </w:rPr>
              <w:t>)</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职责履行</w:t>
            </w:r>
            <w:r>
              <w:rPr>
                <w:rFonts w:hint="eastAsia" w:ascii="仿宋_GB2312" w:hAnsi="新宋体" w:eastAsia="仿宋_GB2312" w:cs="仿宋_GB2312"/>
                <w:kern w:val="0"/>
                <w:szCs w:val="21"/>
                <w:lang w:bidi="ar"/>
              </w:rPr>
              <w:t>情况</w:t>
            </w:r>
            <w:r>
              <w:rPr>
                <w:rFonts w:ascii="仿宋_GB2312" w:hAnsi="新宋体" w:eastAsia="仿宋_GB2312" w:cs="仿宋_GB2312"/>
                <w:kern w:val="0"/>
                <w:szCs w:val="21"/>
                <w:lang w:bidi="ar"/>
              </w:rPr>
              <w:t>（2</w:t>
            </w:r>
            <w:r>
              <w:rPr>
                <w:rFonts w:hint="eastAsia" w:ascii="仿宋_GB2312" w:hAnsi="新宋体" w:eastAsia="仿宋_GB2312" w:cs="仿宋_GB2312"/>
                <w:kern w:val="0"/>
                <w:szCs w:val="21"/>
                <w:lang w:bidi="ar"/>
              </w:rPr>
              <w:t>5</w:t>
            </w:r>
            <w:r>
              <w:rPr>
                <w:rFonts w:ascii="仿宋_GB2312" w:hAnsi="新宋体" w:eastAsia="仿宋_GB2312" w:cs="仿宋_GB2312"/>
                <w:kern w:val="0"/>
                <w:szCs w:val="21"/>
                <w:lang w:bidi="ar"/>
              </w:rPr>
              <w:t>）</w:t>
            </w:r>
          </w:p>
        </w:tc>
        <w:tc>
          <w:tcPr>
            <w:tcW w:w="1275" w:type="dxa"/>
            <w:tcBorders>
              <w:top w:val="single" w:color="000000" w:sz="4" w:space="0"/>
              <w:left w:val="single" w:color="000000" w:sz="4" w:space="0"/>
              <w:bottom w:val="single" w:color="auto" w:sz="4" w:space="0"/>
              <w:right w:val="single" w:color="auto" w:sz="4" w:space="0"/>
            </w:tcBorders>
            <w:vAlign w:val="center"/>
          </w:tcPr>
          <w:p>
            <w:pPr>
              <w:widowControl/>
              <w:spacing w:line="240" w:lineRule="exact"/>
              <w:jc w:val="left"/>
              <w:rPr>
                <w:szCs w:val="21"/>
              </w:rPr>
            </w:pPr>
            <w:r>
              <w:rPr>
                <w:rFonts w:hint="eastAsia" w:ascii="仿宋_GB2312" w:hAnsi="新宋体" w:eastAsia="仿宋_GB2312" w:cs="仿宋_GB2312"/>
                <w:kern w:val="0"/>
                <w:szCs w:val="21"/>
                <w:lang w:bidi="ar"/>
              </w:rPr>
              <w:t>履职完成情况</w:t>
            </w: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10分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textAlignment w:val="center"/>
              <w:rPr>
                <w:szCs w:val="21"/>
              </w:rPr>
            </w:pPr>
            <w:r>
              <w:rPr>
                <w:rFonts w:hint="eastAsia" w:ascii="仿宋" w:hAnsi="仿宋" w:eastAsia="仿宋" w:cs="仿宋"/>
                <w:color w:val="000000"/>
                <w:kern w:val="0"/>
                <w:szCs w:val="21"/>
                <w:lang w:bidi="ar"/>
              </w:rPr>
              <w:t>根据年度主要任务分解表的的具体任务，逐项评价任务量化指标完成情况、实施效果和责任制建立情况。用以反映和考核部门（单位）履职工作任务目标的完成情况。评价要点：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 xml:space="preserve">1.每项任务是否已制定了明确、具体、可量化、可衡量的绩效指标；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2.每项任务绩效指标的完成情况，是全部完成、基本完成、未完成，还是未实施；</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3.每项任务实施效果情况，是优秀、良好、一般，还是无效果；</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4.每项任务是否建立了目标责任制，是否落实到具体部门和人员负责。</w:t>
            </w:r>
          </w:p>
        </w:tc>
        <w:tc>
          <w:tcPr>
            <w:tcW w:w="2373" w:type="dxa"/>
            <w:tcBorders>
              <w:top w:val="single" w:color="000000" w:sz="4" w:space="0"/>
              <w:left w:val="single" w:color="auto" w:sz="4" w:space="0"/>
              <w:bottom w:val="single" w:color="auto" w:sz="4" w:space="0"/>
              <w:right w:val="single" w:color="auto" w:sz="4" w:space="0"/>
            </w:tcBorders>
            <w:vAlign w:val="center"/>
          </w:tcPr>
          <w:p>
            <w:pPr>
              <w:widowControl/>
              <w:spacing w:line="240" w:lineRule="exact"/>
              <w:jc w:val="left"/>
              <w:textAlignment w:val="center"/>
              <w:rPr>
                <w:szCs w:val="21"/>
              </w:rPr>
            </w:pPr>
            <w:r>
              <w:rPr>
                <w:rFonts w:hint="eastAsia" w:ascii="仿宋" w:hAnsi="仿宋" w:eastAsia="仿宋" w:cs="仿宋"/>
                <w:color w:val="000000"/>
                <w:kern w:val="0"/>
                <w:szCs w:val="21"/>
                <w:lang w:bidi="ar"/>
              </w:rPr>
              <w:t>根据不同部门履职的内容和特点，具体测算部门履职工作任务目标的完成情况。</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rFonts w:hint="default" w:eastAsiaTheme="minorEastAsia"/>
                <w:szCs w:val="21"/>
                <w:lang w:val="en-US" w:eastAsia="zh-CN"/>
              </w:rPr>
            </w:pPr>
            <w:r>
              <w:rPr>
                <w:rFonts w:hint="eastAsia"/>
                <w:szCs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90"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1275" w:type="dxa"/>
            <w:tcBorders>
              <w:top w:val="single" w:color="000000" w:sz="4" w:space="0"/>
              <w:left w:val="single" w:color="000000" w:sz="4" w:space="0"/>
              <w:right w:val="single" w:color="auto"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项目</w:t>
            </w:r>
            <w:r>
              <w:rPr>
                <w:rFonts w:hint="eastAsia" w:ascii="仿宋_GB2312" w:hAnsi="新宋体" w:eastAsia="仿宋_GB2312" w:cs="仿宋_GB2312"/>
                <w:kern w:val="0"/>
                <w:szCs w:val="21"/>
                <w:lang w:bidi="ar"/>
              </w:rPr>
              <w:t>完成</w:t>
            </w:r>
            <w:r>
              <w:rPr>
                <w:rFonts w:ascii="仿宋_GB2312" w:hAnsi="新宋体" w:eastAsia="仿宋_GB2312" w:cs="仿宋_GB2312"/>
                <w:kern w:val="0"/>
                <w:szCs w:val="21"/>
                <w:lang w:bidi="ar"/>
              </w:rPr>
              <w:t>质量达标率（</w:t>
            </w:r>
            <w:r>
              <w:rPr>
                <w:rFonts w:hint="eastAsia" w:ascii="仿宋_GB2312" w:hAnsi="新宋体" w:eastAsia="仿宋_GB2312" w:cs="仿宋_GB2312"/>
                <w:kern w:val="0"/>
                <w:szCs w:val="21"/>
                <w:lang w:bidi="ar"/>
              </w:rPr>
              <w:t>15</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部门已完成项目中质量达标项目个数占已完成项目个数的比率,用以反映和评价部门履职质量目标的实现程度。</w:t>
            </w:r>
          </w:p>
          <w:p>
            <w:pPr>
              <w:widowControl/>
              <w:spacing w:line="240" w:lineRule="exact"/>
              <w:jc w:val="left"/>
              <w:rPr>
                <w:szCs w:val="21"/>
              </w:rPr>
            </w:pPr>
            <w:r>
              <w:rPr>
                <w:rFonts w:ascii="仿宋_GB2312" w:hAnsi="新宋体" w:eastAsia="仿宋_GB2312" w:cs="仿宋_GB2312"/>
                <w:kern w:val="0"/>
                <w:szCs w:val="21"/>
                <w:lang w:bidi="ar"/>
              </w:rPr>
              <w:t>项目质量达标率=（已完成项目中质量达标项目个数/已完成项目个数）×100%。</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项目质量达标是指项目决算验收合格。</w:t>
            </w:r>
          </w:p>
        </w:tc>
        <w:tc>
          <w:tcPr>
            <w:tcW w:w="2373" w:type="dxa"/>
            <w:tcBorders>
              <w:top w:val="single" w:color="000000" w:sz="4" w:space="0"/>
              <w:left w:val="single" w:color="auto"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1.项目质量达标率等于100%的，得满分；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2.项目质量达标率小于或等于99%的，得0分；</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 xml:space="preserve">3.项目质量达标率在99%-100%之间的，在0和满分之间计算确定： </w:t>
            </w:r>
          </w:p>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ascii="仿宋_GB2312" w:hAnsi="新宋体" w:eastAsia="仿宋_GB2312" w:cs="仿宋_GB2312"/>
                <w:kern w:val="0"/>
                <w:szCs w:val="21"/>
                <w:lang w:bidi="ar"/>
              </w:rPr>
              <w:t>得分=［某部门项目质量达标率-min（项目质量达标率）］/［max（项目质量达标率）-min（项目质量达标率）］×该指标分值。</w:t>
            </w:r>
          </w:p>
        </w:tc>
        <w:tc>
          <w:tcPr>
            <w:tcW w:w="764"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left"/>
              <w:rPr>
                <w:rFonts w:hint="default" w:eastAsiaTheme="minorEastAsia"/>
                <w:szCs w:val="21"/>
                <w:lang w:val="en-US" w:eastAsia="zh-CN"/>
              </w:rPr>
            </w:pPr>
            <w:r>
              <w:rPr>
                <w:rFonts w:hint="eastAsia"/>
                <w:szCs w:val="21"/>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szCs w:val="21"/>
              </w:rPr>
            </w:pPr>
            <w:r>
              <w:rPr>
                <w:rFonts w:ascii="仿宋_GB2312" w:hAnsi="新宋体" w:eastAsia="仿宋_GB2312" w:cs="仿宋_GB2312"/>
                <w:kern w:val="0"/>
                <w:szCs w:val="21"/>
                <w:lang w:bidi="ar"/>
              </w:rPr>
              <w:t>效果（</w:t>
            </w:r>
            <w:r>
              <w:rPr>
                <w:rFonts w:hint="eastAsia" w:ascii="仿宋_GB2312" w:hAnsi="新宋体" w:eastAsia="仿宋_GB2312" w:cs="仿宋_GB2312"/>
                <w:kern w:val="0"/>
                <w:szCs w:val="21"/>
                <w:lang w:bidi="ar"/>
              </w:rPr>
              <w:t>2</w:t>
            </w:r>
            <w:r>
              <w:rPr>
                <w:rFonts w:ascii="仿宋_GB2312" w:hAnsi="新宋体" w:eastAsia="仿宋_GB2312" w:cs="仿宋_GB2312"/>
                <w:kern w:val="0"/>
                <w:szCs w:val="21"/>
                <w:lang w:bidi="ar"/>
              </w:rPr>
              <w:t>0</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743" w:type="dxa"/>
            <w:vMerge w:val="restart"/>
            <w:tcBorders>
              <w:top w:val="single" w:color="auto" w:sz="4" w:space="0"/>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p>
            <w:pPr>
              <w:widowControl/>
              <w:spacing w:line="240" w:lineRule="exact"/>
              <w:jc w:val="left"/>
              <w:rPr>
                <w:rFonts w:ascii="仿宋_GB2312" w:hAnsi="新宋体" w:eastAsia="仿宋_GB2312" w:cs="仿宋_GB2312"/>
                <w:kern w:val="0"/>
                <w:szCs w:val="21"/>
                <w:lang w:bidi="ar"/>
              </w:rPr>
            </w:pPr>
            <w:r>
              <w:rPr>
                <w:rFonts w:hint="eastAsia" w:ascii="仿宋_GB2312" w:hAnsi="新宋体" w:eastAsia="仿宋_GB2312" w:cs="仿宋_GB2312"/>
                <w:kern w:val="0"/>
                <w:szCs w:val="21"/>
                <w:lang w:bidi="ar"/>
              </w:rPr>
              <w:t>履职效益情况</w:t>
            </w:r>
          </w:p>
          <w:p>
            <w:pPr>
              <w:widowControl/>
              <w:spacing w:line="240" w:lineRule="exact"/>
              <w:jc w:val="left"/>
              <w:rPr>
                <w:rFonts w:ascii="仿宋_GB2312" w:hAnsi="新宋体" w:eastAsia="仿宋_GB2312" w:cs="仿宋_GB2312"/>
                <w:kern w:val="0"/>
                <w:szCs w:val="21"/>
                <w:lang w:bidi="ar"/>
              </w:rPr>
            </w:pPr>
            <w:r>
              <w:rPr>
                <w:rFonts w:ascii="仿宋_GB2312" w:hAnsi="新宋体" w:eastAsia="仿宋_GB2312" w:cs="仿宋_GB2312"/>
                <w:kern w:val="0"/>
                <w:szCs w:val="21"/>
                <w:lang w:bidi="ar"/>
              </w:rPr>
              <w:t>（</w:t>
            </w:r>
            <w:r>
              <w:rPr>
                <w:rFonts w:hint="eastAsia" w:ascii="仿宋_GB2312" w:hAnsi="新宋体" w:eastAsia="仿宋_GB2312" w:cs="仿宋_GB2312"/>
                <w:kern w:val="0"/>
                <w:szCs w:val="21"/>
                <w:lang w:bidi="ar"/>
              </w:rPr>
              <w:t>2</w:t>
            </w:r>
            <w:r>
              <w:rPr>
                <w:rFonts w:ascii="仿宋_GB2312" w:hAnsi="新宋体" w:eastAsia="仿宋_GB2312" w:cs="仿宋_GB2312"/>
                <w:kern w:val="0"/>
                <w:szCs w:val="21"/>
                <w:lang w:bidi="ar"/>
              </w:rPr>
              <w:t>0</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hint="eastAsia" w:ascii="仿宋_GB2312" w:hAnsi="新宋体" w:eastAsia="仿宋_GB2312" w:cs="仿宋_GB2312"/>
                <w:color w:val="000000"/>
                <w:kern w:val="0"/>
                <w:szCs w:val="21"/>
                <w:lang w:bidi="ar"/>
              </w:rPr>
              <w:t>经济效益</w:t>
            </w:r>
            <w:r>
              <w:rPr>
                <w:rFonts w:ascii="仿宋_GB2312" w:hAnsi="新宋体" w:eastAsia="仿宋_GB2312" w:cs="仿宋_GB2312"/>
                <w:kern w:val="0"/>
                <w:szCs w:val="21"/>
                <w:lang w:bidi="ar"/>
              </w:rPr>
              <w:t>（5</w:t>
            </w:r>
            <w:r>
              <w:rPr>
                <w:rFonts w:hint="eastAsia" w:ascii="仿宋_GB2312" w:hAnsi="新宋体" w:eastAsia="仿宋_GB2312" w:cs="仿宋_GB2312"/>
                <w:kern w:val="0"/>
                <w:szCs w:val="21"/>
                <w:lang w:bidi="ar"/>
              </w:rPr>
              <w:t>分</w:t>
            </w:r>
            <w:r>
              <w:rPr>
                <w:rFonts w:ascii="仿宋_GB2312" w:hAnsi="新宋体" w:eastAsia="仿宋_GB2312" w:cs="仿宋_GB2312"/>
                <w:kern w:val="0"/>
                <w:szCs w:val="21"/>
                <w:lang w:bidi="ar"/>
              </w:rPr>
              <w:t>）</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部门及所属二级单位通过履行职责和预算安排支出项目的实施，对我市带来的经济影响。</w:t>
            </w:r>
          </w:p>
          <w:p>
            <w:pPr>
              <w:widowControl/>
              <w:spacing w:line="240" w:lineRule="exact"/>
              <w:jc w:val="left"/>
              <w:textAlignment w:val="center"/>
              <w:rPr>
                <w:rFonts w:ascii="仿宋" w:hAnsi="仿宋" w:eastAsia="仿宋" w:cs="仿宋"/>
                <w:szCs w:val="21"/>
              </w:rPr>
            </w:pPr>
            <w:r>
              <w:rPr>
                <w:rFonts w:hint="eastAsia" w:ascii="仿宋" w:hAnsi="仿宋" w:eastAsia="仿宋" w:cs="仿宋"/>
                <w:color w:val="000000"/>
                <w:kern w:val="0"/>
                <w:szCs w:val="21"/>
                <w:lang w:bidi="ar"/>
              </w:rPr>
              <w:t>评价要点：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 xml:space="preserve">1.通过部门所属企事业单位改革，促进了企事业单位效益增长情况；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2.通过预算支出项目的实施，促进了行业生产能力增长，从而带动行业经济效益增长；</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3.通过预算支出项目的实施，有效提高劳动效率，节约成本费用；</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4.通过预算支出项目的实施，降低了损耗，从而提高了生产效益；</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5.通过预算支出项目的实施，完善了突发情况的监测预警，保障了生产安全，降低了生产损失。</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textAlignment w:val="center"/>
              <w:rPr>
                <w:rFonts w:ascii="仿宋" w:hAnsi="仿宋" w:eastAsia="仿宋" w:cs="仿宋"/>
                <w:szCs w:val="21"/>
              </w:rPr>
            </w:pPr>
            <w:r>
              <w:rPr>
                <w:rFonts w:hint="eastAsia" w:ascii="仿宋" w:hAnsi="仿宋" w:eastAsia="仿宋" w:cs="仿宋"/>
                <w:color w:val="000000"/>
                <w:kern w:val="0"/>
                <w:szCs w:val="21"/>
                <w:lang w:bidi="ar"/>
              </w:rPr>
              <w:t>根据不同部门履职的内容和特点，具体测算部门履职产生的经济效益。</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trPr>
        <w:tc>
          <w:tcPr>
            <w:tcW w:w="779"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743"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rPr>
                <w:rFonts w:ascii="仿宋_GB2312" w:hAnsi="新宋体" w:eastAsia="仿宋_GB2312" w:cs="仿宋_GB2312"/>
                <w:color w:val="000000"/>
                <w:kern w:val="0"/>
                <w:szCs w:val="21"/>
                <w:lang w:bidi="ar"/>
              </w:rPr>
            </w:pPr>
            <w:r>
              <w:rPr>
                <w:rFonts w:hint="eastAsia" w:ascii="仿宋_GB2312" w:hAnsi="新宋体" w:eastAsia="仿宋_GB2312" w:cs="仿宋_GB2312"/>
                <w:color w:val="000000"/>
                <w:kern w:val="0"/>
                <w:szCs w:val="21"/>
                <w:lang w:bidi="ar"/>
              </w:rPr>
              <w:t>社会效益（5分）</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部门及所属二级单位履行职责对社会发展所带来的直接或间接影响。</w:t>
            </w:r>
          </w:p>
          <w:p>
            <w:pPr>
              <w:widowControl/>
              <w:spacing w:line="240" w:lineRule="exact"/>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评价要点：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 xml:space="preserve">1.通过部门所属企事业单位的改革，促进了企事业单位可持续发展，带动就业增长情况；          </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2.通过预算支出项目的实施，是否明显促进了行业精神文明建设；</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3.通过部门履职是否明显提高城乡居民生活水平，满足了人们日益增长的物质与文化生活需求；</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4.通过预算项目的实施，是否提高了劳动生产率，降低了劳动强度，促进了劳动人民的身心健康；</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5.通过部门履职行业形象是否得到了大大提升了，增强了部门影响力。</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textAlignment w:val="center"/>
              <w:rPr>
                <w:rFonts w:ascii="仿宋" w:hAnsi="仿宋" w:eastAsia="仿宋" w:cs="仿宋"/>
                <w:szCs w:val="21"/>
              </w:rPr>
            </w:pPr>
            <w:r>
              <w:rPr>
                <w:rFonts w:hint="eastAsia" w:ascii="仿宋" w:hAnsi="仿宋" w:eastAsia="仿宋" w:cs="仿宋"/>
                <w:color w:val="000000"/>
                <w:kern w:val="0"/>
                <w:szCs w:val="21"/>
                <w:lang w:bidi="ar"/>
              </w:rPr>
              <w:t>根据不同部门履职的内容和特点，具体测算部门履职产生的社会效益。</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trPr>
        <w:tc>
          <w:tcPr>
            <w:tcW w:w="779"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743" w:type="dxa"/>
            <w:vMerge w:val="continue"/>
            <w:tcBorders>
              <w:left w:val="single" w:color="000000" w:sz="4" w:space="0"/>
              <w:right w:val="single" w:color="000000" w:sz="4" w:space="0"/>
            </w:tcBorders>
            <w:vAlign w:val="center"/>
          </w:tcPr>
          <w:p>
            <w:pPr>
              <w:widowControl/>
              <w:spacing w:line="240" w:lineRule="exact"/>
              <w:jc w:val="left"/>
              <w:rPr>
                <w:rFonts w:ascii="仿宋_GB2312" w:hAnsi="新宋体" w:eastAsia="仿宋_GB2312" w:cs="仿宋_GB2312"/>
                <w:kern w:val="0"/>
                <w:szCs w:val="21"/>
                <w:lang w:bidi="ar"/>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rFonts w:ascii="仿宋_GB2312" w:hAnsi="新宋体" w:eastAsia="仿宋_GB2312" w:cs="仿宋_GB2312"/>
                <w:color w:val="000000"/>
                <w:kern w:val="0"/>
                <w:szCs w:val="21"/>
                <w:lang w:bidi="ar"/>
              </w:rPr>
            </w:pPr>
            <w:r>
              <w:rPr>
                <w:rFonts w:hint="eastAsia" w:ascii="仿宋_GB2312" w:hAnsi="新宋体" w:eastAsia="仿宋_GB2312" w:cs="仿宋_GB2312"/>
                <w:color w:val="000000"/>
                <w:kern w:val="0"/>
                <w:szCs w:val="21"/>
                <w:lang w:bidi="ar"/>
              </w:rPr>
              <w:t>生态效益（5分）</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部门及所属二级单位履行职责对生态环境所带来的直接或间接影响。</w:t>
            </w:r>
          </w:p>
          <w:p>
            <w:pPr>
              <w:widowControl/>
              <w:spacing w:line="240" w:lineRule="exact"/>
              <w:jc w:val="left"/>
              <w:textAlignment w:val="center"/>
              <w:rPr>
                <w:rFonts w:ascii="仿宋" w:hAnsi="仿宋" w:eastAsia="仿宋" w:cs="仿宋"/>
                <w:color w:val="000000"/>
                <w:kern w:val="0"/>
                <w:szCs w:val="21"/>
                <w:lang w:bidi="ar"/>
              </w:rPr>
            </w:pPr>
            <w:r>
              <w:rPr>
                <w:rFonts w:hint="eastAsia" w:ascii="仿宋" w:hAnsi="仿宋" w:eastAsia="仿宋" w:cs="仿宋"/>
                <w:color w:val="000000"/>
                <w:kern w:val="0"/>
                <w:szCs w:val="21"/>
                <w:lang w:bidi="ar"/>
              </w:rPr>
              <w:t>评价要点：</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1.通过预算支出项目的实施，绿色、节能环保新技术的应用和推广，明显带动各环节的节能减排，也具有一定的环境效益；</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2.通过履职有效地控制虚假、伪劣、霉变等劣质产品进入市场，影响了人民生活质量，净化地市场环境；</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3.通过预算支出项目的实施，是否达到减少污染物排放；</w:t>
            </w:r>
            <w:r>
              <w:rPr>
                <w:rFonts w:hint="eastAsia" w:ascii="仿宋" w:hAnsi="仿宋" w:eastAsia="仿宋" w:cs="仿宋"/>
                <w:color w:val="000000"/>
                <w:kern w:val="0"/>
                <w:szCs w:val="21"/>
                <w:lang w:bidi="ar"/>
              </w:rPr>
              <w:br w:type="textWrapping"/>
            </w:r>
            <w:r>
              <w:rPr>
                <w:rFonts w:hint="eastAsia" w:ascii="仿宋" w:hAnsi="仿宋" w:eastAsia="仿宋" w:cs="仿宋"/>
                <w:color w:val="000000"/>
                <w:kern w:val="0"/>
                <w:szCs w:val="21"/>
                <w:lang w:bidi="ar"/>
              </w:rPr>
              <w:t>4.通过预算支出项目的实施，周围环境得到了整治，面貌得到了改善。</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jc w:val="left"/>
              <w:textAlignment w:val="center"/>
              <w:rPr>
                <w:szCs w:val="21"/>
              </w:rPr>
            </w:pPr>
            <w:r>
              <w:rPr>
                <w:rFonts w:hint="eastAsia" w:ascii="仿宋" w:hAnsi="仿宋" w:eastAsia="仿宋" w:cs="仿宋"/>
                <w:color w:val="000000"/>
                <w:kern w:val="0"/>
                <w:szCs w:val="21"/>
                <w:lang w:bidi="ar"/>
              </w:rPr>
              <w:t>根据不同部门履职的内容和特点，具体测算部门履职产生的生态效益。</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szCs w:val="21"/>
              </w:rPr>
            </w:pPr>
          </w:p>
        </w:tc>
        <w:tc>
          <w:tcPr>
            <w:tcW w:w="743" w:type="dxa"/>
            <w:vMerge w:val="continue"/>
            <w:tcBorders>
              <w:left w:val="single" w:color="000000" w:sz="4" w:space="0"/>
              <w:right w:val="single" w:color="000000" w:sz="4" w:space="0"/>
            </w:tcBorders>
            <w:vAlign w:val="center"/>
          </w:tcPr>
          <w:p>
            <w:pPr>
              <w:widowControl/>
              <w:spacing w:line="240" w:lineRule="exact"/>
              <w:jc w:val="left"/>
              <w:rPr>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szCs w:val="21"/>
              </w:rPr>
            </w:pPr>
            <w:r>
              <w:rPr>
                <w:rFonts w:hint="eastAsia" w:ascii="仿宋_GB2312" w:hAnsi="新宋体" w:eastAsia="仿宋_GB2312" w:cs="仿宋_GB2312"/>
                <w:kern w:val="0"/>
                <w:szCs w:val="21"/>
                <w:lang w:bidi="ar"/>
              </w:rPr>
              <w:t>服务对象</w:t>
            </w:r>
            <w:r>
              <w:rPr>
                <w:rFonts w:ascii="仿宋_GB2312" w:hAnsi="新宋体" w:eastAsia="仿宋_GB2312" w:cs="仿宋_GB2312"/>
                <w:kern w:val="0"/>
                <w:szCs w:val="21"/>
                <w:lang w:bidi="ar"/>
              </w:rPr>
              <w:t>满意度（5）</w:t>
            </w: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szCs w:val="21"/>
              </w:rPr>
            </w:pPr>
            <w:r>
              <w:rPr>
                <w:rFonts w:hint="eastAsia" w:ascii="仿宋_GB2312" w:hAnsi="新宋体" w:eastAsia="仿宋_GB2312" w:cs="仿宋_GB2312"/>
                <w:kern w:val="0"/>
                <w:szCs w:val="21"/>
                <w:lang w:bidi="ar"/>
              </w:rPr>
              <w:t>通过对部门（单位）的服务对象对部门履职效果的满意程度调查，反映和考核社会公众或服务对象对部门履职的满意度。</w:t>
            </w: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rPr>
                <w:rFonts w:ascii="仿宋" w:hAnsi="仿宋" w:eastAsia="仿宋" w:cs="宋体"/>
                <w:kern w:val="0"/>
                <w:szCs w:val="21"/>
              </w:rPr>
            </w:pPr>
            <w:r>
              <w:rPr>
                <w:rFonts w:ascii="仿宋" w:hAnsi="仿宋" w:eastAsia="仿宋" w:cs="Arial"/>
                <w:kern w:val="0"/>
                <w:szCs w:val="21"/>
              </w:rPr>
              <w:t>按照满意度调查的优秀、良好、合格、不合格给予该项指标打分：</w:t>
            </w:r>
          </w:p>
          <w:p>
            <w:pPr>
              <w:widowControl/>
              <w:spacing w:line="240" w:lineRule="exact"/>
              <w:rPr>
                <w:szCs w:val="21"/>
              </w:rPr>
            </w:pPr>
            <w:r>
              <w:rPr>
                <w:rFonts w:ascii="仿宋" w:hAnsi="仿宋" w:eastAsia="仿宋" w:cs="Arial"/>
                <w:kern w:val="0"/>
                <w:szCs w:val="21"/>
              </w:rPr>
              <w:t>优秀（</w:t>
            </w:r>
            <w:r>
              <w:rPr>
                <w:rFonts w:hint="eastAsia" w:ascii="仿宋" w:hAnsi="仿宋" w:eastAsia="仿宋" w:cs="Arial"/>
                <w:kern w:val="0"/>
                <w:szCs w:val="21"/>
              </w:rPr>
              <w:t>5</w:t>
            </w:r>
            <w:r>
              <w:rPr>
                <w:rFonts w:ascii="仿宋" w:hAnsi="仿宋" w:eastAsia="仿宋" w:cs="Arial"/>
                <w:kern w:val="0"/>
                <w:szCs w:val="21"/>
              </w:rPr>
              <w:t>）；良好（</w:t>
            </w:r>
            <w:r>
              <w:rPr>
                <w:rFonts w:hint="eastAsia" w:ascii="仿宋" w:hAnsi="仿宋" w:eastAsia="仿宋" w:cs="Arial"/>
                <w:kern w:val="0"/>
                <w:szCs w:val="21"/>
              </w:rPr>
              <w:t>3</w:t>
            </w:r>
            <w:r>
              <w:rPr>
                <w:rFonts w:ascii="仿宋" w:hAnsi="仿宋" w:eastAsia="仿宋" w:cs="Arial"/>
                <w:kern w:val="0"/>
                <w:szCs w:val="21"/>
              </w:rPr>
              <w:t>）；合格（</w:t>
            </w:r>
            <w:r>
              <w:rPr>
                <w:rFonts w:hint="eastAsia" w:ascii="仿宋" w:hAnsi="仿宋" w:eastAsia="仿宋" w:cs="Arial"/>
                <w:kern w:val="0"/>
                <w:szCs w:val="21"/>
              </w:rPr>
              <w:t>1</w:t>
            </w:r>
            <w:r>
              <w:rPr>
                <w:rFonts w:ascii="仿宋" w:hAnsi="仿宋" w:eastAsia="仿宋" w:cs="Arial"/>
                <w:kern w:val="0"/>
                <w:szCs w:val="21"/>
              </w:rPr>
              <w:t>）；不合格（</w:t>
            </w:r>
            <w:r>
              <w:rPr>
                <w:rFonts w:hint="eastAsia" w:ascii="仿宋" w:hAnsi="仿宋" w:eastAsia="仿宋" w:cs="Arial"/>
                <w:kern w:val="0"/>
                <w:szCs w:val="21"/>
              </w:rPr>
              <w:t>0</w:t>
            </w:r>
            <w:r>
              <w:rPr>
                <w:rFonts w:ascii="仿宋" w:hAnsi="仿宋" w:eastAsia="仿宋" w:cs="Arial"/>
                <w:kern w:val="0"/>
                <w:szCs w:val="21"/>
              </w:rPr>
              <w:t>）。</w:t>
            </w: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eastAsia" w:eastAsiaTheme="minorEastAsia"/>
                <w:szCs w:val="21"/>
                <w:lang w:val="en-US" w:eastAsia="zh-CN"/>
              </w:rPr>
            </w:pPr>
            <w:r>
              <w:rPr>
                <w:rFonts w:hint="eastAsia"/>
                <w:szCs w:val="21"/>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4" w:hRule="atLeast"/>
        </w:trPr>
        <w:tc>
          <w:tcPr>
            <w:tcW w:w="77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eastAsiaTheme="minorEastAsia"/>
                <w:szCs w:val="21"/>
                <w:lang w:val="en-US" w:eastAsia="zh-CN"/>
              </w:rPr>
            </w:pPr>
            <w:r>
              <w:rPr>
                <w:rFonts w:hint="eastAsia" w:ascii="宋体"/>
                <w:szCs w:val="21"/>
                <w:lang w:val="en-US" w:eastAsia="zh-CN"/>
              </w:rPr>
              <w:t>合计</w:t>
            </w:r>
          </w:p>
        </w:tc>
        <w:tc>
          <w:tcPr>
            <w:tcW w:w="743" w:type="dxa"/>
            <w:tcBorders>
              <w:left w:val="single" w:color="000000" w:sz="4" w:space="0"/>
              <w:bottom w:val="single" w:color="auto" w:sz="4" w:space="0"/>
              <w:right w:val="single" w:color="000000" w:sz="4" w:space="0"/>
            </w:tcBorders>
            <w:vAlign w:val="center"/>
          </w:tcPr>
          <w:p>
            <w:pPr>
              <w:widowControl/>
              <w:spacing w:line="240" w:lineRule="exact"/>
              <w:jc w:val="left"/>
              <w:rPr>
                <w:szCs w:val="21"/>
              </w:rPr>
            </w:pPr>
          </w:p>
        </w:tc>
        <w:tc>
          <w:tcPr>
            <w:tcW w:w="1275" w:type="dxa"/>
            <w:tcBorders>
              <w:top w:val="single" w:color="000000" w:sz="4" w:space="0"/>
              <w:left w:val="single" w:color="000000" w:sz="4" w:space="0"/>
              <w:bottom w:val="single" w:color="000000" w:sz="4" w:space="0"/>
              <w:right w:val="single" w:color="auto" w:sz="4" w:space="0"/>
            </w:tcBorders>
            <w:vAlign w:val="center"/>
          </w:tcPr>
          <w:p>
            <w:pPr>
              <w:widowControl/>
              <w:spacing w:line="240" w:lineRule="exact"/>
              <w:jc w:val="left"/>
              <w:rPr>
                <w:rFonts w:hint="eastAsia" w:ascii="仿宋_GB2312" w:hAnsi="新宋体" w:eastAsia="仿宋_GB2312" w:cs="仿宋_GB2312"/>
                <w:kern w:val="0"/>
                <w:szCs w:val="21"/>
                <w:lang w:bidi="ar"/>
              </w:rPr>
            </w:pPr>
          </w:p>
        </w:tc>
        <w:tc>
          <w:tcPr>
            <w:tcW w:w="3436" w:type="dxa"/>
            <w:tcBorders>
              <w:top w:val="single" w:color="000000" w:sz="4" w:space="0"/>
              <w:left w:val="single" w:color="auto" w:sz="4" w:space="0"/>
              <w:bottom w:val="single" w:color="000000" w:sz="4" w:space="0"/>
              <w:right w:val="single" w:color="auto" w:sz="4" w:space="0"/>
            </w:tcBorders>
            <w:vAlign w:val="center"/>
          </w:tcPr>
          <w:p>
            <w:pPr>
              <w:widowControl/>
              <w:pBdr>
                <w:top w:val="none" w:color="000000" w:sz="0" w:space="0"/>
                <w:left w:val="none" w:color="000000" w:sz="0" w:space="0"/>
                <w:bottom w:val="none" w:color="000000" w:sz="0" w:space="0"/>
                <w:right w:val="none" w:color="000000" w:sz="0" w:space="0"/>
              </w:pBdr>
              <w:spacing w:line="240" w:lineRule="exact"/>
              <w:jc w:val="left"/>
              <w:rPr>
                <w:rFonts w:hint="eastAsia" w:ascii="仿宋_GB2312" w:hAnsi="新宋体" w:eastAsia="仿宋_GB2312" w:cs="仿宋_GB2312"/>
                <w:kern w:val="0"/>
                <w:szCs w:val="21"/>
                <w:lang w:bidi="ar"/>
              </w:rPr>
            </w:pPr>
          </w:p>
        </w:tc>
        <w:tc>
          <w:tcPr>
            <w:tcW w:w="2373" w:type="dxa"/>
            <w:tcBorders>
              <w:top w:val="single" w:color="000000" w:sz="4" w:space="0"/>
              <w:left w:val="single" w:color="auto" w:sz="4" w:space="0"/>
              <w:bottom w:val="single" w:color="000000" w:sz="4" w:space="0"/>
              <w:right w:val="single" w:color="auto" w:sz="4" w:space="0"/>
            </w:tcBorders>
            <w:vAlign w:val="center"/>
          </w:tcPr>
          <w:p>
            <w:pPr>
              <w:widowControl/>
              <w:spacing w:line="240" w:lineRule="exact"/>
              <w:rPr>
                <w:rFonts w:ascii="仿宋" w:hAnsi="仿宋" w:eastAsia="仿宋" w:cs="Arial"/>
                <w:kern w:val="0"/>
                <w:szCs w:val="21"/>
              </w:rPr>
            </w:pPr>
          </w:p>
        </w:tc>
        <w:tc>
          <w:tcPr>
            <w:tcW w:w="764" w:type="dxa"/>
            <w:tcBorders>
              <w:top w:val="single" w:color="000000" w:sz="4" w:space="0"/>
              <w:left w:val="single" w:color="auto" w:sz="4" w:space="0"/>
              <w:bottom w:val="single" w:color="000000" w:sz="4" w:space="0"/>
              <w:right w:val="single" w:color="000000" w:sz="4" w:space="0"/>
            </w:tcBorders>
            <w:vAlign w:val="center"/>
          </w:tcPr>
          <w:p>
            <w:pPr>
              <w:widowControl/>
              <w:spacing w:line="240" w:lineRule="exact"/>
              <w:jc w:val="left"/>
              <w:rPr>
                <w:rFonts w:hint="default" w:eastAsiaTheme="minorEastAsia"/>
                <w:szCs w:val="21"/>
                <w:lang w:val="en-US" w:eastAsia="zh-CN"/>
              </w:rPr>
            </w:pPr>
            <w:r>
              <w:rPr>
                <w:rFonts w:hint="eastAsia"/>
                <w:szCs w:val="21"/>
                <w:lang w:val="en-US" w:eastAsia="zh-CN"/>
              </w:rPr>
              <w:t>98</w:t>
            </w:r>
          </w:p>
        </w:tc>
      </w:tr>
    </w:tbl>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exact"/>
        <w:rPr>
          <w:rFonts w:ascii="仿宋" w:hAnsi="仿宋" w:eastAsia="仿宋" w:cs="仿宋"/>
          <w:sz w:val="32"/>
          <w:szCs w:val="32"/>
        </w:rPr>
      </w:pPr>
    </w:p>
    <w:p>
      <w:pPr>
        <w:spacing w:line="240" w:lineRule="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二、部门整体支出绩效评价提交单独word文档报告主要内容包括：</w:t>
      </w:r>
    </w:p>
    <w:p>
      <w:pPr>
        <w:numPr>
          <w:ilvl w:val="0"/>
          <w:numId w:val="1"/>
        </w:numPr>
        <w:spacing w:line="240" w:lineRule="auto"/>
        <w:ind w:firstLine="640" w:firstLineChars="200"/>
        <w:rPr>
          <w:rFonts w:hint="eastAsia" w:ascii="仿宋_GB2312" w:hAnsi="仿宋_GB2312" w:eastAsia="仿宋_GB2312" w:cs="仿宋_GB2312"/>
          <w:b w:val="0"/>
          <w:bCs/>
          <w:sz w:val="32"/>
        </w:rPr>
      </w:pPr>
      <w:r>
        <w:rPr>
          <w:rFonts w:hint="eastAsia" w:ascii="仿宋" w:hAnsi="仿宋" w:eastAsia="仿宋" w:cs="仿宋"/>
          <w:sz w:val="32"/>
          <w:szCs w:val="32"/>
          <w:lang w:val="en-US" w:eastAsia="zh-CN"/>
        </w:rPr>
        <w:t>基本概况。</w:t>
      </w:r>
    </w:p>
    <w:p>
      <w:pPr>
        <w:numPr>
          <w:ilvl w:val="0"/>
          <w:numId w:val="0"/>
        </w:numPr>
        <w:spacing w:line="240" w:lineRule="auto"/>
        <w:ind w:firstLine="643" w:firstLineChars="200"/>
        <w:rPr>
          <w:rFonts w:hint="eastAsia" w:ascii="仿宋_GB2312" w:hAnsi="仿宋_GB2312" w:eastAsia="仿宋_GB2312" w:cs="仿宋_GB2312"/>
          <w:b w:val="0"/>
          <w:bCs/>
          <w:sz w:val="32"/>
        </w:rPr>
      </w:pPr>
      <w:r>
        <w:rPr>
          <w:rFonts w:hint="eastAsia" w:ascii="仿宋_GB2312" w:hAnsi="仿宋_GB2312" w:eastAsia="仿宋_GB2312" w:cs="仿宋_GB2312"/>
          <w:b/>
          <w:bCs w:val="0"/>
          <w:sz w:val="32"/>
          <w:szCs w:val="32"/>
          <w:lang w:val="en-US" w:eastAsia="zh-CN"/>
        </w:rPr>
        <w:t>部门职责：</w:t>
      </w:r>
      <w:r>
        <w:rPr>
          <w:rFonts w:hint="eastAsia" w:ascii="仿宋_GB2312" w:hAnsi="仿宋_GB2312" w:eastAsia="仿宋_GB2312" w:cs="仿宋_GB2312"/>
          <w:b w:val="0"/>
          <w:bCs/>
          <w:sz w:val="32"/>
          <w:lang w:eastAsia="zh-CN"/>
        </w:rPr>
        <w:t>我局于</w:t>
      </w:r>
      <w:r>
        <w:rPr>
          <w:rFonts w:hint="eastAsia" w:ascii="仿宋_GB2312" w:hAnsi="仿宋_GB2312" w:eastAsia="仿宋_GB2312" w:cs="仿宋_GB2312"/>
          <w:b w:val="0"/>
          <w:bCs/>
          <w:sz w:val="32"/>
        </w:rPr>
        <w:t>2012年5月，由原市直机关事务管理局分设成立，为财政全额拨款的正处级事业单位，归口邢台市委办公室管理。</w:t>
      </w:r>
    </w:p>
    <w:p>
      <w:pPr>
        <w:spacing w:line="600" w:lineRule="exact"/>
        <w:rPr>
          <w:rFonts w:hint="eastAsia" w:ascii="仿宋_GB2312" w:eastAsia="仿宋_GB2312"/>
          <w:sz w:val="32"/>
        </w:rPr>
      </w:pPr>
      <w:r>
        <w:rPr>
          <w:rFonts w:hint="eastAsia" w:ascii="仿宋_GB2312" w:eastAsia="仿宋_GB2312"/>
          <w:sz w:val="32"/>
        </w:rPr>
        <w:t xml:space="preserve"> </w:t>
      </w:r>
      <w:r>
        <w:rPr>
          <w:rFonts w:hint="eastAsia" w:ascii="黑体" w:eastAsia="黑体"/>
          <w:sz w:val="32"/>
        </w:rPr>
        <w:t xml:space="preserve"> </w:t>
      </w:r>
      <w:r>
        <w:rPr>
          <w:rFonts w:hint="eastAsia" w:ascii="仿宋_GB2312" w:hAnsi="仿宋_GB2312" w:eastAsia="仿宋_GB2312"/>
          <w:sz w:val="32"/>
        </w:rPr>
        <w:t xml:space="preserve"> </w:t>
      </w:r>
      <w:r>
        <w:rPr>
          <w:rFonts w:hint="eastAsia" w:ascii="仿宋_GB2312" w:hAnsi="仿宋_GB2312" w:eastAsia="仿宋_GB2312"/>
          <w:sz w:val="32"/>
          <w:lang w:val="en-US" w:eastAsia="zh-CN"/>
        </w:rPr>
        <w:t xml:space="preserve"> </w:t>
      </w:r>
      <w:r>
        <w:rPr>
          <w:rFonts w:hint="eastAsia" w:ascii="仿宋_GB2312" w:eastAsia="仿宋_GB2312"/>
          <w:sz w:val="32"/>
        </w:rPr>
        <w:t>1、研究制订市委机关事务管理工作的政策规定并组织实施。</w:t>
      </w:r>
    </w:p>
    <w:p>
      <w:pPr>
        <w:spacing w:line="600" w:lineRule="exact"/>
        <w:ind w:firstLine="640" w:firstLineChars="200"/>
        <w:rPr>
          <w:rFonts w:hint="eastAsia" w:ascii="仿宋_GB2312" w:eastAsia="仿宋_GB2312"/>
          <w:sz w:val="32"/>
        </w:rPr>
      </w:pPr>
      <w:r>
        <w:rPr>
          <w:rFonts w:hint="eastAsia" w:ascii="仿宋_GB2312" w:eastAsia="仿宋_GB2312"/>
          <w:sz w:val="32"/>
        </w:rPr>
        <w:t>2、组织制订和实施机关资产管理的各项具体制度；负责市委机关大院固定资产和部分行政经费的管理。</w:t>
      </w:r>
    </w:p>
    <w:p>
      <w:pPr>
        <w:spacing w:line="600" w:lineRule="exact"/>
        <w:ind w:firstLine="640" w:firstLineChars="200"/>
        <w:rPr>
          <w:rFonts w:hint="eastAsia" w:ascii="仿宋_GB2312" w:eastAsia="仿宋_GB2312"/>
          <w:sz w:val="32"/>
        </w:rPr>
      </w:pPr>
      <w:r>
        <w:rPr>
          <w:rFonts w:hint="eastAsia" w:ascii="仿宋_GB2312" w:eastAsia="仿宋_GB2312"/>
          <w:sz w:val="32"/>
        </w:rPr>
        <w:t>3、制定并组织实施机关办公用房管理制度，对市委机关大院办公用房实行统一规划、调配和管理。</w:t>
      </w:r>
    </w:p>
    <w:p>
      <w:pPr>
        <w:spacing w:line="600" w:lineRule="exact"/>
        <w:ind w:firstLine="640" w:firstLineChars="200"/>
        <w:rPr>
          <w:rFonts w:hint="eastAsia" w:ascii="仿宋_GB2312" w:eastAsia="仿宋_GB2312"/>
          <w:sz w:val="32"/>
        </w:rPr>
      </w:pPr>
      <w:r>
        <w:rPr>
          <w:rFonts w:hint="eastAsia" w:ascii="仿宋_GB2312" w:eastAsia="仿宋_GB2312"/>
          <w:sz w:val="32"/>
        </w:rPr>
        <w:t>4、按照机关后勤服务社会化、市场化的改革要求，组织实施市委机关大院水、电、暖、通信等基础设施的建设和维护，以及安全保卫、消防抗洪、卫生保洁、绿化美化等服务管理工作；负责市委机关餐厅的管理工作。</w:t>
      </w:r>
    </w:p>
    <w:p>
      <w:pPr>
        <w:spacing w:line="600" w:lineRule="exact"/>
        <w:ind w:firstLine="640" w:firstLineChars="200"/>
        <w:rPr>
          <w:rFonts w:hint="eastAsia" w:ascii="仿宋_GB2312" w:eastAsia="仿宋_GB2312"/>
          <w:sz w:val="32"/>
        </w:rPr>
      </w:pPr>
      <w:r>
        <w:rPr>
          <w:rFonts w:hint="eastAsia" w:ascii="仿宋_GB2312" w:eastAsia="仿宋_GB2312"/>
          <w:sz w:val="32"/>
        </w:rPr>
        <w:t>5、负责全市公务用车的改革工作，协调有关部门制定改革方案，并组织实施。</w:t>
      </w:r>
    </w:p>
    <w:p>
      <w:pPr>
        <w:spacing w:line="600" w:lineRule="exact"/>
        <w:ind w:firstLine="640" w:firstLineChars="200"/>
        <w:rPr>
          <w:rFonts w:hint="eastAsia" w:ascii="仿宋_GB2312" w:eastAsia="仿宋_GB2312"/>
          <w:sz w:val="32"/>
        </w:rPr>
      </w:pPr>
      <w:r>
        <w:rPr>
          <w:rFonts w:hint="eastAsia" w:ascii="仿宋_GB2312" w:eastAsia="仿宋_GB2312"/>
          <w:sz w:val="32"/>
        </w:rPr>
        <w:t>6、承办市委和市委领导交办的其它工作。</w:t>
      </w:r>
    </w:p>
    <w:p>
      <w:pPr>
        <w:spacing w:line="600" w:lineRule="exact"/>
        <w:ind w:firstLine="640" w:firstLineChars="200"/>
        <w:rPr>
          <w:rFonts w:hint="eastAsia" w:ascii="仿宋_GB2312" w:eastAsia="仿宋_GB2312"/>
          <w:sz w:val="32"/>
          <w:lang w:val="en-US" w:eastAsia="zh-CN"/>
        </w:rPr>
      </w:pPr>
      <w:r>
        <w:rPr>
          <w:rFonts w:hint="eastAsia" w:ascii="仿宋_GB2312" w:eastAsia="仿宋_GB2312"/>
          <w:sz w:val="32"/>
          <w:lang w:val="en-US" w:eastAsia="zh-CN"/>
        </w:rPr>
        <w:t>7、兼管市委党史办财务工作。</w:t>
      </w:r>
    </w:p>
    <w:p>
      <w:pPr>
        <w:keepNext w:val="0"/>
        <w:keepLines w:val="0"/>
        <w:pageBreakBefore w:val="0"/>
        <w:widowControl w:val="0"/>
        <w:wordWrap/>
        <w:topLinePunct w:val="0"/>
        <w:autoSpaceDE w:val="0"/>
        <w:autoSpaceDN w:val="0"/>
        <w:bidi w:val="0"/>
        <w:adjustRightInd w:val="0"/>
        <w:snapToGrid/>
        <w:spacing w:line="600" w:lineRule="exact"/>
        <w:ind w:left="0" w:leftChars="0" w:firstLine="643" w:firstLineChars="200"/>
        <w:textAlignment w:val="auto"/>
        <w:outlineLvl w:val="9"/>
        <w:rPr>
          <w:rFonts w:hint="eastAsia" w:ascii="仿宋_GB2312" w:eastAsia="仿宋_GB2312"/>
          <w:sz w:val="32"/>
          <w:lang w:val="en-US" w:eastAsia="zh-CN"/>
        </w:rPr>
      </w:pPr>
      <w:r>
        <w:rPr>
          <w:rFonts w:hint="eastAsia" w:ascii="仿宋_GB2312" w:hAnsi="Cambria" w:eastAsia="仿宋_GB2312" w:cs="ArialUnicodeMS"/>
          <w:b/>
          <w:bCs/>
          <w:kern w:val="0"/>
          <w:sz w:val="32"/>
          <w:szCs w:val="32"/>
          <w:lang w:eastAsia="zh-CN"/>
        </w:rPr>
        <w:t>组织机构：</w:t>
      </w:r>
      <w:r>
        <w:rPr>
          <w:rFonts w:hint="eastAsia" w:ascii="仿宋_GB2312" w:hAnsi="Calibri" w:eastAsia="仿宋_GB2312" w:cs="ArialUnicodeMS"/>
          <w:kern w:val="0"/>
          <w:sz w:val="32"/>
          <w:szCs w:val="32"/>
        </w:rPr>
        <w:t>单位基本性质为</w:t>
      </w:r>
      <w:r>
        <w:rPr>
          <w:rFonts w:hint="eastAsia" w:ascii="仿宋_GB2312" w:hAnsi="Calibri" w:eastAsia="仿宋_GB2312" w:cs="ArialUnicodeMS"/>
          <w:kern w:val="0"/>
          <w:sz w:val="32"/>
          <w:szCs w:val="32"/>
          <w:lang w:eastAsia="zh-CN"/>
        </w:rPr>
        <w:t>参照公务员管理的事业</w:t>
      </w:r>
      <w:r>
        <w:rPr>
          <w:rFonts w:hint="eastAsia" w:ascii="仿宋_GB2312" w:hAnsi="Calibri" w:eastAsia="仿宋_GB2312" w:cs="ArialUnicodeMS"/>
          <w:kern w:val="0"/>
          <w:sz w:val="32"/>
          <w:szCs w:val="32"/>
        </w:rPr>
        <w:t>单位，预算管理级次为</w:t>
      </w:r>
      <w:r>
        <w:rPr>
          <w:rFonts w:hint="eastAsia" w:ascii="仿宋_GB2312" w:hAnsi="Calibri" w:eastAsia="仿宋_GB2312" w:cs="ArialUnicodeMS"/>
          <w:kern w:val="0"/>
          <w:sz w:val="32"/>
          <w:szCs w:val="32"/>
          <w:lang w:eastAsia="zh-CN"/>
        </w:rPr>
        <w:t>一</w:t>
      </w:r>
      <w:r>
        <w:rPr>
          <w:rFonts w:hint="eastAsia" w:ascii="仿宋_GB2312" w:hAnsi="Calibri" w:eastAsia="仿宋_GB2312" w:cs="ArialUnicodeMS"/>
          <w:kern w:val="0"/>
          <w:sz w:val="32"/>
          <w:szCs w:val="32"/>
        </w:rPr>
        <w:t>级预算单位，执行</w:t>
      </w:r>
      <w:r>
        <w:rPr>
          <w:rFonts w:hint="eastAsia" w:ascii="仿宋_GB2312" w:hAnsi="Calibri" w:eastAsia="仿宋_GB2312" w:cs="ArialUnicodeMS"/>
          <w:kern w:val="0"/>
          <w:sz w:val="32"/>
          <w:szCs w:val="32"/>
          <w:lang w:eastAsia="zh-CN"/>
        </w:rPr>
        <w:t>行政</w:t>
      </w:r>
      <w:r>
        <w:rPr>
          <w:rFonts w:hint="eastAsia" w:ascii="仿宋_GB2312" w:hAnsi="Calibri" w:eastAsia="仿宋_GB2312" w:cs="ArialUnicodeMS"/>
          <w:kern w:val="0"/>
          <w:sz w:val="32"/>
          <w:szCs w:val="32"/>
        </w:rPr>
        <w:t>单位会计制度</w:t>
      </w:r>
      <w:r>
        <w:rPr>
          <w:rFonts w:hint="eastAsia" w:ascii="仿宋_GB2312" w:hAnsi="Calibri" w:eastAsia="仿宋_GB2312" w:cs="ArialUnicodeMS"/>
          <w:kern w:val="0"/>
          <w:sz w:val="32"/>
          <w:szCs w:val="32"/>
          <w:lang w:eastAsia="zh-CN"/>
        </w:rPr>
        <w:t>；</w:t>
      </w:r>
    </w:p>
    <w:p>
      <w:pPr>
        <w:keepNext w:val="0"/>
        <w:keepLines w:val="0"/>
        <w:pageBreakBefore w:val="0"/>
        <w:widowControl w:val="0"/>
        <w:wordWrap/>
        <w:topLinePunct w:val="0"/>
        <w:autoSpaceDE w:val="0"/>
        <w:autoSpaceDN w:val="0"/>
        <w:bidi w:val="0"/>
        <w:adjustRightInd w:val="0"/>
        <w:snapToGrid/>
        <w:spacing w:line="600" w:lineRule="exact"/>
        <w:ind w:left="0" w:leftChars="0" w:firstLine="640" w:firstLineChars="200"/>
        <w:textAlignment w:val="auto"/>
        <w:outlineLvl w:val="9"/>
        <w:rPr>
          <w:rFonts w:hint="eastAsia" w:ascii="仿宋_GB2312" w:eastAsia="仿宋_GB2312"/>
          <w:sz w:val="32"/>
          <w:lang w:val="en-US" w:eastAsia="zh-CN"/>
        </w:rPr>
      </w:pPr>
      <w:r>
        <w:rPr>
          <w:rFonts w:hint="eastAsia" w:ascii="仿宋_GB2312" w:eastAsia="仿宋_GB2312"/>
          <w:sz w:val="32"/>
          <w:lang w:val="en-US" w:eastAsia="zh-CN"/>
        </w:rPr>
        <w:t>市委机关事务管理局设6个内设机构：办公室、财务科、综合管理科、服务科、保卫科、车辆管理科。</w:t>
      </w:r>
    </w:p>
    <w:p>
      <w:pPr>
        <w:keepNext w:val="0"/>
        <w:keepLines w:val="0"/>
        <w:pageBreakBefore w:val="0"/>
        <w:widowControl w:val="0"/>
        <w:wordWrap/>
        <w:topLinePunct w:val="0"/>
        <w:autoSpaceDE w:val="0"/>
        <w:autoSpaceDN w:val="0"/>
        <w:bidi w:val="0"/>
        <w:adjustRightInd w:val="0"/>
        <w:snapToGrid/>
        <w:spacing w:line="600" w:lineRule="exact"/>
        <w:ind w:left="0" w:leftChars="0" w:firstLine="640" w:firstLineChars="200"/>
        <w:textAlignment w:val="auto"/>
        <w:outlineLvl w:val="9"/>
        <w:rPr>
          <w:rFonts w:hint="eastAsia" w:ascii="仿宋_GB2312" w:eastAsia="仿宋_GB2312"/>
          <w:sz w:val="32"/>
          <w:lang w:val="en-US" w:eastAsia="zh-CN"/>
        </w:rPr>
      </w:pPr>
      <w:r>
        <w:rPr>
          <w:rFonts w:hint="eastAsia" w:ascii="仿宋_GB2312" w:eastAsia="仿宋_GB2312"/>
          <w:sz w:val="32"/>
          <w:lang w:val="en-US" w:eastAsia="zh-CN"/>
        </w:rPr>
        <w:t>市委党史研究室设4个内设机构：秘书科、编研一科、编研二科、宣教科。</w:t>
      </w:r>
    </w:p>
    <w:p>
      <w:pPr>
        <w:keepNext w:val="0"/>
        <w:keepLines w:val="0"/>
        <w:pageBreakBefore w:val="0"/>
        <w:widowControl w:val="0"/>
        <w:wordWrap/>
        <w:topLinePunct w:val="0"/>
        <w:autoSpaceDE w:val="0"/>
        <w:autoSpaceDN w:val="0"/>
        <w:bidi w:val="0"/>
        <w:adjustRightInd w:val="0"/>
        <w:snapToGrid/>
        <w:spacing w:line="600" w:lineRule="exact"/>
        <w:ind w:left="0" w:leftChars="0" w:firstLine="643" w:firstLineChars="200"/>
        <w:textAlignment w:val="auto"/>
        <w:outlineLvl w:val="9"/>
        <w:rPr>
          <w:rFonts w:hint="eastAsia" w:ascii="仿宋_GB2312" w:eastAsia="仿宋_GB2312"/>
          <w:sz w:val="32"/>
          <w:lang w:val="en-US" w:eastAsia="zh-CN"/>
        </w:rPr>
      </w:pPr>
      <w:r>
        <w:rPr>
          <w:rFonts w:hint="eastAsia" w:ascii="仿宋_GB2312" w:eastAsia="仿宋_GB2312"/>
          <w:b/>
          <w:bCs/>
          <w:sz w:val="32"/>
          <w:lang w:val="en-US" w:eastAsia="zh-CN"/>
        </w:rPr>
        <w:t>人员情况：</w:t>
      </w:r>
      <w:r>
        <w:rPr>
          <w:rFonts w:hint="eastAsia" w:ascii="仿宋_GB2312" w:hAnsi="仿宋_GB2312" w:eastAsia="仿宋_GB2312" w:cs="仿宋_GB2312"/>
          <w:sz w:val="32"/>
          <w:szCs w:val="32"/>
        </w:rPr>
        <w:t>我局事业编制18人，自收自收编制5人；现有全额财政在职人员28人，退休人员2</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人，合计5</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人；自收自支人员5人。市委党史办事业编制16人，全额财政在职13人，退休16人，合计29人。总计</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人。</w:t>
      </w:r>
    </w:p>
    <w:p>
      <w:pPr>
        <w:widowControl/>
        <w:spacing w:line="560" w:lineRule="exact"/>
        <w:ind w:firstLine="640" w:firstLineChars="200"/>
        <w:jc w:val="both"/>
        <w:rPr>
          <w:rFonts w:hint="eastAsia" w:ascii="仿宋_GB2312" w:eastAsia="仿宋_GB2312"/>
          <w:sz w:val="32"/>
          <w:lang w:val="en-US" w:eastAsia="zh-CN"/>
        </w:rPr>
      </w:pPr>
    </w:p>
    <w:p>
      <w:pPr>
        <w:numPr>
          <w:ilvl w:val="0"/>
          <w:numId w:val="0"/>
        </w:numPr>
        <w:spacing w:line="240" w:lineRule="auto"/>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资产情况：</w:t>
      </w:r>
    </w:p>
    <w:p>
      <w:pPr>
        <w:ind w:firstLine="640"/>
        <w:rPr>
          <w:rFonts w:hint="eastAsia" w:ascii="仿宋_GB2312" w:hAnsi="仿宋_GB2312" w:eastAsia="仿宋_GB2312"/>
          <w:color w:val="000000"/>
          <w:sz w:val="32"/>
        </w:rPr>
      </w:pPr>
      <w:r>
        <w:rPr>
          <w:rFonts w:hint="eastAsia" w:ascii="仿宋_GB2312" w:hAnsi="仿宋_GB2312" w:eastAsia="仿宋_GB2312"/>
          <w:color w:val="000000"/>
          <w:sz w:val="32"/>
          <w:lang w:val="en-US" w:eastAsia="zh-CN"/>
        </w:rPr>
        <w:t>2020年</w:t>
      </w:r>
      <w:r>
        <w:rPr>
          <w:rFonts w:hint="eastAsia" w:ascii="仿宋_GB2312" w:hAnsi="仿宋_GB2312" w:eastAsia="仿宋_GB2312"/>
          <w:color w:val="000000"/>
          <w:sz w:val="32"/>
        </w:rPr>
        <w:t>末固定资产金额为</w:t>
      </w:r>
      <w:r>
        <w:rPr>
          <w:rFonts w:hint="eastAsia" w:ascii="仿宋_GB2312" w:hAnsi="仿宋_GB2312" w:eastAsia="仿宋_GB2312"/>
          <w:color w:val="000000"/>
          <w:sz w:val="32"/>
          <w:lang w:val="en-US" w:eastAsia="zh-CN"/>
        </w:rPr>
        <w:t>2525.8</w:t>
      </w:r>
      <w:r>
        <w:rPr>
          <w:rFonts w:hint="eastAsia" w:ascii="仿宋_GB2312" w:hAnsi="仿宋_GB2312" w:eastAsia="仿宋_GB2312"/>
          <w:color w:val="000000"/>
          <w:sz w:val="32"/>
        </w:rPr>
        <w:t>万元。</w:t>
      </w:r>
    </w:p>
    <w:tbl>
      <w:tblPr>
        <w:tblStyle w:val="10"/>
        <w:tblpPr w:leftFromText="180" w:rightFromText="180" w:vertAnchor="text" w:horzAnchor="page" w:tblpX="1942" w:tblpY="197"/>
        <w:tblOverlap w:val="never"/>
        <w:tblW w:w="8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6"/>
        <w:gridCol w:w="1184"/>
        <w:gridCol w:w="698"/>
        <w:gridCol w:w="2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8440" w:type="dxa"/>
            <w:gridSpan w:val="4"/>
            <w:vAlign w:val="top"/>
          </w:tcPr>
          <w:p>
            <w:pPr>
              <w:jc w:val="center"/>
              <w:rPr>
                <w:rFonts w:hint="eastAsia" w:ascii="仿宋_GB2312" w:hAnsi="仿宋_GB2312" w:eastAsia="仿宋_GB2312"/>
                <w:color w:val="000000"/>
                <w:sz w:val="24"/>
              </w:rPr>
            </w:pPr>
            <w:r>
              <w:rPr>
                <w:rFonts w:hint="eastAsia" w:ascii="仿宋_GB2312" w:hAnsi="仿宋_GB2312" w:eastAsia="仿宋_GB2312"/>
                <w:color w:val="000000"/>
                <w:sz w:val="24"/>
                <w:lang w:eastAsia="zh-CN"/>
              </w:rPr>
              <w:t>中共</w:t>
            </w:r>
            <w:r>
              <w:rPr>
                <w:rFonts w:hint="eastAsia" w:ascii="仿宋_GB2312" w:hAnsi="仿宋_GB2312" w:eastAsia="仿宋_GB2312"/>
                <w:color w:val="000000"/>
                <w:sz w:val="24"/>
              </w:rPr>
              <w:t>邢台市</w:t>
            </w:r>
            <w:r>
              <w:rPr>
                <w:rFonts w:hint="eastAsia" w:ascii="仿宋_GB2312" w:hAnsi="仿宋_GB2312" w:eastAsia="仿宋_GB2312"/>
                <w:color w:val="000000"/>
                <w:sz w:val="24"/>
                <w:lang w:eastAsia="zh-CN"/>
              </w:rPr>
              <w:t>委机关事务管理局</w:t>
            </w:r>
            <w:r>
              <w:rPr>
                <w:rFonts w:hint="eastAsia" w:ascii="仿宋_GB2312" w:hAnsi="仿宋_GB2312" w:eastAsia="仿宋_GB2312"/>
                <w:color w:val="000000"/>
                <w:sz w:val="24"/>
              </w:rPr>
              <w:t>固定资产占用情况表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5180" w:type="dxa"/>
            <w:gridSpan w:val="2"/>
            <w:vAlign w:val="top"/>
          </w:tcPr>
          <w:p>
            <w:pPr>
              <w:autoSpaceDE w:val="0"/>
              <w:autoSpaceDN w:val="0"/>
              <w:rPr>
                <w:rFonts w:hint="eastAsia" w:ascii="仿宋_GB2312" w:hAnsi="仿宋_GB2312" w:eastAsia="仿宋_GB2312"/>
                <w:color w:val="000000"/>
                <w:sz w:val="24"/>
              </w:rPr>
            </w:pPr>
            <w:r>
              <w:rPr>
                <w:rFonts w:hint="eastAsia" w:ascii="仿宋_GB2312" w:hAnsi="仿宋_GB2312" w:eastAsia="仿宋_GB2312"/>
                <w:color w:val="000000"/>
                <w:sz w:val="24"/>
              </w:rPr>
              <w:t>编制部门：邢台市</w:t>
            </w:r>
            <w:r>
              <w:rPr>
                <w:rFonts w:hint="eastAsia" w:ascii="仿宋_GB2312" w:hAnsi="仿宋_GB2312" w:eastAsia="仿宋_GB2312"/>
                <w:color w:val="000000"/>
                <w:sz w:val="24"/>
                <w:lang w:eastAsia="zh-CN"/>
              </w:rPr>
              <w:t>委机关事务管理局</w:t>
            </w:r>
            <w:r>
              <w:rPr>
                <w:rFonts w:hint="eastAsia" w:ascii="仿宋_GB2312" w:hAnsi="仿宋_GB2312" w:eastAsia="仿宋_GB2312"/>
                <w:color w:val="000000"/>
                <w:sz w:val="24"/>
              </w:rPr>
              <w:t xml:space="preserve"> </w:t>
            </w:r>
          </w:p>
        </w:tc>
        <w:tc>
          <w:tcPr>
            <w:tcW w:w="3260" w:type="dxa"/>
            <w:gridSpan w:val="2"/>
            <w:vAlign w:val="top"/>
          </w:tcPr>
          <w:p>
            <w:pPr>
              <w:autoSpaceDE w:val="0"/>
              <w:autoSpaceDN w:val="0"/>
              <w:rPr>
                <w:rFonts w:hint="eastAsia" w:ascii="仿宋_GB2312" w:hAnsi="仿宋_GB2312" w:eastAsia="仿宋_GB2312"/>
                <w:color w:val="000000"/>
                <w:sz w:val="24"/>
              </w:rPr>
            </w:pPr>
            <w:r>
              <w:rPr>
                <w:rFonts w:hint="eastAsia" w:ascii="仿宋_GB2312" w:hAnsi="仿宋_GB2312" w:eastAsia="仿宋_GB2312"/>
                <w:color w:val="000000"/>
                <w:sz w:val="24"/>
              </w:rPr>
              <w:t>截止时间：20</w:t>
            </w:r>
            <w:r>
              <w:rPr>
                <w:rFonts w:hint="eastAsia" w:ascii="仿宋_GB2312" w:hAnsi="仿宋_GB2312" w:eastAsia="仿宋_GB2312"/>
                <w:color w:val="000000"/>
                <w:sz w:val="24"/>
                <w:lang w:val="en-US" w:eastAsia="zh-CN"/>
              </w:rPr>
              <w:t>20</w:t>
            </w:r>
            <w:r>
              <w:rPr>
                <w:rFonts w:hint="eastAsia" w:ascii="仿宋_GB2312" w:hAnsi="仿宋_GB2312" w:eastAsia="仿宋_GB2312"/>
                <w:color w:val="000000"/>
                <w:sz w:val="24"/>
              </w:rPr>
              <w:t xml:space="preserve">年12月31日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996" w:type="dxa"/>
            <w:vAlign w:val="top"/>
          </w:tcPr>
          <w:p>
            <w:pPr>
              <w:autoSpaceDE w:val="0"/>
              <w:autoSpaceDN w:val="0"/>
              <w:rPr>
                <w:rFonts w:hint="eastAsia" w:ascii="仿宋_GB2312" w:hAnsi="仿宋_GB2312" w:eastAsia="仿宋_GB2312"/>
                <w:color w:val="000000"/>
                <w:sz w:val="24"/>
              </w:rPr>
            </w:pPr>
            <w:r>
              <w:rPr>
                <w:rFonts w:hint="eastAsia" w:ascii="仿宋_GB2312" w:hAnsi="仿宋_GB2312" w:eastAsia="仿宋_GB2312"/>
                <w:color w:val="000000"/>
                <w:sz w:val="24"/>
              </w:rPr>
              <w:t xml:space="preserve">项 目 </w:t>
            </w:r>
          </w:p>
        </w:tc>
        <w:tc>
          <w:tcPr>
            <w:tcW w:w="1882" w:type="dxa"/>
            <w:gridSpan w:val="2"/>
            <w:vAlign w:val="top"/>
          </w:tcPr>
          <w:p>
            <w:pPr>
              <w:autoSpaceDE w:val="0"/>
              <w:autoSpaceDN w:val="0"/>
              <w:rPr>
                <w:rFonts w:hint="eastAsia" w:ascii="仿宋_GB2312" w:hAnsi="仿宋_GB2312" w:eastAsia="仿宋_GB2312"/>
                <w:color w:val="000000"/>
                <w:sz w:val="24"/>
              </w:rPr>
            </w:pPr>
            <w:r>
              <w:rPr>
                <w:rFonts w:hint="eastAsia" w:ascii="仿宋_GB2312" w:hAnsi="仿宋_GB2312" w:eastAsia="仿宋_GB2312"/>
                <w:color w:val="000000"/>
                <w:sz w:val="24"/>
              </w:rPr>
              <w:t xml:space="preserve">数量 </w:t>
            </w:r>
          </w:p>
        </w:tc>
        <w:tc>
          <w:tcPr>
            <w:tcW w:w="2562" w:type="dxa"/>
            <w:vAlign w:val="top"/>
          </w:tcPr>
          <w:p>
            <w:pPr>
              <w:autoSpaceDE w:val="0"/>
              <w:autoSpaceDN w:val="0"/>
              <w:rPr>
                <w:rFonts w:hint="eastAsia" w:ascii="仿宋_GB2312" w:hAnsi="仿宋_GB2312" w:eastAsia="仿宋_GB2312"/>
                <w:color w:val="000000"/>
                <w:sz w:val="24"/>
              </w:rPr>
            </w:pPr>
            <w:r>
              <w:rPr>
                <w:rFonts w:hint="eastAsia" w:ascii="仿宋_GB2312" w:hAnsi="仿宋_GB2312" w:eastAsia="仿宋_GB2312"/>
                <w:color w:val="000000"/>
                <w:sz w:val="24"/>
              </w:rPr>
              <w:t xml:space="preserve">价值（金额单位：万元）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996" w:type="dxa"/>
            <w:vAlign w:val="top"/>
          </w:tcPr>
          <w:p>
            <w:pPr>
              <w:autoSpaceDE w:val="0"/>
              <w:autoSpaceDN w:val="0"/>
              <w:rPr>
                <w:rFonts w:hint="eastAsia" w:ascii="仿宋_GB2312" w:hAnsi="仿宋_GB2312" w:eastAsia="仿宋_GB2312"/>
                <w:color w:val="000000"/>
                <w:sz w:val="24"/>
              </w:rPr>
            </w:pPr>
            <w:r>
              <w:rPr>
                <w:rFonts w:hint="eastAsia" w:ascii="仿宋_GB2312" w:hAnsi="仿宋_GB2312" w:eastAsia="仿宋_GB2312"/>
                <w:color w:val="000000"/>
                <w:sz w:val="24"/>
              </w:rPr>
              <w:t xml:space="preserve">资产总额 </w:t>
            </w:r>
          </w:p>
        </w:tc>
        <w:tc>
          <w:tcPr>
            <w:tcW w:w="1882" w:type="dxa"/>
            <w:gridSpan w:val="2"/>
            <w:vAlign w:val="top"/>
          </w:tcPr>
          <w:p>
            <w:pPr>
              <w:autoSpaceDE w:val="0"/>
              <w:autoSpaceDN w:val="0"/>
              <w:rPr>
                <w:rFonts w:hint="eastAsia" w:ascii="仿宋_GB2312" w:hAnsi="仿宋_GB2312" w:eastAsia="仿宋_GB2312"/>
                <w:color w:val="000000"/>
                <w:sz w:val="24"/>
              </w:rPr>
            </w:pPr>
            <w:r>
              <w:rPr>
                <w:rFonts w:hint="eastAsia" w:ascii="仿宋_GB2312" w:hAnsi="仿宋_GB2312" w:eastAsia="仿宋_GB2312"/>
                <w:color w:val="000000"/>
                <w:sz w:val="24"/>
              </w:rPr>
              <w:t xml:space="preserve">—— </w:t>
            </w:r>
          </w:p>
        </w:tc>
        <w:tc>
          <w:tcPr>
            <w:tcW w:w="2562" w:type="dxa"/>
            <w:vAlign w:val="top"/>
          </w:tcPr>
          <w:p>
            <w:pPr>
              <w:autoSpaceDE w:val="0"/>
              <w:autoSpaceDN w:val="0"/>
              <w:rPr>
                <w:rFonts w:hint="default" w:ascii="仿宋_GB2312" w:hAnsi="仿宋_GB2312" w:eastAsia="仿宋_GB2312"/>
                <w:color w:val="000000"/>
                <w:sz w:val="24"/>
                <w:lang w:val="en-US" w:eastAsia="zh-CN"/>
              </w:rPr>
            </w:pPr>
            <w:r>
              <w:rPr>
                <w:rFonts w:hint="eastAsia" w:ascii="仿宋_GB2312" w:hAnsi="仿宋_GB2312" w:eastAsia="仿宋_GB2312"/>
                <w:color w:val="000000"/>
                <w:sz w:val="24"/>
                <w:lang w:val="en-US" w:eastAsia="zh-CN"/>
              </w:rPr>
              <w:t>2525.8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996" w:type="dxa"/>
            <w:vAlign w:val="top"/>
          </w:tcPr>
          <w:p>
            <w:pPr>
              <w:autoSpaceDE w:val="0"/>
              <w:autoSpaceDN w:val="0"/>
              <w:rPr>
                <w:rFonts w:hint="eastAsia" w:ascii="仿宋_GB2312" w:hAnsi="仿宋_GB2312" w:eastAsia="仿宋_GB2312"/>
                <w:color w:val="000000"/>
                <w:sz w:val="24"/>
              </w:rPr>
            </w:pPr>
            <w:r>
              <w:rPr>
                <w:rFonts w:hint="eastAsia" w:ascii="仿宋_GB2312" w:hAnsi="仿宋_GB2312" w:eastAsia="仿宋_GB2312"/>
                <w:color w:val="000000"/>
                <w:sz w:val="24"/>
              </w:rPr>
              <w:t xml:space="preserve">1、房屋（平方米） </w:t>
            </w:r>
          </w:p>
        </w:tc>
        <w:tc>
          <w:tcPr>
            <w:tcW w:w="1882" w:type="dxa"/>
            <w:gridSpan w:val="2"/>
            <w:vAlign w:val="top"/>
          </w:tcPr>
          <w:p>
            <w:pPr>
              <w:autoSpaceDE w:val="0"/>
              <w:autoSpaceDN w:val="0"/>
              <w:rPr>
                <w:rFonts w:hint="eastAsia" w:ascii="仿宋_GB2312" w:hAnsi="仿宋_GB2312" w:eastAsia="仿宋_GB2312"/>
                <w:color w:val="000000"/>
                <w:sz w:val="24"/>
              </w:rPr>
            </w:pPr>
          </w:p>
        </w:tc>
        <w:tc>
          <w:tcPr>
            <w:tcW w:w="2562" w:type="dxa"/>
            <w:vAlign w:val="top"/>
          </w:tcPr>
          <w:p>
            <w:pPr>
              <w:autoSpaceDE w:val="0"/>
              <w:autoSpaceDN w:val="0"/>
              <w:rPr>
                <w:rFonts w:hint="eastAsia" w:ascii="仿宋_GB2312" w:hAns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996" w:type="dxa"/>
            <w:vAlign w:val="top"/>
          </w:tcPr>
          <w:p>
            <w:pPr>
              <w:autoSpaceDE w:val="0"/>
              <w:autoSpaceDN w:val="0"/>
              <w:rPr>
                <w:rFonts w:hint="eastAsia" w:ascii="仿宋_GB2312" w:hAnsi="仿宋_GB2312" w:eastAsia="仿宋_GB2312"/>
                <w:color w:val="000000"/>
                <w:sz w:val="24"/>
              </w:rPr>
            </w:pPr>
            <w:r>
              <w:rPr>
                <w:rFonts w:hint="eastAsia" w:ascii="仿宋_GB2312" w:hAnsi="仿宋_GB2312" w:eastAsia="仿宋_GB2312"/>
                <w:color w:val="000000"/>
                <w:sz w:val="24"/>
              </w:rPr>
              <w:t xml:space="preserve">其中：办公用房（平方米） </w:t>
            </w:r>
          </w:p>
        </w:tc>
        <w:tc>
          <w:tcPr>
            <w:tcW w:w="1882" w:type="dxa"/>
            <w:gridSpan w:val="2"/>
            <w:vAlign w:val="top"/>
          </w:tcPr>
          <w:p>
            <w:pPr>
              <w:autoSpaceDE w:val="0"/>
              <w:autoSpaceDN w:val="0"/>
              <w:rPr>
                <w:rFonts w:hint="eastAsia" w:ascii="仿宋_GB2312" w:hAnsi="仿宋_GB2312" w:eastAsia="仿宋_GB2312"/>
                <w:color w:val="000000"/>
                <w:sz w:val="24"/>
                <w:lang w:val="en-US" w:eastAsia="zh-CN"/>
              </w:rPr>
            </w:pPr>
            <w:r>
              <w:rPr>
                <w:rFonts w:hint="eastAsia" w:ascii="仿宋_GB2312" w:hAnsi="仿宋_GB2312" w:eastAsia="仿宋_GB2312"/>
                <w:color w:val="000000"/>
                <w:sz w:val="24"/>
                <w:lang w:val="en-US" w:eastAsia="zh-CN"/>
              </w:rPr>
              <w:t>29896</w:t>
            </w:r>
          </w:p>
        </w:tc>
        <w:tc>
          <w:tcPr>
            <w:tcW w:w="2562" w:type="dxa"/>
            <w:vAlign w:val="top"/>
          </w:tcPr>
          <w:p>
            <w:pPr>
              <w:autoSpaceDE w:val="0"/>
              <w:autoSpaceDN w:val="0"/>
              <w:rPr>
                <w:rFonts w:hint="default" w:ascii="仿宋_GB2312" w:hAnsi="仿宋_GB2312" w:eastAsia="仿宋_GB2312"/>
                <w:color w:val="000000"/>
                <w:sz w:val="24"/>
                <w:lang w:val="en-US" w:eastAsia="zh-CN"/>
              </w:rPr>
            </w:pPr>
            <w:r>
              <w:rPr>
                <w:rFonts w:hint="eastAsia" w:ascii="仿宋_GB2312" w:hAnsi="仿宋_GB2312" w:eastAsia="仿宋_GB2312"/>
                <w:color w:val="000000"/>
                <w:sz w:val="24"/>
                <w:lang w:val="en-US" w:eastAsia="zh-CN"/>
              </w:rPr>
              <w:t>604.08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996" w:type="dxa"/>
            <w:vAlign w:val="top"/>
          </w:tcPr>
          <w:p>
            <w:pPr>
              <w:autoSpaceDE w:val="0"/>
              <w:autoSpaceDN w:val="0"/>
              <w:rPr>
                <w:rFonts w:hint="eastAsia" w:ascii="仿宋_GB2312" w:hAnsi="仿宋_GB2312" w:eastAsia="仿宋_GB2312"/>
                <w:color w:val="000000"/>
                <w:sz w:val="24"/>
              </w:rPr>
            </w:pPr>
            <w:r>
              <w:rPr>
                <w:rFonts w:hint="eastAsia" w:ascii="仿宋_GB2312" w:hAnsi="仿宋_GB2312" w:eastAsia="仿宋_GB2312"/>
                <w:color w:val="000000"/>
                <w:sz w:val="24"/>
              </w:rPr>
              <w:t xml:space="preserve">2、车辆（台、辆） </w:t>
            </w:r>
          </w:p>
        </w:tc>
        <w:tc>
          <w:tcPr>
            <w:tcW w:w="1882" w:type="dxa"/>
            <w:gridSpan w:val="2"/>
            <w:vAlign w:val="top"/>
          </w:tcPr>
          <w:p>
            <w:pPr>
              <w:autoSpaceDE w:val="0"/>
              <w:autoSpaceDN w:val="0"/>
              <w:rPr>
                <w:rFonts w:hint="default" w:ascii="仿宋_GB2312" w:hAnsi="仿宋_GB2312" w:eastAsia="仿宋_GB2312"/>
                <w:color w:val="000000"/>
                <w:sz w:val="24"/>
                <w:lang w:val="en-US" w:eastAsia="zh-CN"/>
              </w:rPr>
            </w:pPr>
            <w:r>
              <w:rPr>
                <w:rFonts w:hint="eastAsia" w:ascii="仿宋_GB2312" w:hAnsi="仿宋_GB2312" w:eastAsia="仿宋_GB2312"/>
                <w:color w:val="000000"/>
                <w:sz w:val="24"/>
                <w:lang w:val="en-US" w:eastAsia="zh-CN"/>
              </w:rPr>
              <w:t>81</w:t>
            </w:r>
          </w:p>
        </w:tc>
        <w:tc>
          <w:tcPr>
            <w:tcW w:w="2562" w:type="dxa"/>
            <w:vAlign w:val="top"/>
          </w:tcPr>
          <w:p>
            <w:pPr>
              <w:autoSpaceDE w:val="0"/>
              <w:autoSpaceDN w:val="0"/>
              <w:rPr>
                <w:rFonts w:hint="default" w:ascii="仿宋_GB2312" w:hAnsi="仿宋_GB2312" w:eastAsia="仿宋_GB2312"/>
                <w:color w:val="000000"/>
                <w:sz w:val="24"/>
                <w:lang w:val="en-US" w:eastAsia="zh-CN"/>
              </w:rPr>
            </w:pPr>
            <w:r>
              <w:rPr>
                <w:rFonts w:hint="eastAsia" w:ascii="仿宋_GB2312" w:hAnsi="仿宋_GB2312" w:eastAsia="仿宋_GB2312"/>
                <w:color w:val="000000"/>
                <w:sz w:val="24"/>
                <w:lang w:val="en-US" w:eastAsia="zh-CN"/>
              </w:rPr>
              <w:t>1693.88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996" w:type="dxa"/>
            <w:vAlign w:val="top"/>
          </w:tcPr>
          <w:p>
            <w:pPr>
              <w:autoSpaceDE w:val="0"/>
              <w:autoSpaceDN w:val="0"/>
              <w:rPr>
                <w:rFonts w:hint="eastAsia" w:ascii="仿宋_GB2312" w:hAnsi="仿宋_GB2312" w:eastAsia="仿宋_GB2312"/>
                <w:color w:val="000000"/>
                <w:sz w:val="24"/>
              </w:rPr>
            </w:pPr>
            <w:r>
              <w:rPr>
                <w:rFonts w:hint="eastAsia" w:ascii="仿宋_GB2312" w:hAnsi="仿宋_GB2312" w:eastAsia="仿宋_GB2312"/>
                <w:color w:val="000000"/>
                <w:sz w:val="24"/>
              </w:rPr>
              <w:t>3、</w:t>
            </w:r>
            <w:r>
              <w:rPr>
                <w:rFonts w:hint="eastAsia" w:ascii="仿宋_GB2312" w:hAnsi="仿宋_GB2312" w:eastAsia="仿宋_GB2312"/>
                <w:color w:val="000000"/>
                <w:sz w:val="24"/>
                <w:lang w:eastAsia="zh-CN"/>
              </w:rPr>
              <w:t>其他</w:t>
            </w:r>
            <w:r>
              <w:rPr>
                <w:rFonts w:hint="eastAsia" w:ascii="仿宋_GB2312" w:hAnsi="仿宋_GB2312" w:eastAsia="仿宋_GB2312"/>
                <w:color w:val="000000"/>
                <w:sz w:val="24"/>
              </w:rPr>
              <w:t xml:space="preserve">设备 </w:t>
            </w:r>
          </w:p>
        </w:tc>
        <w:tc>
          <w:tcPr>
            <w:tcW w:w="1882" w:type="dxa"/>
            <w:gridSpan w:val="2"/>
            <w:vAlign w:val="top"/>
          </w:tcPr>
          <w:p>
            <w:pPr>
              <w:autoSpaceDE w:val="0"/>
              <w:autoSpaceDN w:val="0"/>
              <w:rPr>
                <w:rFonts w:hint="eastAsia" w:ascii="仿宋_GB2312" w:hAnsi="仿宋_GB2312" w:eastAsia="仿宋_GB2312"/>
                <w:color w:val="000000"/>
                <w:sz w:val="24"/>
              </w:rPr>
            </w:pPr>
            <w:r>
              <w:rPr>
                <w:rFonts w:hint="eastAsia" w:ascii="仿宋_GB2312" w:hAnsi="仿宋_GB2312" w:eastAsia="仿宋_GB2312"/>
                <w:color w:val="000000"/>
                <w:sz w:val="24"/>
              </w:rPr>
              <w:t xml:space="preserve">—— </w:t>
            </w:r>
          </w:p>
        </w:tc>
        <w:tc>
          <w:tcPr>
            <w:tcW w:w="2562" w:type="dxa"/>
            <w:vAlign w:val="top"/>
          </w:tcPr>
          <w:p>
            <w:pPr>
              <w:autoSpaceDE w:val="0"/>
              <w:autoSpaceDN w:val="0"/>
              <w:rPr>
                <w:rFonts w:hint="eastAsia" w:ascii="仿宋_GB2312" w:hAns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3996" w:type="dxa"/>
            <w:vAlign w:val="top"/>
          </w:tcPr>
          <w:p>
            <w:pPr>
              <w:autoSpaceDE w:val="0"/>
              <w:autoSpaceDN w:val="0"/>
              <w:rPr>
                <w:rFonts w:hint="eastAsia" w:ascii="仿宋_GB2312" w:hAnsi="仿宋_GB2312" w:eastAsia="仿宋_GB2312"/>
                <w:color w:val="000000"/>
                <w:sz w:val="24"/>
              </w:rPr>
            </w:pPr>
            <w:r>
              <w:rPr>
                <w:rFonts w:hint="eastAsia" w:ascii="仿宋_GB2312" w:hAnsi="仿宋_GB2312" w:eastAsia="仿宋_GB2312"/>
                <w:color w:val="000000"/>
                <w:sz w:val="24"/>
              </w:rPr>
              <w:t xml:space="preserve">4、其他固定资产 </w:t>
            </w:r>
          </w:p>
        </w:tc>
        <w:tc>
          <w:tcPr>
            <w:tcW w:w="1882" w:type="dxa"/>
            <w:gridSpan w:val="2"/>
            <w:vAlign w:val="top"/>
          </w:tcPr>
          <w:p>
            <w:pPr>
              <w:autoSpaceDE w:val="0"/>
              <w:autoSpaceDN w:val="0"/>
              <w:rPr>
                <w:rFonts w:hint="eastAsia" w:ascii="仿宋_GB2312" w:hAnsi="仿宋_GB2312" w:eastAsia="仿宋_GB2312"/>
                <w:color w:val="000000"/>
                <w:sz w:val="24"/>
              </w:rPr>
            </w:pPr>
            <w:r>
              <w:rPr>
                <w:rFonts w:hint="eastAsia" w:ascii="仿宋_GB2312" w:hAnsi="仿宋_GB2312" w:eastAsia="仿宋_GB2312"/>
                <w:color w:val="000000"/>
                <w:sz w:val="24"/>
              </w:rPr>
              <w:t xml:space="preserve">—— </w:t>
            </w:r>
          </w:p>
        </w:tc>
        <w:tc>
          <w:tcPr>
            <w:tcW w:w="2562" w:type="dxa"/>
            <w:vAlign w:val="top"/>
          </w:tcPr>
          <w:p>
            <w:pPr>
              <w:autoSpaceDE w:val="0"/>
              <w:autoSpaceDN w:val="0"/>
              <w:rPr>
                <w:rFonts w:hint="default" w:ascii="仿宋_GB2312" w:hAnsi="仿宋_GB2312" w:eastAsia="仿宋_GB2312"/>
                <w:color w:val="000000"/>
                <w:sz w:val="24"/>
                <w:lang w:val="en-US" w:eastAsia="zh-CN"/>
              </w:rPr>
            </w:pPr>
            <w:r>
              <w:rPr>
                <w:rFonts w:hint="eastAsia" w:ascii="仿宋_GB2312" w:hAnsi="仿宋_GB2312" w:eastAsia="仿宋_GB2312"/>
                <w:color w:val="000000"/>
                <w:sz w:val="24"/>
                <w:lang w:val="en-US" w:eastAsia="zh-CN"/>
              </w:rPr>
              <w:t>227.84</w:t>
            </w:r>
          </w:p>
        </w:tc>
      </w:tr>
    </w:tbl>
    <w:p>
      <w:pPr>
        <w:numPr>
          <w:ilvl w:val="0"/>
          <w:numId w:val="0"/>
        </w:numPr>
        <w:spacing w:line="240" w:lineRule="auto"/>
        <w:rPr>
          <w:rFonts w:hint="default" w:ascii="仿宋_GB2312" w:hAnsi="仿宋_GB2312" w:eastAsia="仿宋_GB2312" w:cs="仿宋_GB2312"/>
          <w:sz w:val="32"/>
          <w:szCs w:val="32"/>
          <w:lang w:val="en-US" w:eastAsia="zh-CN"/>
        </w:rPr>
      </w:pPr>
    </w:p>
    <w:p>
      <w:pPr>
        <w:numPr>
          <w:ilvl w:val="0"/>
          <w:numId w:val="0"/>
        </w:numPr>
        <w:spacing w:line="240" w:lineRule="auto"/>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部门履职总体目标</w:t>
      </w:r>
    </w:p>
    <w:p>
      <w:pPr>
        <w:numPr>
          <w:ilvl w:val="0"/>
          <w:numId w:val="0"/>
        </w:numPr>
        <w:spacing w:line="240" w:lineRule="auto"/>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年度整体绩效目标</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 w:eastAsia="仿宋_GB2312" w:cs="仿宋"/>
          <w:b w:val="0"/>
          <w:bCs w:val="0"/>
          <w:sz w:val="32"/>
          <w:szCs w:val="32"/>
          <w:lang w:eastAsia="zh-CN"/>
        </w:rPr>
      </w:pPr>
      <w:r>
        <w:rPr>
          <w:rFonts w:hint="eastAsia" w:ascii="仿宋_GB2312" w:hAnsi="仿宋" w:eastAsia="仿宋_GB2312" w:cs="仿宋"/>
          <w:b w:val="0"/>
          <w:bCs w:val="0"/>
          <w:sz w:val="32"/>
          <w:szCs w:val="32"/>
        </w:rPr>
        <w:t>紧紧围绕市委中心工作，以</w:t>
      </w:r>
      <w:r>
        <w:rPr>
          <w:rFonts w:hint="eastAsia" w:ascii="仿宋_GB2312" w:hAnsi="仿宋" w:eastAsia="仿宋_GB2312" w:cs="仿宋"/>
          <w:b w:val="0"/>
          <w:bCs w:val="0"/>
          <w:sz w:val="32"/>
          <w:szCs w:val="32"/>
          <w:lang w:eastAsia="zh-CN"/>
        </w:rPr>
        <w:t>习近平新时代中国特色社会主义思想和</w:t>
      </w:r>
      <w:r>
        <w:rPr>
          <w:rFonts w:hint="eastAsia" w:ascii="仿宋_GB2312" w:hAnsi="仿宋" w:eastAsia="仿宋_GB2312" w:cs="仿宋"/>
          <w:b w:val="0"/>
          <w:bCs w:val="0"/>
          <w:sz w:val="32"/>
          <w:szCs w:val="32"/>
        </w:rPr>
        <w:t>党的十九大精神为指导，</w:t>
      </w:r>
      <w:r>
        <w:rPr>
          <w:rFonts w:hint="eastAsia" w:ascii="仿宋_GB2312" w:hAnsi="仿宋" w:eastAsia="仿宋_GB2312" w:cs="仿宋"/>
          <w:b w:val="0"/>
          <w:bCs w:val="0"/>
          <w:sz w:val="32"/>
          <w:szCs w:val="32"/>
          <w:lang w:eastAsia="zh-CN"/>
        </w:rPr>
        <w:t>扎实开展工作，</w:t>
      </w:r>
      <w:r>
        <w:rPr>
          <w:rFonts w:hint="eastAsia" w:ascii="仿宋_GB2312" w:hAnsi="仿宋" w:eastAsia="仿宋_GB2312" w:cs="仿宋"/>
          <w:b w:val="0"/>
          <w:bCs w:val="0"/>
          <w:sz w:val="32"/>
          <w:szCs w:val="32"/>
        </w:rPr>
        <w:t>认真履行管理、保障、服务三大职能，强化提升创新服务意识，加强和规范机关事务管理的各项工作，以饱满的工作热情和优良的服务质量，为市委领导和市委大院各部门提供了可靠的后勤保障</w:t>
      </w:r>
      <w:r>
        <w:rPr>
          <w:rFonts w:hint="eastAsia" w:ascii="仿宋_GB2312" w:hAnsi="仿宋" w:eastAsia="仿宋_GB2312" w:cs="仿宋"/>
          <w:b w:val="0"/>
          <w:bCs w:val="0"/>
          <w:sz w:val="32"/>
          <w:szCs w:val="32"/>
          <w:lang w:eastAsia="zh-CN"/>
        </w:rPr>
        <w:t>。</w:t>
      </w:r>
    </w:p>
    <w:p>
      <w:pPr>
        <w:numPr>
          <w:ilvl w:val="0"/>
          <w:numId w:val="0"/>
        </w:numPr>
        <w:spacing w:line="240" w:lineRule="auto"/>
        <w:rPr>
          <w:rFonts w:hint="eastAsia" w:ascii="仿宋_GB2312" w:hAnsi="仿宋_GB2312" w:eastAsia="仿宋_GB2312" w:cs="仿宋_GB2312"/>
          <w:sz w:val="32"/>
          <w:szCs w:val="32"/>
          <w:lang w:val="en-US" w:eastAsia="zh-CN"/>
        </w:rPr>
      </w:pPr>
    </w:p>
    <w:p>
      <w:pPr>
        <w:numPr>
          <w:ilvl w:val="0"/>
          <w:numId w:val="0"/>
        </w:numPr>
        <w:spacing w:line="240" w:lineRule="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bCs/>
          <w:sz w:val="32"/>
          <w:szCs w:val="32"/>
          <w:lang w:val="en-US" w:eastAsia="zh-CN"/>
        </w:rPr>
        <w:t>预算资金安排及资金支出情况</w:t>
      </w:r>
    </w:p>
    <w:tbl>
      <w:tblPr>
        <w:tblStyle w:val="10"/>
        <w:tblW w:w="9084" w:type="dxa"/>
        <w:tblInd w:w="0" w:type="dxa"/>
        <w:shd w:val="clear" w:color="auto" w:fill="auto"/>
        <w:tblLayout w:type="autofit"/>
        <w:tblCellMar>
          <w:top w:w="0" w:type="dxa"/>
          <w:left w:w="0" w:type="dxa"/>
          <w:bottom w:w="0" w:type="dxa"/>
          <w:right w:w="0" w:type="dxa"/>
        </w:tblCellMar>
      </w:tblPr>
      <w:tblGrid>
        <w:gridCol w:w="2457"/>
        <w:gridCol w:w="1759"/>
        <w:gridCol w:w="1636"/>
        <w:gridCol w:w="1691"/>
        <w:gridCol w:w="1541"/>
      </w:tblGrid>
      <w:tr>
        <w:tblPrEx>
          <w:shd w:val="clear" w:color="auto" w:fill="auto"/>
          <w:tblCellMar>
            <w:top w:w="0" w:type="dxa"/>
            <w:left w:w="0" w:type="dxa"/>
            <w:bottom w:w="0" w:type="dxa"/>
            <w:right w:w="0" w:type="dxa"/>
          </w:tblCellMar>
        </w:tblPrEx>
        <w:trPr>
          <w:trHeight w:val="270" w:hRule="atLeast"/>
        </w:trPr>
        <w:tc>
          <w:tcPr>
            <w:tcW w:w="2457" w:type="dxa"/>
            <w:tcBorders>
              <w:top w:val="nil"/>
              <w:left w:val="nil"/>
              <w:bottom w:val="nil"/>
              <w:right w:val="nil"/>
            </w:tcBorders>
            <w:shd w:val="clear" w:color="auto" w:fill="auto"/>
            <w:tcMar>
              <w:top w:w="15" w:type="dxa"/>
              <w:left w:w="15" w:type="dxa"/>
              <w:right w:w="15" w:type="dxa"/>
            </w:tcMar>
            <w:vAlign w:val="bottom"/>
          </w:tcPr>
          <w:p>
            <w:pPr>
              <w:jc w:val="left"/>
              <w:rPr>
                <w:rFonts w:hint="eastAsia" w:ascii="宋体" w:hAnsi="宋体" w:eastAsia="宋体" w:cs="宋体"/>
                <w:b/>
                <w:i w:val="0"/>
                <w:color w:val="000000"/>
                <w:sz w:val="20"/>
                <w:szCs w:val="20"/>
                <w:u w:val="none"/>
              </w:rPr>
            </w:pPr>
          </w:p>
        </w:tc>
        <w:tc>
          <w:tcPr>
            <w:tcW w:w="1759" w:type="dxa"/>
            <w:tcBorders>
              <w:top w:val="nil"/>
              <w:left w:val="nil"/>
              <w:bottom w:val="nil"/>
              <w:right w:val="nil"/>
            </w:tcBorders>
            <w:shd w:val="clear" w:color="auto" w:fill="auto"/>
            <w:tcMar>
              <w:top w:w="15" w:type="dxa"/>
              <w:left w:w="15" w:type="dxa"/>
              <w:right w:w="15" w:type="dxa"/>
            </w:tcMar>
            <w:vAlign w:val="center"/>
          </w:tcPr>
          <w:p>
            <w:pPr>
              <w:jc w:val="center"/>
              <w:rPr>
                <w:rFonts w:hint="eastAsia" w:ascii="Helv" w:hAnsi="Helv" w:eastAsia="Helv" w:cs="Helv"/>
                <w:i w:val="0"/>
                <w:color w:val="000000"/>
                <w:sz w:val="20"/>
                <w:szCs w:val="20"/>
                <w:u w:val="none"/>
              </w:rPr>
            </w:pPr>
          </w:p>
        </w:tc>
        <w:tc>
          <w:tcPr>
            <w:tcW w:w="1636" w:type="dxa"/>
            <w:tcBorders>
              <w:top w:val="nil"/>
              <w:left w:val="nil"/>
              <w:bottom w:val="nil"/>
              <w:right w:val="nil"/>
            </w:tcBorders>
            <w:shd w:val="clear" w:color="auto" w:fill="auto"/>
            <w:tcMar>
              <w:top w:w="15" w:type="dxa"/>
              <w:left w:w="15" w:type="dxa"/>
              <w:right w:w="15" w:type="dxa"/>
            </w:tcMar>
            <w:vAlign w:val="bottom"/>
          </w:tcPr>
          <w:p>
            <w:pPr>
              <w:jc w:val="right"/>
              <w:rPr>
                <w:rFonts w:hint="eastAsia" w:ascii="方正书宋_GBK" w:hAnsi="方正书宋_GBK" w:eastAsia="方正书宋_GBK" w:cs="方正书宋_GBK"/>
                <w:b/>
                <w:i w:val="0"/>
                <w:color w:val="000000"/>
                <w:sz w:val="20"/>
                <w:szCs w:val="20"/>
                <w:u w:val="none"/>
              </w:rPr>
            </w:pPr>
          </w:p>
        </w:tc>
        <w:tc>
          <w:tcPr>
            <w:tcW w:w="3232"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单位：万元</w:t>
            </w:r>
          </w:p>
        </w:tc>
      </w:tr>
      <w:tr>
        <w:tblPrEx>
          <w:tblCellMar>
            <w:top w:w="0" w:type="dxa"/>
            <w:left w:w="0" w:type="dxa"/>
            <w:bottom w:w="0" w:type="dxa"/>
            <w:right w:w="0" w:type="dxa"/>
          </w:tblCellMar>
        </w:tblPrEx>
        <w:trPr>
          <w:trHeight w:val="600" w:hRule="atLeast"/>
        </w:trPr>
        <w:tc>
          <w:tcPr>
            <w:tcW w:w="24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项目名称</w:t>
            </w:r>
          </w:p>
        </w:tc>
        <w:tc>
          <w:tcPr>
            <w:tcW w:w="17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年初预算数</w:t>
            </w:r>
          </w:p>
        </w:tc>
        <w:tc>
          <w:tcPr>
            <w:tcW w:w="16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调整数</w:t>
            </w:r>
          </w:p>
        </w:tc>
        <w:tc>
          <w:tcPr>
            <w:tcW w:w="16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调整后数</w:t>
            </w:r>
          </w:p>
        </w:tc>
        <w:tc>
          <w:tcPr>
            <w:tcW w:w="154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实际支出数</w:t>
            </w:r>
          </w:p>
        </w:tc>
      </w:tr>
      <w:tr>
        <w:tblPrEx>
          <w:tblCellMar>
            <w:top w:w="0" w:type="dxa"/>
            <w:left w:w="0" w:type="dxa"/>
            <w:bottom w:w="0" w:type="dxa"/>
            <w:right w:w="0" w:type="dxa"/>
          </w:tblCellMar>
        </w:tblPrEx>
        <w:trPr>
          <w:trHeight w:val="120" w:hRule="atLeast"/>
        </w:trPr>
        <w:tc>
          <w:tcPr>
            <w:tcW w:w="24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7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6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6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c>
          <w:tcPr>
            <w:tcW w:w="1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2"/>
                <w:szCs w:val="22"/>
                <w:u w:val="none"/>
              </w:rPr>
            </w:pPr>
          </w:p>
        </w:tc>
      </w:tr>
      <w:tr>
        <w:tblPrEx>
          <w:tblCellMar>
            <w:top w:w="0" w:type="dxa"/>
            <w:left w:w="0" w:type="dxa"/>
            <w:bottom w:w="0" w:type="dxa"/>
            <w:right w:w="0" w:type="dxa"/>
          </w:tblCellMar>
        </w:tblPrEx>
        <w:trPr>
          <w:trHeight w:val="600" w:hRule="atLeast"/>
        </w:trPr>
        <w:tc>
          <w:tcPr>
            <w:tcW w:w="24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1842.32</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575.52</w:t>
            </w: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2417.84</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2374.4</w:t>
            </w:r>
          </w:p>
        </w:tc>
      </w:tr>
      <w:tr>
        <w:tblPrEx>
          <w:tblCellMar>
            <w:top w:w="0" w:type="dxa"/>
            <w:left w:w="0" w:type="dxa"/>
            <w:bottom w:w="0" w:type="dxa"/>
            <w:right w:w="0" w:type="dxa"/>
          </w:tblCellMar>
        </w:tblPrEx>
        <w:trPr>
          <w:trHeight w:val="600" w:hRule="atLeast"/>
        </w:trPr>
        <w:tc>
          <w:tcPr>
            <w:tcW w:w="24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602.93</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125.62</w:t>
            </w: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728.55</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678.93</w:t>
            </w:r>
          </w:p>
        </w:tc>
      </w:tr>
      <w:tr>
        <w:tblPrEx>
          <w:tblCellMar>
            <w:top w:w="0" w:type="dxa"/>
            <w:left w:w="0" w:type="dxa"/>
            <w:bottom w:w="0" w:type="dxa"/>
            <w:right w:w="0" w:type="dxa"/>
          </w:tblCellMar>
        </w:tblPrEx>
        <w:trPr>
          <w:trHeight w:val="600" w:hRule="atLeast"/>
        </w:trPr>
        <w:tc>
          <w:tcPr>
            <w:tcW w:w="24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正常公用</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109.39</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-3.1</w:t>
            </w: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106.29</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104.05</w:t>
            </w:r>
          </w:p>
        </w:tc>
      </w:tr>
      <w:tr>
        <w:tblPrEx>
          <w:tblCellMar>
            <w:top w:w="0" w:type="dxa"/>
            <w:left w:w="0" w:type="dxa"/>
            <w:bottom w:w="0" w:type="dxa"/>
            <w:right w:w="0" w:type="dxa"/>
          </w:tblCellMar>
        </w:tblPrEx>
        <w:trPr>
          <w:trHeight w:val="600" w:hRule="atLeast"/>
        </w:trPr>
        <w:tc>
          <w:tcPr>
            <w:tcW w:w="24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后勤保障服务经费</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375</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50 </w:t>
            </w: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425</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421.98</w:t>
            </w:r>
          </w:p>
        </w:tc>
      </w:tr>
      <w:tr>
        <w:tblPrEx>
          <w:tblCellMar>
            <w:top w:w="0" w:type="dxa"/>
            <w:left w:w="0" w:type="dxa"/>
            <w:bottom w:w="0" w:type="dxa"/>
            <w:right w:w="0" w:type="dxa"/>
          </w:tblCellMar>
        </w:tblPrEx>
        <w:trPr>
          <w:trHeight w:val="600" w:hRule="atLeast"/>
        </w:trPr>
        <w:tc>
          <w:tcPr>
            <w:tcW w:w="24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机关事务管理经费</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160</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500 </w:t>
            </w: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660</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640.66</w:t>
            </w:r>
          </w:p>
        </w:tc>
      </w:tr>
      <w:tr>
        <w:tblPrEx>
          <w:tblCellMar>
            <w:top w:w="0" w:type="dxa"/>
            <w:left w:w="0" w:type="dxa"/>
            <w:bottom w:w="0" w:type="dxa"/>
            <w:right w:w="0" w:type="dxa"/>
          </w:tblCellMar>
        </w:tblPrEx>
        <w:trPr>
          <w:trHeight w:val="600" w:hRule="atLeast"/>
        </w:trPr>
        <w:tc>
          <w:tcPr>
            <w:tcW w:w="24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公车平台专项</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485</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-97</w:t>
            </w: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388</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387.18</w:t>
            </w:r>
          </w:p>
        </w:tc>
      </w:tr>
      <w:tr>
        <w:tblPrEx>
          <w:tblCellMar>
            <w:top w:w="0" w:type="dxa"/>
            <w:left w:w="0" w:type="dxa"/>
            <w:bottom w:w="0" w:type="dxa"/>
            <w:right w:w="0" w:type="dxa"/>
          </w:tblCellMar>
        </w:tblPrEx>
        <w:trPr>
          <w:trHeight w:val="600" w:hRule="atLeast"/>
        </w:trPr>
        <w:tc>
          <w:tcPr>
            <w:tcW w:w="24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市委大院共用设施水电费</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100 </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100</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100</w:t>
            </w:r>
          </w:p>
        </w:tc>
      </w:tr>
      <w:tr>
        <w:tblPrEx>
          <w:tblCellMar>
            <w:top w:w="0" w:type="dxa"/>
            <w:left w:w="0" w:type="dxa"/>
            <w:bottom w:w="0" w:type="dxa"/>
            <w:right w:w="0" w:type="dxa"/>
          </w:tblCellMar>
        </w:tblPrEx>
        <w:trPr>
          <w:trHeight w:val="600" w:hRule="atLeast"/>
        </w:trPr>
        <w:tc>
          <w:tcPr>
            <w:tcW w:w="24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市党史专项经费</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10 </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10</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9.8</w:t>
            </w:r>
          </w:p>
        </w:tc>
      </w:tr>
      <w:tr>
        <w:tblPrEx>
          <w:tblCellMar>
            <w:top w:w="0" w:type="dxa"/>
            <w:left w:w="0" w:type="dxa"/>
            <w:bottom w:w="0" w:type="dxa"/>
            <w:right w:w="0" w:type="dxa"/>
          </w:tblCellMar>
        </w:tblPrEx>
        <w:trPr>
          <w:trHeight w:val="600" w:hRule="atLeast"/>
        </w:trPr>
        <w:tc>
          <w:tcPr>
            <w:tcW w:w="24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市委机关事务管理局、市委党史办安可替代工程实施计划专项经费</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40.04</w:t>
            </w:r>
          </w:p>
        </w:tc>
        <w:tc>
          <w:tcPr>
            <w:tcW w:w="16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40.04</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31.8</w:t>
            </w:r>
          </w:p>
        </w:tc>
      </w:tr>
    </w:tbl>
    <w:p>
      <w:pPr>
        <w:numPr>
          <w:ilvl w:val="0"/>
          <w:numId w:val="0"/>
        </w:numPr>
        <w:spacing w:line="240" w:lineRule="auto"/>
        <w:rPr>
          <w:rFonts w:hint="eastAsia" w:ascii="仿宋" w:hAnsi="仿宋" w:eastAsia="仿宋" w:cs="仿宋"/>
          <w:sz w:val="32"/>
          <w:szCs w:val="32"/>
          <w:lang w:val="en-US" w:eastAsia="zh-CN"/>
        </w:rPr>
      </w:pPr>
    </w:p>
    <w:p>
      <w:pPr>
        <w:numPr>
          <w:ilvl w:val="0"/>
          <w:numId w:val="0"/>
        </w:numPr>
        <w:spacing w:line="240" w:lineRule="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包括部门主要职责职能，组织架构、人员及资产情况、部门履职总体目标、年度整体绩效目标、工作任务，预算资金安排及资金支出情况。</w:t>
      </w:r>
    </w:p>
    <w:p>
      <w:pPr>
        <w:numPr>
          <w:ilvl w:val="0"/>
          <w:numId w:val="1"/>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预算绩效管理开展及整体绩效实现情况。包括部门开展预算绩效管理情况、工作履行活动完成情况、实施履职活动产生的效果及社会公众或服务对象满意程度。</w:t>
      </w:r>
    </w:p>
    <w:p>
      <w:pPr>
        <w:numPr>
          <w:ilvl w:val="0"/>
          <w:numId w:val="0"/>
        </w:numPr>
        <w:spacing w:line="240" w:lineRule="auto"/>
        <w:ind w:firstLine="640" w:firstLineChars="200"/>
        <w:rPr>
          <w:rFonts w:hint="default" w:ascii="仿宋" w:hAnsi="仿宋" w:eastAsia="仿宋" w:cs="仿宋"/>
          <w:sz w:val="32"/>
          <w:szCs w:val="32"/>
          <w:lang w:val="en-US" w:eastAsia="zh-CN"/>
        </w:rPr>
      </w:pPr>
      <w:r>
        <w:rPr>
          <w:rFonts w:hint="eastAsia" w:ascii="仿宋_GB2312" w:hAnsi="仿宋_GB2312" w:eastAsia="仿宋_GB2312" w:cs="仿宋_GB2312"/>
          <w:sz w:val="32"/>
          <w:szCs w:val="32"/>
          <w:lang w:val="en-US" w:eastAsia="zh-CN"/>
        </w:rPr>
        <w:t>预算绩效管理是深化部门预算改革的必然要求，是加强财政支出管理、提高财政资金使用效益的有效途径。为推进预算绩效管理工作的开展，我局制定了《预算绩效管理的实施方案》和《预算绩效管理的实施细则》，成立了预算绩效评价领导小组，全面加强预算管理，优化资源配置，提高财政资金使用效率和科学精细化管理水平。一是加强预算编制管理。强化项目绩效目标，针对单位申报的预算项目进行全面梳理、加强审核、合理保障，所有项目都有明细的资金测算，对无具体内容、无明细支出测算的，或支出测算不够细化的项目，一律不予安排。二是完善项目绩效管理责任，财政部门批复下达年度预算时，通过规范格式同步下达绩效，明确部门单位是预算执行主体，负责实现项目绩效目标，对未能如能实现绩效目标或绩效评价结果较差的，在每年底通过清理结转结余资金收回部分项目资金，或在编制下年度预算时适当调减项目资金额度。三是积极推进项目绩效评价，在加强预算编制环节的基础上，加强预算执行监督和执行结果评价，将财政监督渗透到预算管理的事前，事中、事后各个环节。2020年我局认真做好年度财政资金的预算编制工作，按照政府采购目标及采购限额标准编制政府采购预算，做到应编尽编，在资金使用和管理方面，进一步强化资金统筹，优化资金结构，明确开支范围，细化资金用途，确保部门职责任务顺利完成，全年基本支出保证了部门的正常运行和日常工作的正常开展，达到预期绩效目标，干部职工比较满意。</w:t>
      </w:r>
    </w:p>
    <w:p>
      <w:pPr>
        <w:numPr>
          <w:ilvl w:val="0"/>
          <w:numId w:val="1"/>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绩效评价的组织实施情况。包括评价对象绩效目标、绩效指标、评价标准和评价方法。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我局各科室把收支预算全面纳入了绩效管理，明确预算绩效管理责任，完善预算绩效体系，加强财政收支管理绩效。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科室根据市委、政府工作任务部署，部门发展规划、年度工作计划，针对主要职责和预算编制规定、要求，科学制定部门整体绩效目标，并依据整体绩效目标，分解细化各项目标要求，对需要资金支撑的科学合理测资金需求，全面设置政策和项目绩效目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目标的设置指向明确、细化量化、合理可行、相应匹配，达到可审核、可监控、可评价、可公开要求。绩效目标连同部门预算建议计划经局办公会研究后，一并报送市财政局。各科室强化预算资金统筹，完善项目决策机制，打破块块分割，优化部门预算支出结构，提高项目指标的精准性、有效性；部门年初预算资金均编制到具体项目，明确到具体承担科室，达到可执行程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科室对绩效目标实现程序和预算执行进度实行“双监控”，发现问题及时纠正，采取有效措施切实加强支出进度，确保绩效目标如期保质保量实现。对实施期超过一年的重大政策和项目实行全周期跟踪问效，实行中期绩效评估，政策到期、绩效低下的政策和项目要及时清理退出，对存在严重问题的政策、项目要暂缓或停止预算拨款，对预算支出进度偏慢的，按一定比例收回资金；对编离绩效目标或无法继续实施的，及时收回资金，统筹安排用于更亟需的支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各科室在年度预算执行终了，对预算执行和支出情况开展绩效评价，各科室将绩效评价结果按照规定的程序、内容、形式和时限报送财务科，汇总后上报市财政局，并在门户网站上公开。</w:t>
      </w:r>
    </w:p>
    <w:p>
      <w:pPr>
        <w:numPr>
          <w:ilvl w:val="0"/>
          <w:numId w:val="1"/>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各项绩效目标的实现程度及差异性原因分析。</w:t>
      </w:r>
    </w:p>
    <w:p>
      <w:pPr>
        <w:pStyle w:val="2"/>
        <w:ind w:left="0" w:leftChars="0" w:firstLine="640" w:firstLineChars="200"/>
        <w:rPr>
          <w:rFonts w:hint="default" w:eastAsia="宋体"/>
          <w:sz w:val="32"/>
          <w:szCs w:val="32"/>
          <w:lang w:val="en-US" w:eastAsia="zh-CN"/>
        </w:rPr>
      </w:pPr>
      <w:r>
        <w:rPr>
          <w:rFonts w:hint="eastAsia" w:ascii="仿宋_GB2312" w:hAnsi="仿宋" w:eastAsia="仿宋_GB2312"/>
          <w:sz w:val="32"/>
          <w:szCs w:val="32"/>
        </w:rPr>
        <w:t>我单位20</w:t>
      </w:r>
      <w:r>
        <w:rPr>
          <w:rFonts w:hint="eastAsia" w:ascii="仿宋_GB2312" w:hAnsi="仿宋" w:eastAsia="仿宋_GB2312"/>
          <w:sz w:val="32"/>
          <w:szCs w:val="32"/>
          <w:lang w:val="en-US" w:eastAsia="zh-CN"/>
        </w:rPr>
        <w:t>20</w:t>
      </w:r>
      <w:bookmarkStart w:id="0" w:name="_GoBack"/>
      <w:bookmarkEnd w:id="0"/>
      <w:r>
        <w:rPr>
          <w:rFonts w:hint="eastAsia" w:ascii="仿宋_GB2312" w:hAnsi="仿宋" w:eastAsia="仿宋_GB2312"/>
          <w:sz w:val="32"/>
          <w:szCs w:val="32"/>
        </w:rPr>
        <w:t>年年初预算安排</w:t>
      </w:r>
      <w:r>
        <w:rPr>
          <w:rFonts w:hint="eastAsia" w:ascii="仿宋_GB2312" w:hAnsi="仿宋" w:eastAsia="仿宋_GB2312"/>
          <w:sz w:val="32"/>
          <w:szCs w:val="32"/>
          <w:lang w:val="en-US" w:eastAsia="zh-CN"/>
        </w:rPr>
        <w:t>1842.32</w:t>
      </w:r>
      <w:r>
        <w:rPr>
          <w:rFonts w:hint="eastAsia" w:ascii="仿宋_GB2312" w:hAnsi="仿宋" w:eastAsia="仿宋_GB2312"/>
          <w:sz w:val="32"/>
          <w:szCs w:val="32"/>
        </w:rPr>
        <w:t>万元，财政拨款收入</w:t>
      </w:r>
      <w:r>
        <w:rPr>
          <w:rFonts w:hint="eastAsia" w:ascii="仿宋_GB2312" w:hAnsi="仿宋" w:eastAsia="仿宋_GB2312"/>
          <w:sz w:val="32"/>
          <w:szCs w:val="32"/>
          <w:lang w:val="en-US" w:eastAsia="zh-CN"/>
        </w:rPr>
        <w:t>2417.84</w:t>
      </w:r>
      <w:r>
        <w:rPr>
          <w:rFonts w:hint="eastAsia" w:ascii="仿宋_GB2312" w:hAnsi="仿宋" w:eastAsia="仿宋_GB2312"/>
          <w:sz w:val="32"/>
          <w:szCs w:val="32"/>
        </w:rPr>
        <w:t>万元，支出</w:t>
      </w:r>
      <w:r>
        <w:rPr>
          <w:rFonts w:hint="eastAsia" w:ascii="仿宋_GB2312" w:hAnsi="仿宋" w:eastAsia="仿宋_GB2312"/>
          <w:sz w:val="32"/>
          <w:szCs w:val="32"/>
          <w:lang w:val="en-US" w:eastAsia="zh-CN"/>
        </w:rPr>
        <w:t>2417.84</w:t>
      </w:r>
      <w:r>
        <w:rPr>
          <w:rFonts w:hint="eastAsia" w:ascii="仿宋_GB2312" w:hAnsi="仿宋" w:eastAsia="仿宋_GB2312"/>
          <w:sz w:val="32"/>
          <w:szCs w:val="32"/>
        </w:rPr>
        <w:t>万元，20</w:t>
      </w:r>
      <w:r>
        <w:rPr>
          <w:rFonts w:hint="eastAsia" w:ascii="仿宋_GB2312" w:hAnsi="仿宋" w:eastAsia="仿宋_GB2312"/>
          <w:sz w:val="32"/>
          <w:szCs w:val="32"/>
          <w:lang w:val="en-US" w:eastAsia="zh-CN"/>
        </w:rPr>
        <w:t>20</w:t>
      </w:r>
      <w:r>
        <w:rPr>
          <w:rFonts w:hint="eastAsia" w:ascii="仿宋_GB2312" w:hAnsi="仿宋" w:eastAsia="仿宋_GB2312"/>
          <w:sz w:val="32"/>
          <w:szCs w:val="32"/>
        </w:rPr>
        <w:t>年收入与年初预算</w:t>
      </w:r>
      <w:r>
        <w:rPr>
          <w:rFonts w:hint="eastAsia" w:ascii="仿宋_GB2312" w:hAnsi="仿宋" w:eastAsia="仿宋_GB2312"/>
          <w:sz w:val="32"/>
          <w:szCs w:val="32"/>
          <w:lang w:val="en-US" w:eastAsia="zh-CN"/>
        </w:rPr>
        <w:t>1842.32</w:t>
      </w:r>
      <w:r>
        <w:rPr>
          <w:rFonts w:hint="eastAsia" w:ascii="仿宋_GB2312" w:hAnsi="仿宋" w:eastAsia="仿宋_GB2312"/>
          <w:sz w:val="32"/>
          <w:szCs w:val="32"/>
        </w:rPr>
        <w:t>万元，</w:t>
      </w:r>
      <w:r>
        <w:rPr>
          <w:rFonts w:hint="eastAsia" w:ascii="仿宋_GB2312" w:hAnsi="仿宋" w:eastAsia="仿宋_GB2312"/>
          <w:sz w:val="32"/>
          <w:szCs w:val="32"/>
          <w:lang w:eastAsia="zh-CN"/>
        </w:rPr>
        <w:t>增加</w:t>
      </w:r>
      <w:r>
        <w:rPr>
          <w:rFonts w:hint="eastAsia" w:ascii="仿宋_GB2312" w:hAnsi="仿宋" w:eastAsia="仿宋_GB2312"/>
          <w:sz w:val="32"/>
          <w:szCs w:val="32"/>
          <w:lang w:val="en-US" w:eastAsia="zh-CN"/>
        </w:rPr>
        <w:t>575.52</w:t>
      </w:r>
      <w:r>
        <w:rPr>
          <w:rFonts w:hint="eastAsia" w:ascii="仿宋_GB2312" w:hAnsi="仿宋" w:eastAsia="仿宋_GB2312"/>
          <w:sz w:val="32"/>
          <w:szCs w:val="32"/>
        </w:rPr>
        <w:t>万元，同比</w:t>
      </w:r>
      <w:r>
        <w:rPr>
          <w:rFonts w:hint="eastAsia" w:ascii="仿宋_GB2312" w:hAnsi="仿宋" w:eastAsia="仿宋_GB2312"/>
          <w:sz w:val="32"/>
          <w:szCs w:val="32"/>
          <w:lang w:eastAsia="zh-CN"/>
        </w:rPr>
        <w:t>增加</w:t>
      </w:r>
      <w:r>
        <w:rPr>
          <w:rFonts w:hint="eastAsia" w:ascii="仿宋_GB2312" w:hAnsi="仿宋" w:eastAsia="仿宋_GB2312"/>
          <w:sz w:val="32"/>
          <w:szCs w:val="32"/>
          <w:lang w:val="en-US" w:eastAsia="zh-CN"/>
        </w:rPr>
        <w:t>31.23</w:t>
      </w:r>
      <w:r>
        <w:rPr>
          <w:rFonts w:hint="eastAsia" w:ascii="仿宋_GB2312" w:hAnsi="仿宋" w:eastAsia="仿宋_GB2312"/>
          <w:sz w:val="32"/>
          <w:szCs w:val="32"/>
        </w:rPr>
        <w:t>%，主要增减变动为</w:t>
      </w:r>
      <w:r>
        <w:rPr>
          <w:rFonts w:hint="eastAsia" w:ascii="仿宋_GB2312" w:hAnsi="仿宋" w:eastAsia="仿宋_GB2312"/>
          <w:sz w:val="32"/>
          <w:szCs w:val="32"/>
          <w:lang w:eastAsia="zh-CN"/>
        </w:rPr>
        <w:t>单位增加职能收入增加。</w:t>
      </w:r>
      <w:r>
        <w:rPr>
          <w:rFonts w:hint="eastAsia" w:ascii="仿宋_GB2312" w:hAnsi="仿宋" w:eastAsia="仿宋_GB2312"/>
          <w:sz w:val="32"/>
          <w:szCs w:val="32"/>
        </w:rPr>
        <w:t>与上年决算</w:t>
      </w:r>
      <w:r>
        <w:rPr>
          <w:rFonts w:hint="eastAsia" w:ascii="仿宋_GB2312" w:hAnsi="仿宋" w:eastAsia="仿宋_GB2312"/>
          <w:sz w:val="32"/>
          <w:szCs w:val="32"/>
          <w:lang w:val="en-US" w:eastAsia="zh-CN"/>
        </w:rPr>
        <w:t>1954.03</w:t>
      </w:r>
      <w:r>
        <w:rPr>
          <w:rFonts w:hint="eastAsia" w:ascii="仿宋_GB2312" w:hAnsi="仿宋" w:eastAsia="仿宋_GB2312"/>
          <w:sz w:val="32"/>
          <w:szCs w:val="32"/>
        </w:rPr>
        <w:t>万元，增加</w:t>
      </w:r>
      <w:r>
        <w:rPr>
          <w:rFonts w:hint="eastAsia" w:ascii="仿宋_GB2312" w:hAnsi="仿宋" w:eastAsia="仿宋_GB2312"/>
          <w:sz w:val="32"/>
          <w:szCs w:val="32"/>
          <w:lang w:val="en-US" w:eastAsia="zh-CN"/>
        </w:rPr>
        <w:t>463.81</w:t>
      </w:r>
      <w:r>
        <w:rPr>
          <w:rFonts w:hint="eastAsia" w:ascii="仿宋_GB2312" w:hAnsi="仿宋" w:eastAsia="仿宋_GB2312"/>
          <w:sz w:val="32"/>
          <w:szCs w:val="32"/>
        </w:rPr>
        <w:t>万元，同比增长</w:t>
      </w:r>
      <w:r>
        <w:rPr>
          <w:rFonts w:hint="eastAsia" w:ascii="仿宋_GB2312" w:hAnsi="仿宋" w:eastAsia="仿宋_GB2312"/>
          <w:sz w:val="32"/>
          <w:szCs w:val="32"/>
          <w:lang w:val="en-US" w:eastAsia="zh-CN"/>
        </w:rPr>
        <w:t>23.74</w:t>
      </w:r>
      <w:r>
        <w:rPr>
          <w:rFonts w:hint="eastAsia" w:ascii="仿宋_GB2312" w:hAnsi="仿宋" w:eastAsia="仿宋_GB2312"/>
          <w:sz w:val="32"/>
          <w:szCs w:val="32"/>
        </w:rPr>
        <w:t>%，主要原因</w:t>
      </w:r>
      <w:r>
        <w:rPr>
          <w:rFonts w:hint="eastAsia" w:ascii="仿宋_GB2312" w:hAnsi="仿宋" w:eastAsia="仿宋_GB2312"/>
          <w:sz w:val="32"/>
          <w:szCs w:val="32"/>
          <w:lang w:eastAsia="zh-CN"/>
        </w:rPr>
        <w:t>单位增加职能支出增加</w:t>
      </w:r>
      <w:r>
        <w:rPr>
          <w:rFonts w:hint="eastAsia" w:ascii="仿宋_GB2312" w:hAnsi="仿宋" w:eastAsia="仿宋_GB2312"/>
          <w:sz w:val="32"/>
          <w:szCs w:val="32"/>
        </w:rPr>
        <w:t>。年度调整预算为</w:t>
      </w:r>
      <w:r>
        <w:rPr>
          <w:rFonts w:hint="eastAsia" w:ascii="仿宋_GB2312" w:hAnsi="仿宋" w:eastAsia="仿宋_GB2312"/>
          <w:sz w:val="32"/>
          <w:szCs w:val="32"/>
          <w:lang w:val="en-US" w:eastAsia="zh-CN"/>
        </w:rPr>
        <w:t>2417.84</w:t>
      </w:r>
      <w:r>
        <w:rPr>
          <w:rFonts w:hint="eastAsia" w:ascii="仿宋_GB2312" w:hAnsi="仿宋" w:eastAsia="仿宋_GB2312"/>
          <w:sz w:val="32"/>
          <w:szCs w:val="32"/>
        </w:rPr>
        <w:t>万元，</w:t>
      </w:r>
      <w:r>
        <w:rPr>
          <w:rFonts w:hint="eastAsia" w:ascii="仿宋_GB2312" w:hAnsi="仿宋" w:eastAsia="仿宋_GB2312"/>
          <w:sz w:val="32"/>
          <w:szCs w:val="32"/>
          <w:lang w:eastAsia="zh-CN"/>
        </w:rPr>
        <w:t>比</w:t>
      </w:r>
      <w:r>
        <w:rPr>
          <w:rFonts w:hint="eastAsia" w:ascii="仿宋_GB2312" w:hAnsi="仿宋" w:eastAsia="仿宋_GB2312"/>
          <w:sz w:val="32"/>
          <w:szCs w:val="32"/>
        </w:rPr>
        <w:t>年初预算数</w:t>
      </w:r>
      <w:r>
        <w:rPr>
          <w:rFonts w:hint="eastAsia" w:ascii="仿宋_GB2312" w:hAnsi="仿宋" w:eastAsia="仿宋_GB2312"/>
          <w:sz w:val="32"/>
          <w:szCs w:val="32"/>
          <w:lang w:val="en-US" w:eastAsia="zh-CN"/>
        </w:rPr>
        <w:t>1842.32</w:t>
      </w:r>
      <w:r>
        <w:rPr>
          <w:rFonts w:hint="eastAsia" w:ascii="仿宋_GB2312" w:hAnsi="仿宋" w:eastAsia="仿宋_GB2312"/>
          <w:sz w:val="32"/>
          <w:szCs w:val="32"/>
        </w:rPr>
        <w:t>万元</w:t>
      </w:r>
      <w:r>
        <w:rPr>
          <w:rFonts w:hint="eastAsia" w:ascii="仿宋_GB2312" w:hAnsi="仿宋" w:eastAsia="仿宋_GB2312"/>
          <w:sz w:val="32"/>
          <w:szCs w:val="32"/>
          <w:lang w:eastAsia="zh-CN"/>
        </w:rPr>
        <w:t>增加</w:t>
      </w:r>
      <w:r>
        <w:rPr>
          <w:rFonts w:hint="eastAsia" w:ascii="仿宋_GB2312" w:hAnsi="仿宋" w:eastAsia="仿宋_GB2312"/>
          <w:sz w:val="32"/>
          <w:szCs w:val="32"/>
          <w:lang w:val="en-US" w:eastAsia="zh-CN"/>
        </w:rPr>
        <w:t>575.52</w:t>
      </w:r>
      <w:r>
        <w:rPr>
          <w:rFonts w:hint="eastAsia" w:ascii="仿宋_GB2312" w:hAnsi="仿宋" w:eastAsia="仿宋_GB2312"/>
          <w:sz w:val="32"/>
          <w:szCs w:val="32"/>
        </w:rPr>
        <w:t>万元，主要增减变化</w:t>
      </w:r>
      <w:r>
        <w:rPr>
          <w:rFonts w:hint="eastAsia" w:ascii="仿宋_GB2312" w:hAnsi="仿宋" w:eastAsia="仿宋_GB2312"/>
          <w:sz w:val="32"/>
          <w:szCs w:val="32"/>
          <w:lang w:eastAsia="zh-CN"/>
        </w:rPr>
        <w:t>单位增加职能预算增加</w:t>
      </w:r>
      <w:r>
        <w:rPr>
          <w:rFonts w:hint="eastAsia" w:ascii="仿宋_GB2312" w:hAnsi="仿宋" w:eastAsia="仿宋_GB2312"/>
          <w:sz w:val="32"/>
          <w:szCs w:val="32"/>
        </w:rPr>
        <w:t>；比支出</w:t>
      </w:r>
      <w:r>
        <w:rPr>
          <w:rFonts w:hint="eastAsia" w:ascii="仿宋_GB2312" w:hAnsi="仿宋" w:eastAsia="仿宋_GB2312"/>
          <w:sz w:val="32"/>
          <w:szCs w:val="32"/>
          <w:lang w:val="en-US" w:eastAsia="zh-CN"/>
        </w:rPr>
        <w:t>2374.41</w:t>
      </w:r>
      <w:r>
        <w:rPr>
          <w:rFonts w:hint="eastAsia" w:ascii="仿宋_GB2312" w:hAnsi="仿宋" w:eastAsia="仿宋_GB2312"/>
          <w:sz w:val="32"/>
          <w:szCs w:val="32"/>
        </w:rPr>
        <w:t>万元，</w:t>
      </w:r>
      <w:r>
        <w:rPr>
          <w:rFonts w:hint="eastAsia" w:ascii="仿宋_GB2312" w:hAnsi="仿宋" w:eastAsia="仿宋_GB2312"/>
          <w:sz w:val="32"/>
          <w:szCs w:val="32"/>
          <w:lang w:eastAsia="zh-CN"/>
        </w:rPr>
        <w:t>减少</w:t>
      </w:r>
      <w:r>
        <w:rPr>
          <w:rFonts w:hint="eastAsia" w:ascii="仿宋_GB2312" w:hAnsi="仿宋" w:eastAsia="仿宋_GB2312"/>
          <w:sz w:val="32"/>
          <w:szCs w:val="32"/>
          <w:lang w:val="en-US" w:eastAsia="zh-CN"/>
        </w:rPr>
        <w:t>43.43</w:t>
      </w:r>
      <w:r>
        <w:rPr>
          <w:rFonts w:hint="eastAsia" w:ascii="仿宋_GB2312" w:hAnsi="仿宋" w:eastAsia="仿宋_GB2312"/>
          <w:sz w:val="32"/>
          <w:szCs w:val="32"/>
        </w:rPr>
        <w:t>万元，主要增减变化是</w:t>
      </w:r>
      <w:r>
        <w:rPr>
          <w:rFonts w:hint="eastAsia" w:ascii="仿宋_GB2312" w:hAnsi="仿宋" w:eastAsia="仿宋_GB2312"/>
          <w:sz w:val="32"/>
          <w:szCs w:val="32"/>
          <w:lang w:eastAsia="zh-CN"/>
        </w:rPr>
        <w:t>项目支出按合同支出有节余</w:t>
      </w:r>
      <w:r>
        <w:rPr>
          <w:rFonts w:hint="eastAsia" w:ascii="仿宋_GB2312" w:hAnsi="仿宋" w:eastAsia="仿宋_GB2312"/>
          <w:sz w:val="32"/>
          <w:szCs w:val="32"/>
        </w:rPr>
        <w:t>。</w:t>
      </w:r>
    </w:p>
    <w:p>
      <w:pPr>
        <w:numPr>
          <w:ilvl w:val="0"/>
          <w:numId w:val="1"/>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存在问题、采取的纠偏措施及改进绩效管理建议。</w:t>
      </w:r>
    </w:p>
    <w:p>
      <w:pPr>
        <w:numPr>
          <w:ilvl w:val="0"/>
          <w:numId w:val="0"/>
        </w:num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加强单位预算编制工作，根据人员情况，业务开展需要，逐项做出预算计划，预算合理，不留缺口，不留空项。</w:t>
      </w:r>
    </w:p>
    <w:p>
      <w:pPr>
        <w:numPr>
          <w:ilvl w:val="0"/>
          <w:numId w:val="0"/>
        </w:num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强业务培训，提高评价水平，部门整体绩效评价工作是一项长期性的工作，专业性强、工作量大，建议财政部门进一步开展部门领导及经办人员相的政策、业务工作培训，组织开展部门之间、单位之间的经验交流，切实推进绩效评价工作的开展。</w:t>
      </w:r>
    </w:p>
    <w:p>
      <w:pPr>
        <w:numPr>
          <w:ilvl w:val="0"/>
          <w:numId w:val="0"/>
        </w:num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预算财政分析常态化，定期做好预算支出财政分析，做好部门整体支出预算评价工作。</w:t>
      </w:r>
    </w:p>
    <w:p>
      <w:pPr>
        <w:numPr>
          <w:ilvl w:val="0"/>
          <w:numId w:val="1"/>
        </w:numPr>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其他需要说明的问题。</w:t>
      </w:r>
    </w:p>
    <w:p>
      <w:pPr>
        <w:pStyle w:val="2"/>
        <w:ind w:left="0" w:leftChars="0" w:firstLine="640" w:firstLineChars="200"/>
        <w:rPr>
          <w:rFonts w:hint="default"/>
          <w:lang w:val="en-US" w:eastAsia="zh-CN"/>
        </w:rPr>
      </w:pPr>
      <w:r>
        <w:rPr>
          <w:rFonts w:hint="eastAsia" w:ascii="仿宋" w:hAnsi="仿宋" w:eastAsia="仿宋" w:cs="仿宋"/>
          <w:sz w:val="32"/>
          <w:szCs w:val="32"/>
          <w:lang w:val="en-US" w:eastAsia="zh-CN"/>
        </w:rPr>
        <w:t>无。</w:t>
      </w:r>
    </w:p>
    <w:sectPr>
      <w:footerReference r:id="rId3" w:type="default"/>
      <w:footerReference r:id="rId4" w:type="even"/>
      <w:pgSz w:w="11906" w:h="16838"/>
      <w:pgMar w:top="1985" w:right="1418" w:bottom="1985" w:left="1418" w:header="851" w:footer="1701" w:gutter="0"/>
      <w:cols w:space="425" w:num="1"/>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新宋体">
    <w:panose1 w:val="02010609030101010101"/>
    <w:charset w:val="86"/>
    <w:family w:val="modern"/>
    <w:pitch w:val="default"/>
    <w:sig w:usb0="00000003" w:usb1="080E0000" w:usb2="00000000" w:usb3="00000000" w:csb0="00040001" w:csb1="00000000"/>
  </w:font>
  <w:font w:name="Cambria">
    <w:altName w:val="Palatino Linotype"/>
    <w:panose1 w:val="02040503050406030204"/>
    <w:charset w:val="00"/>
    <w:family w:val="roman"/>
    <w:pitch w:val="default"/>
    <w:sig w:usb0="00000000" w:usb1="00000000" w:usb2="00000000" w:usb3="00000000" w:csb0="00000000" w:csb1="00000000"/>
  </w:font>
  <w:font w:name="ArialUnicodeMS">
    <w:altName w:val="Dotum"/>
    <w:panose1 w:val="00000000000000000000"/>
    <w:charset w:val="81"/>
    <w:family w:val="auto"/>
    <w:pitch w:val="default"/>
    <w:sig w:usb0="00000000" w:usb1="00000000" w:usb2="00000010" w:usb3="00000000" w:csb0="00080001" w:csb1="00000000"/>
  </w:font>
  <w:font w:name="Helv">
    <w:altName w:val="Courier New"/>
    <w:panose1 w:val="00000000000000000000"/>
    <w:charset w:val="00"/>
    <w:family w:val="auto"/>
    <w:pitch w:val="default"/>
    <w:sig w:usb0="00000000" w:usb1="00000000" w:usb2="00000000" w:usb3="00000000" w:csb0="00000000" w:csb1="00000000"/>
  </w:font>
  <w:font w:name="方正书宋_GBK">
    <w:altName w:val="微软雅黑"/>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1A0F3C52" w:usb2="00000010" w:usb3="00000000" w:csb0="0004001F" w:csb1="00000000"/>
  </w:font>
  <w:font w:name="Courier New">
    <w:panose1 w:val="02070309020205020404"/>
    <w:charset w:val="00"/>
    <w:family w:val="auto"/>
    <w:pitch w:val="default"/>
    <w:sig w:usb0="00007A87" w:usb1="80000000" w:usb2="00000008" w:usb3="00000000" w:csb0="400001FF" w:csb1="FFFF0000"/>
  </w:font>
  <w:font w:name="Palatino Linotype">
    <w:panose1 w:val="02040502050505030304"/>
    <w:charset w:val="00"/>
    <w:family w:val="auto"/>
    <w:pitch w:val="default"/>
    <w:sig w:usb0="E0000387" w:usb1="40000013" w:usb2="00000000" w:usb3="00000000" w:csb0="2000019F" w:csb1="00000000"/>
  </w:font>
  <w:font w:name="Dotum">
    <w:panose1 w:val="020B0600000101010101"/>
    <w:charset w:val="81"/>
    <w:family w:val="auto"/>
    <w:pitch w:val="default"/>
    <w:sig w:usb0="B00002AF" w:usb1="69D77CFB" w:usb2="00000030" w:usb3="00000000" w:csb0="4008009F" w:csb1="DFD70000"/>
  </w:font>
  <w:font w:name="仿宋">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3"/>
        <w:rFonts w:ascii="宋体" w:hAnsi="宋体" w:eastAsia="宋体"/>
        <w:sz w:val="28"/>
        <w:szCs w:val="28"/>
      </w:rPr>
    </w:pPr>
    <w:r>
      <w:rPr>
        <w:rStyle w:val="13"/>
        <w:rFonts w:hint="eastAsia" w:ascii="宋体" w:hAnsi="宋体" w:eastAsia="宋体"/>
        <w:sz w:val="28"/>
        <w:szCs w:val="28"/>
      </w:rPr>
      <w:t>-</w:t>
    </w:r>
    <w:r>
      <w:rPr>
        <w:rStyle w:val="13"/>
        <w:rFonts w:ascii="宋体" w:hAnsi="宋体" w:eastAsia="宋体"/>
        <w:sz w:val="28"/>
        <w:szCs w:val="28"/>
      </w:rPr>
      <w:fldChar w:fldCharType="begin"/>
    </w:r>
    <w:r>
      <w:rPr>
        <w:rStyle w:val="13"/>
        <w:rFonts w:ascii="宋体" w:hAnsi="宋体" w:eastAsia="宋体"/>
        <w:sz w:val="28"/>
        <w:szCs w:val="28"/>
      </w:rPr>
      <w:instrText xml:space="preserve">PAGE  </w:instrText>
    </w:r>
    <w:r>
      <w:rPr>
        <w:rStyle w:val="13"/>
        <w:rFonts w:ascii="宋体" w:hAnsi="宋体" w:eastAsia="宋体"/>
        <w:sz w:val="28"/>
        <w:szCs w:val="28"/>
      </w:rPr>
      <w:fldChar w:fldCharType="separate"/>
    </w:r>
    <w:r>
      <w:rPr>
        <w:rStyle w:val="13"/>
        <w:rFonts w:ascii="宋体" w:hAnsi="宋体" w:eastAsia="宋体"/>
        <w:sz w:val="28"/>
        <w:szCs w:val="28"/>
      </w:rPr>
      <w:t>6</w:t>
    </w:r>
    <w:r>
      <w:rPr>
        <w:rStyle w:val="13"/>
        <w:rFonts w:ascii="宋体" w:hAnsi="宋体" w:eastAsia="宋体"/>
        <w:sz w:val="28"/>
        <w:szCs w:val="28"/>
      </w:rPr>
      <w:fldChar w:fldCharType="end"/>
    </w:r>
    <w:r>
      <w:rPr>
        <w:rStyle w:val="13"/>
        <w:rFonts w:hint="eastAsia" w:ascii="宋体" w:hAnsi="宋体" w:eastAsia="宋体"/>
        <w:sz w:val="28"/>
        <w:szCs w:val="28"/>
      </w:rPr>
      <w:t>-</w:t>
    </w:r>
  </w:p>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3"/>
      </w:rPr>
    </w:pPr>
    <w:r>
      <w:rPr>
        <w:rStyle w:val="13"/>
      </w:rPr>
      <w:fldChar w:fldCharType="begin"/>
    </w:r>
    <w:r>
      <w:rPr>
        <w:rStyle w:val="13"/>
      </w:rPr>
      <w:instrText xml:space="preserve">PAGE  </w:instrText>
    </w:r>
    <w:r>
      <w:rPr>
        <w:rStyle w:val="13"/>
      </w:rPr>
      <w:fldChar w:fldCharType="end"/>
    </w:r>
  </w:p>
  <w:p>
    <w:pPr>
      <w:pStyle w:val="7"/>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EDEA68"/>
    <w:multiLevelType w:val="singleLevel"/>
    <w:tmpl w:val="41EDEA6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31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42933"/>
    <w:rsid w:val="00002F2C"/>
    <w:rsid w:val="000070A8"/>
    <w:rsid w:val="00016CA4"/>
    <w:rsid w:val="000324AE"/>
    <w:rsid w:val="00042933"/>
    <w:rsid w:val="0008033E"/>
    <w:rsid w:val="0008759D"/>
    <w:rsid w:val="00094F2B"/>
    <w:rsid w:val="000B0A83"/>
    <w:rsid w:val="000B6322"/>
    <w:rsid w:val="000C2CC1"/>
    <w:rsid w:val="000E4A5A"/>
    <w:rsid w:val="00103547"/>
    <w:rsid w:val="0017068B"/>
    <w:rsid w:val="00185A3C"/>
    <w:rsid w:val="00192D5A"/>
    <w:rsid w:val="001C59B3"/>
    <w:rsid w:val="001E0886"/>
    <w:rsid w:val="001F7E31"/>
    <w:rsid w:val="002071BC"/>
    <w:rsid w:val="00225AE6"/>
    <w:rsid w:val="00235F0F"/>
    <w:rsid w:val="00255783"/>
    <w:rsid w:val="00290BA1"/>
    <w:rsid w:val="002A6AEA"/>
    <w:rsid w:val="002F2268"/>
    <w:rsid w:val="003C50C2"/>
    <w:rsid w:val="0041099F"/>
    <w:rsid w:val="00436A1D"/>
    <w:rsid w:val="004379D7"/>
    <w:rsid w:val="004A68B1"/>
    <w:rsid w:val="004B64F3"/>
    <w:rsid w:val="004E3B64"/>
    <w:rsid w:val="005020C5"/>
    <w:rsid w:val="00567FE6"/>
    <w:rsid w:val="0058162A"/>
    <w:rsid w:val="005B3616"/>
    <w:rsid w:val="005E12FA"/>
    <w:rsid w:val="00665304"/>
    <w:rsid w:val="00683167"/>
    <w:rsid w:val="006A5056"/>
    <w:rsid w:val="006E64C9"/>
    <w:rsid w:val="007048FF"/>
    <w:rsid w:val="00712100"/>
    <w:rsid w:val="0071700D"/>
    <w:rsid w:val="00742652"/>
    <w:rsid w:val="00772600"/>
    <w:rsid w:val="007D5D41"/>
    <w:rsid w:val="007F01F9"/>
    <w:rsid w:val="00856BA1"/>
    <w:rsid w:val="00867620"/>
    <w:rsid w:val="008709E0"/>
    <w:rsid w:val="008A6A10"/>
    <w:rsid w:val="008A6A31"/>
    <w:rsid w:val="00904AF4"/>
    <w:rsid w:val="00905542"/>
    <w:rsid w:val="00917700"/>
    <w:rsid w:val="00956F74"/>
    <w:rsid w:val="009B0B5F"/>
    <w:rsid w:val="009C04DA"/>
    <w:rsid w:val="009C4C62"/>
    <w:rsid w:val="009E3627"/>
    <w:rsid w:val="009F53E7"/>
    <w:rsid w:val="00A11BF8"/>
    <w:rsid w:val="00A14A33"/>
    <w:rsid w:val="00A6449D"/>
    <w:rsid w:val="00A768DB"/>
    <w:rsid w:val="00AA09C8"/>
    <w:rsid w:val="00AD5F30"/>
    <w:rsid w:val="00B0681D"/>
    <w:rsid w:val="00B9023F"/>
    <w:rsid w:val="00BC1FDC"/>
    <w:rsid w:val="00BD0FD8"/>
    <w:rsid w:val="00C44804"/>
    <w:rsid w:val="00C6362A"/>
    <w:rsid w:val="00C81363"/>
    <w:rsid w:val="00CB27A5"/>
    <w:rsid w:val="00CD55ED"/>
    <w:rsid w:val="00CD63C0"/>
    <w:rsid w:val="00CE62A0"/>
    <w:rsid w:val="00D21F0C"/>
    <w:rsid w:val="00D366C1"/>
    <w:rsid w:val="00D877F7"/>
    <w:rsid w:val="00DB2D43"/>
    <w:rsid w:val="00E266F1"/>
    <w:rsid w:val="00EB16A8"/>
    <w:rsid w:val="00EC7904"/>
    <w:rsid w:val="00F72E93"/>
    <w:rsid w:val="00F87A11"/>
    <w:rsid w:val="00FB7E01"/>
    <w:rsid w:val="00FE5F4C"/>
    <w:rsid w:val="00FF39F6"/>
    <w:rsid w:val="05374814"/>
    <w:rsid w:val="08196A52"/>
    <w:rsid w:val="0C5E7C4F"/>
    <w:rsid w:val="0C8F0285"/>
    <w:rsid w:val="0EE202F7"/>
    <w:rsid w:val="0F8F6BFC"/>
    <w:rsid w:val="107166F3"/>
    <w:rsid w:val="17BA497F"/>
    <w:rsid w:val="183B3898"/>
    <w:rsid w:val="196D0015"/>
    <w:rsid w:val="1C841DE7"/>
    <w:rsid w:val="2D572F2B"/>
    <w:rsid w:val="30B03A2D"/>
    <w:rsid w:val="32E940AB"/>
    <w:rsid w:val="3791647A"/>
    <w:rsid w:val="3AC36659"/>
    <w:rsid w:val="455969D8"/>
    <w:rsid w:val="48725571"/>
    <w:rsid w:val="4BDB04ED"/>
    <w:rsid w:val="4C0D12D3"/>
    <w:rsid w:val="5136769D"/>
    <w:rsid w:val="526A3656"/>
    <w:rsid w:val="530747FC"/>
    <w:rsid w:val="58CB28A2"/>
    <w:rsid w:val="5A8F069C"/>
    <w:rsid w:val="5D643D56"/>
    <w:rsid w:val="64283056"/>
    <w:rsid w:val="684C4184"/>
    <w:rsid w:val="69BD0A47"/>
    <w:rsid w:val="6A713765"/>
    <w:rsid w:val="6B294362"/>
    <w:rsid w:val="6CB47E8C"/>
    <w:rsid w:val="702608B7"/>
    <w:rsid w:val="71A911C9"/>
    <w:rsid w:val="7793669D"/>
    <w:rsid w:val="77DA1CDD"/>
    <w:rsid w:val="7CCC213E"/>
    <w:rsid w:val="7D1F65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7"/>
    <w:qFormat/>
    <w:uiPriority w:val="9"/>
    <w:pPr>
      <w:spacing w:before="100" w:beforeAutospacing="1" w:after="100" w:afterAutospacing="1"/>
      <w:jc w:val="left"/>
      <w:outlineLvl w:val="0"/>
    </w:pPr>
    <w:rPr>
      <w:rFonts w:hint="eastAsia" w:ascii="宋体" w:hAnsi="宋体" w:eastAsia="宋体" w:cs="宋体"/>
      <w:b/>
      <w:kern w:val="44"/>
      <w:sz w:val="48"/>
      <w:szCs w:val="48"/>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5">
    <w:name w:val="Body Text"/>
    <w:basedOn w:val="1"/>
    <w:qFormat/>
    <w:uiPriority w:val="99"/>
    <w:pPr>
      <w:autoSpaceDE w:val="0"/>
      <w:autoSpaceDN w:val="0"/>
      <w:adjustRightInd w:val="0"/>
      <w:snapToGrid w:val="0"/>
      <w:spacing w:line="588" w:lineRule="atLeast"/>
    </w:pPr>
    <w:rPr>
      <w:rFonts w:ascii="宋体" w:hAnsi="宋体" w:eastAsia="仿宋_GB2312"/>
      <w:spacing w:val="-2"/>
      <w:sz w:val="32"/>
      <w:szCs w:val="24"/>
    </w:rPr>
  </w:style>
  <w:style w:type="paragraph" w:styleId="6">
    <w:name w:val="Plain Text"/>
    <w:basedOn w:val="1"/>
    <w:link w:val="16"/>
    <w:qFormat/>
    <w:uiPriority w:val="0"/>
    <w:rPr>
      <w:rFonts w:ascii="宋体" w:hAnsi="Courier New" w:eastAsia="宋体" w:cs="Courier New"/>
      <w:szCs w:val="21"/>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12">
    <w:name w:val="Strong"/>
    <w:basedOn w:val="11"/>
    <w:qFormat/>
    <w:uiPriority w:val="22"/>
    <w:rPr>
      <w:b/>
      <w:bCs/>
    </w:rPr>
  </w:style>
  <w:style w:type="character" w:styleId="13">
    <w:name w:val="page number"/>
    <w:basedOn w:val="11"/>
    <w:semiHidden/>
    <w:unhideWhenUsed/>
    <w:qFormat/>
    <w:uiPriority w:val="99"/>
  </w:style>
  <w:style w:type="character" w:customStyle="1" w:styleId="14">
    <w:name w:val="页眉 Char"/>
    <w:basedOn w:val="11"/>
    <w:link w:val="8"/>
    <w:qFormat/>
    <w:uiPriority w:val="99"/>
    <w:rPr>
      <w:sz w:val="18"/>
      <w:szCs w:val="18"/>
    </w:rPr>
  </w:style>
  <w:style w:type="character" w:customStyle="1" w:styleId="15">
    <w:name w:val="页脚 Char"/>
    <w:basedOn w:val="11"/>
    <w:link w:val="7"/>
    <w:qFormat/>
    <w:uiPriority w:val="99"/>
    <w:rPr>
      <w:sz w:val="18"/>
      <w:szCs w:val="18"/>
    </w:rPr>
  </w:style>
  <w:style w:type="character" w:customStyle="1" w:styleId="16">
    <w:name w:val="纯文本 Char"/>
    <w:basedOn w:val="11"/>
    <w:link w:val="6"/>
    <w:qFormat/>
    <w:uiPriority w:val="0"/>
    <w:rPr>
      <w:rFonts w:ascii="宋体" w:hAnsi="Courier New" w:eastAsia="宋体" w:cs="Courier New"/>
      <w:szCs w:val="21"/>
    </w:rPr>
  </w:style>
  <w:style w:type="character" w:customStyle="1" w:styleId="17">
    <w:name w:val="标题 1 Char"/>
    <w:basedOn w:val="11"/>
    <w:link w:val="4"/>
    <w:qFormat/>
    <w:uiPriority w:val="9"/>
    <w:rPr>
      <w:rFonts w:ascii="宋体" w:hAnsi="宋体" w:eastAsia="宋体" w:cs="宋体"/>
      <w:b/>
      <w:kern w:val="44"/>
      <w:sz w:val="48"/>
      <w:szCs w:val="48"/>
    </w:rPr>
  </w:style>
  <w:style w:type="character" w:customStyle="1" w:styleId="18">
    <w:name w:val="font31"/>
    <w:basedOn w:val="11"/>
    <w:qFormat/>
    <w:uiPriority w:val="0"/>
    <w:rPr>
      <w:rFonts w:hint="eastAsia" w:ascii="宋体" w:hAnsi="宋体" w:eastAsia="宋体" w:cs="宋体"/>
      <w:b/>
      <w:color w:val="000000"/>
      <w:sz w:val="36"/>
      <w:szCs w:val="36"/>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795</Words>
  <Characters>4535</Characters>
  <Lines>37</Lines>
  <Paragraphs>10</Paragraphs>
  <TotalTime>0</TotalTime>
  <ScaleCrop>false</ScaleCrop>
  <LinksUpToDate>false</LinksUpToDate>
  <CharactersWithSpaces>5320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2016-02-22T07:07:00Z</dcterms:created>
  <dc:creator>Administrator</dc:creator>
  <cp:lastModifiedBy>Administrator</cp:lastModifiedBy>
  <cp:lastPrinted>2018-11-29T03:23:00Z</cp:lastPrinted>
  <dcterms:modified xsi:type="dcterms:W3CDTF">2021-03-11T07:30:35Z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