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方正小标宋_GBK" w:hAnsi="宋体" w:eastAsia="方正小标宋_GBK" w:cs="宋体"/>
          <w:kern w:val="0"/>
          <w:sz w:val="44"/>
          <w:szCs w:val="44"/>
        </w:rPr>
      </w:pPr>
      <w:r>
        <w:rPr>
          <w:rFonts w:hint="eastAsia" w:ascii="方正小标宋_GBK" w:hAnsi="宋体" w:eastAsia="方正小标宋_GBK" w:cs="宋体"/>
          <w:kern w:val="0"/>
          <w:sz w:val="44"/>
          <w:szCs w:val="44"/>
        </w:rPr>
        <w:t>邢台市财政局政务公开事项清单</w:t>
      </w:r>
    </w:p>
    <w:tbl>
      <w:tblPr>
        <w:tblStyle w:val="6"/>
        <w:tblW w:w="15224"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
      <w:tblGrid>
        <w:gridCol w:w="547"/>
        <w:gridCol w:w="814"/>
        <w:gridCol w:w="1668"/>
        <w:gridCol w:w="1696"/>
        <w:gridCol w:w="3174"/>
        <w:gridCol w:w="2693"/>
        <w:gridCol w:w="1417"/>
        <w:gridCol w:w="800"/>
        <w:gridCol w:w="811"/>
        <w:gridCol w:w="807"/>
        <w:gridCol w:w="7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20" w:hRule="atLeast"/>
          <w:tblHeader/>
          <w:jc w:val="center"/>
        </w:trPr>
        <w:tc>
          <w:tcPr>
            <w:tcW w:w="547" w:type="dxa"/>
            <w:vMerge w:val="restart"/>
            <w:vAlign w:val="center"/>
          </w:tcPr>
          <w:p>
            <w:pPr>
              <w:widowControl/>
              <w:spacing w:line="240" w:lineRule="exact"/>
              <w:jc w:val="center"/>
              <w:rPr>
                <w:rFonts w:ascii="黑体" w:hAnsi="黑体" w:eastAsia="黑体" w:cs="宋体"/>
                <w:kern w:val="0"/>
                <w:szCs w:val="21"/>
              </w:rPr>
            </w:pPr>
            <w:r>
              <w:rPr>
                <w:rFonts w:hint="eastAsia" w:ascii="黑体" w:hAnsi="黑体" w:eastAsia="黑体" w:cs="宋体"/>
                <w:kern w:val="0"/>
                <w:szCs w:val="21"/>
              </w:rPr>
              <w:t>序号</w:t>
            </w:r>
          </w:p>
        </w:tc>
        <w:tc>
          <w:tcPr>
            <w:tcW w:w="2482" w:type="dxa"/>
            <w:gridSpan w:val="2"/>
            <w:vAlign w:val="center"/>
          </w:tcPr>
          <w:p>
            <w:pPr>
              <w:widowControl/>
              <w:spacing w:line="240" w:lineRule="exact"/>
              <w:jc w:val="center"/>
              <w:rPr>
                <w:rFonts w:ascii="黑体" w:hAnsi="黑体" w:eastAsia="黑体" w:cs="宋体"/>
                <w:kern w:val="0"/>
                <w:szCs w:val="21"/>
              </w:rPr>
            </w:pPr>
            <w:r>
              <w:rPr>
                <w:rFonts w:hint="eastAsia" w:ascii="黑体" w:hAnsi="黑体" w:eastAsia="黑体" w:cs="宋体"/>
                <w:kern w:val="0"/>
                <w:szCs w:val="21"/>
              </w:rPr>
              <w:t>公开事项</w:t>
            </w:r>
          </w:p>
        </w:tc>
        <w:tc>
          <w:tcPr>
            <w:tcW w:w="1696" w:type="dxa"/>
            <w:vMerge w:val="restart"/>
            <w:vAlign w:val="center"/>
          </w:tcPr>
          <w:p>
            <w:pPr>
              <w:widowControl/>
              <w:spacing w:line="240" w:lineRule="exact"/>
              <w:jc w:val="center"/>
              <w:rPr>
                <w:rFonts w:ascii="黑体" w:hAnsi="黑体" w:eastAsia="黑体" w:cs="宋体"/>
                <w:kern w:val="0"/>
                <w:szCs w:val="21"/>
              </w:rPr>
            </w:pPr>
            <w:r>
              <w:rPr>
                <w:rFonts w:hint="eastAsia" w:ascii="黑体" w:hAnsi="黑体" w:eastAsia="黑体" w:cs="宋体"/>
                <w:kern w:val="0"/>
                <w:szCs w:val="21"/>
              </w:rPr>
              <w:t>公开内容</w:t>
            </w:r>
          </w:p>
        </w:tc>
        <w:tc>
          <w:tcPr>
            <w:tcW w:w="3174" w:type="dxa"/>
            <w:vMerge w:val="restart"/>
            <w:vAlign w:val="center"/>
          </w:tcPr>
          <w:p>
            <w:pPr>
              <w:widowControl/>
              <w:spacing w:line="240" w:lineRule="exact"/>
              <w:jc w:val="center"/>
              <w:rPr>
                <w:rFonts w:ascii="黑体" w:hAnsi="黑体" w:eastAsia="黑体" w:cs="宋体"/>
                <w:kern w:val="0"/>
                <w:szCs w:val="21"/>
              </w:rPr>
            </w:pPr>
            <w:r>
              <w:rPr>
                <w:rFonts w:hint="eastAsia" w:ascii="黑体" w:hAnsi="黑体" w:eastAsia="黑体" w:cs="宋体"/>
                <w:kern w:val="0"/>
                <w:szCs w:val="21"/>
              </w:rPr>
              <w:t>公开依据</w:t>
            </w:r>
          </w:p>
        </w:tc>
        <w:tc>
          <w:tcPr>
            <w:tcW w:w="2693" w:type="dxa"/>
            <w:vMerge w:val="restart"/>
            <w:vAlign w:val="center"/>
          </w:tcPr>
          <w:p>
            <w:pPr>
              <w:widowControl/>
              <w:spacing w:line="240" w:lineRule="exact"/>
              <w:jc w:val="center"/>
              <w:rPr>
                <w:rFonts w:ascii="黑体" w:hAnsi="黑体" w:eastAsia="黑体" w:cs="宋体"/>
                <w:kern w:val="0"/>
                <w:szCs w:val="21"/>
              </w:rPr>
            </w:pPr>
            <w:r>
              <w:rPr>
                <w:rFonts w:hint="eastAsia" w:ascii="黑体" w:hAnsi="黑体" w:eastAsia="黑体" w:cs="宋体"/>
                <w:kern w:val="0"/>
                <w:szCs w:val="21"/>
              </w:rPr>
              <w:t>公开时限</w:t>
            </w:r>
          </w:p>
        </w:tc>
        <w:tc>
          <w:tcPr>
            <w:tcW w:w="1417" w:type="dxa"/>
            <w:vMerge w:val="restart"/>
            <w:vAlign w:val="center"/>
          </w:tcPr>
          <w:p>
            <w:pPr>
              <w:widowControl/>
              <w:spacing w:line="240" w:lineRule="exact"/>
              <w:jc w:val="center"/>
              <w:rPr>
                <w:rFonts w:ascii="黑体" w:hAnsi="黑体" w:eastAsia="黑体" w:cs="宋体"/>
                <w:kern w:val="0"/>
                <w:szCs w:val="21"/>
              </w:rPr>
            </w:pPr>
            <w:r>
              <w:rPr>
                <w:rFonts w:hint="eastAsia" w:ascii="黑体" w:hAnsi="黑体" w:eastAsia="黑体" w:cs="宋体"/>
                <w:kern w:val="0"/>
                <w:szCs w:val="21"/>
              </w:rPr>
              <w:t>公开渠道和载体</w:t>
            </w:r>
          </w:p>
        </w:tc>
        <w:tc>
          <w:tcPr>
            <w:tcW w:w="1611" w:type="dxa"/>
            <w:gridSpan w:val="2"/>
            <w:vAlign w:val="center"/>
          </w:tcPr>
          <w:p>
            <w:pPr>
              <w:widowControl/>
              <w:spacing w:line="240" w:lineRule="exact"/>
              <w:jc w:val="center"/>
              <w:rPr>
                <w:rFonts w:ascii="黑体" w:hAnsi="黑体" w:eastAsia="黑体" w:cs="宋体"/>
                <w:kern w:val="0"/>
                <w:szCs w:val="21"/>
              </w:rPr>
            </w:pPr>
            <w:r>
              <w:rPr>
                <w:rFonts w:hint="eastAsia" w:ascii="黑体" w:hAnsi="黑体" w:eastAsia="黑体" w:cs="宋体"/>
                <w:kern w:val="0"/>
                <w:szCs w:val="21"/>
              </w:rPr>
              <w:t>公开对象</w:t>
            </w:r>
          </w:p>
        </w:tc>
        <w:tc>
          <w:tcPr>
            <w:tcW w:w="1604" w:type="dxa"/>
            <w:gridSpan w:val="2"/>
            <w:vAlign w:val="center"/>
          </w:tcPr>
          <w:p>
            <w:pPr>
              <w:widowControl/>
              <w:spacing w:line="240" w:lineRule="exact"/>
              <w:jc w:val="center"/>
              <w:rPr>
                <w:rFonts w:ascii="黑体" w:hAnsi="黑体" w:eastAsia="黑体" w:cs="宋体"/>
                <w:kern w:val="0"/>
                <w:szCs w:val="21"/>
              </w:rPr>
            </w:pPr>
            <w:r>
              <w:rPr>
                <w:rFonts w:hint="eastAsia" w:ascii="黑体" w:hAnsi="黑体" w:eastAsia="黑体" w:cs="宋体"/>
                <w:kern w:val="0"/>
                <w:szCs w:val="21"/>
              </w:rPr>
              <w:t>公开方式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20" w:hRule="atLeast"/>
          <w:tblHeader/>
          <w:jc w:val="center"/>
        </w:trPr>
        <w:tc>
          <w:tcPr>
            <w:tcW w:w="547" w:type="dxa"/>
            <w:vMerge w:val="continue"/>
            <w:vAlign w:val="center"/>
          </w:tcPr>
          <w:p>
            <w:pPr>
              <w:widowControl/>
              <w:spacing w:line="240" w:lineRule="exact"/>
              <w:jc w:val="center"/>
              <w:rPr>
                <w:rFonts w:ascii="黑体" w:hAnsi="黑体" w:eastAsia="黑体" w:cs="宋体"/>
                <w:kern w:val="0"/>
                <w:szCs w:val="21"/>
              </w:rPr>
            </w:pPr>
          </w:p>
        </w:tc>
        <w:tc>
          <w:tcPr>
            <w:tcW w:w="814" w:type="dxa"/>
            <w:vAlign w:val="center"/>
          </w:tcPr>
          <w:p>
            <w:pPr>
              <w:widowControl/>
              <w:spacing w:line="240" w:lineRule="exact"/>
              <w:jc w:val="center"/>
              <w:rPr>
                <w:rFonts w:ascii="黑体" w:hAnsi="黑体" w:eastAsia="黑体" w:cs="宋体"/>
                <w:kern w:val="0"/>
                <w:szCs w:val="21"/>
              </w:rPr>
            </w:pPr>
            <w:r>
              <w:rPr>
                <w:rFonts w:hint="eastAsia" w:ascii="黑体" w:hAnsi="黑体" w:eastAsia="黑体" w:cs="宋体"/>
                <w:kern w:val="0"/>
                <w:szCs w:val="21"/>
              </w:rPr>
              <w:t>一级事项</w:t>
            </w:r>
          </w:p>
        </w:tc>
        <w:tc>
          <w:tcPr>
            <w:tcW w:w="1668" w:type="dxa"/>
            <w:vAlign w:val="center"/>
          </w:tcPr>
          <w:p>
            <w:pPr>
              <w:widowControl/>
              <w:spacing w:line="240" w:lineRule="exact"/>
              <w:jc w:val="center"/>
              <w:rPr>
                <w:rFonts w:ascii="黑体" w:hAnsi="黑体" w:eastAsia="黑体" w:cs="宋体"/>
                <w:kern w:val="0"/>
                <w:szCs w:val="21"/>
              </w:rPr>
            </w:pPr>
            <w:r>
              <w:rPr>
                <w:rFonts w:hint="eastAsia" w:ascii="黑体" w:hAnsi="黑体" w:eastAsia="黑体" w:cs="宋体"/>
                <w:kern w:val="0"/>
                <w:szCs w:val="21"/>
              </w:rPr>
              <w:t>二级事项</w:t>
            </w:r>
          </w:p>
        </w:tc>
        <w:tc>
          <w:tcPr>
            <w:tcW w:w="1696" w:type="dxa"/>
            <w:vMerge w:val="continue"/>
            <w:vAlign w:val="center"/>
          </w:tcPr>
          <w:p>
            <w:pPr>
              <w:widowControl/>
              <w:spacing w:line="240" w:lineRule="exact"/>
              <w:jc w:val="center"/>
              <w:rPr>
                <w:rFonts w:ascii="黑体" w:hAnsi="黑体" w:eastAsia="黑体" w:cs="宋体"/>
                <w:kern w:val="0"/>
                <w:szCs w:val="21"/>
              </w:rPr>
            </w:pPr>
          </w:p>
        </w:tc>
        <w:tc>
          <w:tcPr>
            <w:tcW w:w="3174" w:type="dxa"/>
            <w:vMerge w:val="continue"/>
            <w:vAlign w:val="center"/>
          </w:tcPr>
          <w:p>
            <w:pPr>
              <w:widowControl/>
              <w:spacing w:line="240" w:lineRule="exact"/>
              <w:jc w:val="center"/>
              <w:rPr>
                <w:rFonts w:ascii="黑体" w:hAnsi="黑体" w:eastAsia="黑体" w:cs="宋体"/>
                <w:kern w:val="0"/>
                <w:szCs w:val="21"/>
              </w:rPr>
            </w:pPr>
          </w:p>
        </w:tc>
        <w:tc>
          <w:tcPr>
            <w:tcW w:w="2693" w:type="dxa"/>
            <w:vMerge w:val="continue"/>
            <w:vAlign w:val="center"/>
          </w:tcPr>
          <w:p>
            <w:pPr>
              <w:widowControl/>
              <w:spacing w:line="240" w:lineRule="exact"/>
              <w:jc w:val="center"/>
              <w:rPr>
                <w:rFonts w:ascii="黑体" w:hAnsi="黑体" w:eastAsia="黑体" w:cs="宋体"/>
                <w:kern w:val="0"/>
                <w:szCs w:val="21"/>
              </w:rPr>
            </w:pPr>
          </w:p>
        </w:tc>
        <w:tc>
          <w:tcPr>
            <w:tcW w:w="1417" w:type="dxa"/>
            <w:vMerge w:val="continue"/>
            <w:vAlign w:val="center"/>
          </w:tcPr>
          <w:p>
            <w:pPr>
              <w:widowControl/>
              <w:spacing w:line="240" w:lineRule="exact"/>
              <w:jc w:val="center"/>
              <w:rPr>
                <w:rFonts w:ascii="黑体" w:hAnsi="黑体" w:eastAsia="黑体" w:cs="宋体"/>
                <w:kern w:val="0"/>
                <w:szCs w:val="21"/>
              </w:rPr>
            </w:pPr>
          </w:p>
        </w:tc>
        <w:tc>
          <w:tcPr>
            <w:tcW w:w="800" w:type="dxa"/>
            <w:vAlign w:val="center"/>
          </w:tcPr>
          <w:p>
            <w:pPr>
              <w:widowControl/>
              <w:spacing w:line="240" w:lineRule="exact"/>
              <w:ind w:left="-105" w:leftChars="-50" w:right="-105" w:rightChars="-50"/>
              <w:jc w:val="center"/>
              <w:rPr>
                <w:rFonts w:ascii="黑体" w:hAnsi="黑体" w:eastAsia="黑体" w:cs="宋体"/>
                <w:kern w:val="0"/>
                <w:szCs w:val="21"/>
              </w:rPr>
            </w:pPr>
            <w:r>
              <w:rPr>
                <w:rFonts w:hint="eastAsia" w:ascii="黑体" w:hAnsi="黑体" w:eastAsia="黑体" w:cs="宋体"/>
                <w:kern w:val="0"/>
                <w:szCs w:val="21"/>
              </w:rPr>
              <w:t>全社会</w:t>
            </w:r>
          </w:p>
        </w:tc>
        <w:tc>
          <w:tcPr>
            <w:tcW w:w="811" w:type="dxa"/>
            <w:vAlign w:val="center"/>
          </w:tcPr>
          <w:p>
            <w:pPr>
              <w:widowControl/>
              <w:spacing w:line="240" w:lineRule="exact"/>
              <w:ind w:left="-105" w:leftChars="-50" w:right="-105" w:rightChars="-50"/>
              <w:jc w:val="center"/>
              <w:rPr>
                <w:rFonts w:ascii="黑体" w:hAnsi="黑体" w:eastAsia="黑体" w:cs="宋体"/>
                <w:kern w:val="0"/>
                <w:szCs w:val="21"/>
              </w:rPr>
            </w:pPr>
            <w:r>
              <w:rPr>
                <w:rFonts w:hint="eastAsia" w:ascii="黑体" w:hAnsi="黑体" w:eastAsia="黑体" w:cs="宋体"/>
                <w:kern w:val="0"/>
                <w:szCs w:val="21"/>
              </w:rPr>
              <w:t>特定</w:t>
            </w:r>
            <w:r>
              <w:rPr>
                <w:rFonts w:hint="eastAsia" w:ascii="黑体" w:hAnsi="黑体" w:eastAsia="黑体" w:cs="宋体"/>
                <w:kern w:val="0"/>
                <w:szCs w:val="21"/>
              </w:rPr>
              <w:br w:type="textWrapping"/>
            </w:r>
            <w:r>
              <w:rPr>
                <w:rFonts w:hint="eastAsia" w:ascii="黑体" w:hAnsi="黑体" w:eastAsia="黑体" w:cs="宋体"/>
                <w:kern w:val="0"/>
                <w:szCs w:val="21"/>
              </w:rPr>
              <w:t>对象</w:t>
            </w:r>
          </w:p>
        </w:tc>
        <w:tc>
          <w:tcPr>
            <w:tcW w:w="807" w:type="dxa"/>
            <w:vAlign w:val="center"/>
          </w:tcPr>
          <w:p>
            <w:pPr>
              <w:widowControl/>
              <w:spacing w:line="240" w:lineRule="exact"/>
              <w:ind w:left="-105" w:leftChars="-50" w:right="-105" w:rightChars="-50"/>
              <w:jc w:val="center"/>
              <w:rPr>
                <w:rFonts w:ascii="黑体" w:hAnsi="黑体" w:eastAsia="黑体" w:cs="宋体"/>
                <w:kern w:val="0"/>
                <w:szCs w:val="21"/>
              </w:rPr>
            </w:pPr>
            <w:r>
              <w:rPr>
                <w:rFonts w:hint="eastAsia" w:ascii="黑体" w:hAnsi="黑体" w:eastAsia="黑体" w:cs="宋体"/>
                <w:kern w:val="0"/>
                <w:szCs w:val="21"/>
              </w:rPr>
              <w:t>主动</w:t>
            </w:r>
            <w:r>
              <w:rPr>
                <w:rFonts w:hint="eastAsia" w:ascii="黑体" w:hAnsi="黑体" w:eastAsia="黑体" w:cs="宋体"/>
                <w:kern w:val="0"/>
                <w:szCs w:val="21"/>
              </w:rPr>
              <w:br w:type="textWrapping"/>
            </w:r>
            <w:r>
              <w:rPr>
                <w:rFonts w:hint="eastAsia" w:ascii="黑体" w:hAnsi="黑体" w:eastAsia="黑体" w:cs="宋体"/>
                <w:kern w:val="0"/>
                <w:szCs w:val="21"/>
              </w:rPr>
              <w:t>公开</w:t>
            </w:r>
          </w:p>
        </w:tc>
        <w:tc>
          <w:tcPr>
            <w:tcW w:w="797" w:type="dxa"/>
            <w:vAlign w:val="center"/>
          </w:tcPr>
          <w:p>
            <w:pPr>
              <w:widowControl/>
              <w:spacing w:line="240" w:lineRule="exact"/>
              <w:ind w:left="-105" w:leftChars="-50" w:right="-105" w:rightChars="-50"/>
              <w:jc w:val="center"/>
              <w:rPr>
                <w:rFonts w:ascii="黑体" w:hAnsi="黑体" w:eastAsia="黑体" w:cs="宋体"/>
                <w:kern w:val="0"/>
                <w:szCs w:val="21"/>
              </w:rPr>
            </w:pPr>
            <w:r>
              <w:rPr>
                <w:rFonts w:hint="eastAsia" w:ascii="黑体" w:hAnsi="黑体" w:eastAsia="黑体" w:cs="宋体"/>
                <w:kern w:val="0"/>
                <w:szCs w:val="21"/>
              </w:rPr>
              <w:t>依申请公开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266"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1</w:t>
            </w:r>
          </w:p>
        </w:tc>
        <w:tc>
          <w:tcPr>
            <w:tcW w:w="814" w:type="dxa"/>
            <w:vMerge w:val="restart"/>
            <w:vAlign w:val="center"/>
          </w:tcPr>
          <w:p>
            <w:pPr>
              <w:widowControl/>
              <w:spacing w:line="240" w:lineRule="exact"/>
              <w:rPr>
                <w:rFonts w:hint="eastAsia" w:cs="宋体" w:asciiTheme="minorEastAsia" w:hAnsiTheme="minorEastAsia"/>
                <w:kern w:val="0"/>
                <w:szCs w:val="21"/>
              </w:rPr>
            </w:pPr>
            <w:r>
              <w:rPr>
                <w:rFonts w:hint="eastAsia" w:cs="宋体" w:asciiTheme="minorEastAsia" w:hAnsiTheme="minorEastAsia"/>
                <w:kern w:val="0"/>
                <w:szCs w:val="21"/>
              </w:rPr>
              <w:t>机构</w:t>
            </w:r>
          </w:p>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w:t>
            </w: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基本信息</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1.机构名称</w:t>
            </w:r>
            <w:r>
              <w:rPr>
                <w:rFonts w:hint="eastAsia" w:cs="宋体" w:asciiTheme="minorEastAsia" w:hAnsiTheme="minorEastAsia"/>
                <w:kern w:val="0"/>
                <w:szCs w:val="21"/>
              </w:rPr>
              <w:br w:type="textWrapping"/>
            </w:r>
            <w:r>
              <w:rPr>
                <w:rFonts w:hint="eastAsia" w:cs="宋体" w:asciiTheme="minorEastAsia" w:hAnsiTheme="minorEastAsia"/>
                <w:kern w:val="0"/>
                <w:szCs w:val="21"/>
              </w:rPr>
              <w:t>2.联系方式</w:t>
            </w:r>
          </w:p>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3.办公地址</w:t>
            </w:r>
            <w:r>
              <w:rPr>
                <w:rFonts w:hint="eastAsia" w:cs="宋体" w:asciiTheme="minorEastAsia" w:hAnsiTheme="minorEastAsia"/>
                <w:kern w:val="0"/>
                <w:szCs w:val="21"/>
              </w:rPr>
              <w:br w:type="textWrapping"/>
            </w:r>
            <w:r>
              <w:rPr>
                <w:rFonts w:hint="eastAsia" w:cs="宋体" w:asciiTheme="minorEastAsia" w:hAnsiTheme="minorEastAsia"/>
                <w:kern w:val="0"/>
                <w:szCs w:val="21"/>
              </w:rPr>
              <w:t>4</w:t>
            </w:r>
            <w:r>
              <w:rPr>
                <w:rFonts w:cs="宋体" w:asciiTheme="minorEastAsia" w:hAnsiTheme="minorEastAsia"/>
                <w:kern w:val="0"/>
                <w:szCs w:val="21"/>
              </w:rPr>
              <w:t>.办公时间</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191"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2</w:t>
            </w:r>
          </w:p>
        </w:tc>
        <w:tc>
          <w:tcPr>
            <w:tcW w:w="814" w:type="dxa"/>
            <w:vMerge w:val="continue"/>
            <w:vAlign w:val="center"/>
          </w:tcPr>
          <w:p>
            <w:pPr>
              <w:widowControl/>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法定职责</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依据“三定”规定确定的本部门法定职责</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161"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3</w:t>
            </w:r>
          </w:p>
        </w:tc>
        <w:tc>
          <w:tcPr>
            <w:tcW w:w="814" w:type="dxa"/>
            <w:vMerge w:val="continue"/>
            <w:vAlign w:val="center"/>
          </w:tcPr>
          <w:p>
            <w:pPr>
              <w:widowControl/>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领导简历</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1.姓名</w:t>
            </w:r>
            <w:r>
              <w:rPr>
                <w:rFonts w:hint="eastAsia" w:cs="宋体" w:asciiTheme="minorEastAsia" w:hAnsiTheme="minorEastAsia"/>
                <w:kern w:val="0"/>
                <w:szCs w:val="21"/>
              </w:rPr>
              <w:br w:type="textWrapping"/>
            </w:r>
            <w:r>
              <w:rPr>
                <w:rFonts w:hint="eastAsia" w:cs="宋体" w:asciiTheme="minorEastAsia" w:hAnsiTheme="minorEastAsia"/>
                <w:kern w:val="0"/>
                <w:szCs w:val="21"/>
              </w:rPr>
              <w:t>2.职务</w:t>
            </w:r>
            <w:r>
              <w:rPr>
                <w:rFonts w:hint="eastAsia" w:cs="宋体" w:asciiTheme="minorEastAsia" w:hAnsiTheme="minorEastAsia"/>
                <w:kern w:val="0"/>
                <w:szCs w:val="21"/>
              </w:rPr>
              <w:br w:type="textWrapping"/>
            </w:r>
            <w:r>
              <w:rPr>
                <w:rFonts w:hint="eastAsia" w:cs="宋体" w:asciiTheme="minorEastAsia" w:hAnsiTheme="minorEastAsia"/>
                <w:kern w:val="0"/>
                <w:szCs w:val="21"/>
              </w:rPr>
              <w:t>3.工作分工</w:t>
            </w:r>
            <w:r>
              <w:rPr>
                <w:rFonts w:hint="eastAsia" w:cs="宋体" w:asciiTheme="minorEastAsia" w:hAnsiTheme="minorEastAsia"/>
                <w:kern w:val="0"/>
                <w:szCs w:val="21"/>
              </w:rPr>
              <w:br w:type="textWrapping"/>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 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861"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4</w:t>
            </w:r>
          </w:p>
        </w:tc>
        <w:tc>
          <w:tcPr>
            <w:tcW w:w="814" w:type="dxa"/>
            <w:vMerge w:val="continue"/>
            <w:vAlign w:val="center"/>
          </w:tcPr>
          <w:p>
            <w:pPr>
              <w:widowControl/>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内设机构</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1.内设机构名称</w:t>
            </w:r>
            <w:r>
              <w:rPr>
                <w:rFonts w:hint="eastAsia" w:cs="宋体" w:asciiTheme="minorEastAsia" w:hAnsiTheme="minorEastAsia"/>
                <w:kern w:val="0"/>
                <w:szCs w:val="21"/>
              </w:rPr>
              <w:br w:type="textWrapping"/>
            </w:r>
            <w:r>
              <w:rPr>
                <w:rFonts w:hint="eastAsia" w:cs="宋体" w:asciiTheme="minorEastAsia" w:hAnsiTheme="minorEastAsia"/>
                <w:kern w:val="0"/>
                <w:szCs w:val="21"/>
              </w:rPr>
              <w:t xml:space="preserve">2.主要职责 </w:t>
            </w:r>
            <w:r>
              <w:rPr>
                <w:rFonts w:hint="eastAsia" w:cs="宋体" w:asciiTheme="minorEastAsia" w:hAnsiTheme="minorEastAsia"/>
                <w:kern w:val="0"/>
                <w:szCs w:val="21"/>
              </w:rPr>
              <w:br w:type="textWrapping"/>
            </w:r>
            <w:r>
              <w:rPr>
                <w:rFonts w:hint="eastAsia" w:cs="宋体" w:asciiTheme="minorEastAsia" w:hAnsiTheme="minorEastAsia"/>
                <w:kern w:val="0"/>
                <w:szCs w:val="21"/>
              </w:rPr>
              <w:t>3.联系电话</w:t>
            </w:r>
          </w:p>
        </w:tc>
        <w:tc>
          <w:tcPr>
            <w:tcW w:w="3174" w:type="dxa"/>
            <w:vAlign w:val="center"/>
          </w:tcPr>
          <w:p>
            <w:pPr>
              <w:widowControl/>
              <w:spacing w:line="240" w:lineRule="exact"/>
              <w:rPr>
                <w:rFonts w:cs="宋体" w:asciiTheme="minorEastAsia" w:hAnsiTheme="minorEastAsia"/>
                <w:spacing w:val="-6"/>
                <w:kern w:val="0"/>
                <w:szCs w:val="21"/>
              </w:rPr>
            </w:pPr>
            <w:r>
              <w:rPr>
                <w:rFonts w:hint="eastAsia" w:cs="宋体" w:asciiTheme="minorEastAsia" w:hAnsiTheme="minorEastAsia"/>
                <w:spacing w:val="-6"/>
                <w:kern w:val="0"/>
                <w:szCs w:val="21"/>
              </w:rPr>
              <w:t>《中华人民共和国政府信息公开条例》《河北省实施&lt;中华人民共和国政府信息公开条例&gt;办法》等法律法规规章和规范性文件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955"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5</w:t>
            </w:r>
          </w:p>
        </w:tc>
        <w:tc>
          <w:tcPr>
            <w:tcW w:w="814" w:type="dxa"/>
            <w:vMerge w:val="continue"/>
            <w:vAlign w:val="center"/>
          </w:tcPr>
          <w:p>
            <w:pPr>
              <w:widowControl/>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下属单位</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1.单位名称</w:t>
            </w:r>
            <w:r>
              <w:rPr>
                <w:rFonts w:hint="eastAsia" w:cs="宋体" w:asciiTheme="minorEastAsia" w:hAnsiTheme="minorEastAsia"/>
                <w:kern w:val="0"/>
                <w:szCs w:val="21"/>
              </w:rPr>
              <w:br w:type="textWrapping"/>
            </w:r>
            <w:r>
              <w:rPr>
                <w:rFonts w:hint="eastAsia" w:cs="宋体" w:asciiTheme="minorEastAsia" w:hAnsiTheme="minorEastAsia"/>
                <w:kern w:val="0"/>
                <w:szCs w:val="21"/>
              </w:rPr>
              <w:t>2.负责人信息</w:t>
            </w:r>
            <w:r>
              <w:rPr>
                <w:rFonts w:hint="eastAsia" w:cs="宋体" w:asciiTheme="minorEastAsia" w:hAnsiTheme="minorEastAsia"/>
                <w:kern w:val="0"/>
                <w:szCs w:val="21"/>
              </w:rPr>
              <w:br w:type="textWrapping"/>
            </w:r>
            <w:r>
              <w:rPr>
                <w:rFonts w:hint="eastAsia" w:cs="宋体" w:asciiTheme="minorEastAsia" w:hAnsiTheme="minorEastAsia"/>
                <w:kern w:val="0"/>
                <w:szCs w:val="21"/>
              </w:rPr>
              <w:t>3.主要职责</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664"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6</w:t>
            </w:r>
          </w:p>
        </w:tc>
        <w:tc>
          <w:tcPr>
            <w:tcW w:w="814" w:type="dxa"/>
            <w:vAlign w:val="center"/>
          </w:tcPr>
          <w:p>
            <w:pPr>
              <w:widowControl/>
              <w:spacing w:line="240" w:lineRule="exact"/>
              <w:rPr>
                <w:rFonts w:hint="eastAsia" w:cs="宋体" w:asciiTheme="minorEastAsia" w:hAnsiTheme="minorEastAsia"/>
                <w:kern w:val="0"/>
                <w:szCs w:val="21"/>
              </w:rPr>
            </w:pPr>
            <w:r>
              <w:rPr>
                <w:rFonts w:hint="eastAsia" w:cs="宋体" w:asciiTheme="minorEastAsia" w:hAnsiTheme="minorEastAsia"/>
                <w:kern w:val="0"/>
                <w:szCs w:val="21"/>
              </w:rPr>
              <w:t>信息</w:t>
            </w:r>
          </w:p>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公开</w:t>
            </w: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政府信息公开专栏</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1.政策</w:t>
            </w:r>
            <w:r>
              <w:rPr>
                <w:rFonts w:hint="eastAsia" w:cs="宋体" w:asciiTheme="minorEastAsia" w:hAnsiTheme="minorEastAsia"/>
                <w:kern w:val="0"/>
                <w:szCs w:val="21"/>
              </w:rPr>
              <w:br w:type="textWrapping"/>
            </w:r>
            <w:r>
              <w:rPr>
                <w:rFonts w:hint="eastAsia" w:cs="宋体" w:asciiTheme="minorEastAsia" w:hAnsiTheme="minorEastAsia"/>
                <w:kern w:val="0"/>
                <w:szCs w:val="21"/>
              </w:rPr>
              <w:t>2.信息公开指南</w:t>
            </w:r>
            <w:r>
              <w:rPr>
                <w:rFonts w:hint="eastAsia" w:cs="宋体" w:asciiTheme="minorEastAsia" w:hAnsiTheme="minorEastAsia"/>
                <w:kern w:val="0"/>
                <w:szCs w:val="21"/>
              </w:rPr>
              <w:br w:type="textWrapping"/>
            </w:r>
            <w:r>
              <w:rPr>
                <w:rFonts w:hint="eastAsia" w:cs="宋体" w:asciiTheme="minorEastAsia" w:hAnsiTheme="minorEastAsia"/>
                <w:kern w:val="0"/>
                <w:szCs w:val="21"/>
              </w:rPr>
              <w:t>3.信息公开制度</w:t>
            </w:r>
            <w:r>
              <w:rPr>
                <w:rFonts w:hint="eastAsia" w:cs="宋体" w:asciiTheme="minorEastAsia" w:hAnsiTheme="minorEastAsia"/>
                <w:kern w:val="0"/>
                <w:szCs w:val="21"/>
              </w:rPr>
              <w:br w:type="textWrapping"/>
            </w:r>
            <w:r>
              <w:rPr>
                <w:rFonts w:hint="eastAsia" w:cs="宋体" w:asciiTheme="minorEastAsia" w:hAnsiTheme="minorEastAsia"/>
                <w:kern w:val="0"/>
                <w:szCs w:val="21"/>
              </w:rPr>
              <w:t>4.法定公开内容</w:t>
            </w:r>
            <w:r>
              <w:rPr>
                <w:rFonts w:hint="eastAsia" w:cs="宋体" w:asciiTheme="minorEastAsia" w:hAnsiTheme="minorEastAsia"/>
                <w:kern w:val="0"/>
                <w:szCs w:val="21"/>
              </w:rPr>
              <w:br w:type="textWrapping"/>
            </w:r>
            <w:r>
              <w:rPr>
                <w:rFonts w:hint="eastAsia" w:cs="宋体" w:asciiTheme="minorEastAsia" w:hAnsiTheme="minorEastAsia"/>
                <w:kern w:val="0"/>
                <w:szCs w:val="21"/>
              </w:rPr>
              <w:t>5.信息公开年报</w:t>
            </w:r>
            <w:r>
              <w:rPr>
                <w:rFonts w:hint="eastAsia" w:cs="宋体" w:asciiTheme="minorEastAsia" w:hAnsiTheme="minorEastAsia"/>
                <w:kern w:val="0"/>
                <w:szCs w:val="21"/>
              </w:rPr>
              <w:br w:type="textWrapping"/>
            </w:r>
            <w:r>
              <w:rPr>
                <w:rFonts w:hint="eastAsia" w:cs="宋体" w:asciiTheme="minorEastAsia" w:hAnsiTheme="minorEastAsia"/>
                <w:kern w:val="0"/>
                <w:szCs w:val="21"/>
              </w:rPr>
              <w:t>6.政务公开事项清单</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450"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7</w:t>
            </w:r>
          </w:p>
        </w:tc>
        <w:tc>
          <w:tcPr>
            <w:tcW w:w="81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双随机一公开</w:t>
            </w: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双随机一公开</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1.抽查事项清单</w:t>
            </w:r>
            <w:r>
              <w:rPr>
                <w:rFonts w:hint="eastAsia" w:cs="宋体" w:asciiTheme="minorEastAsia" w:hAnsiTheme="minorEastAsia"/>
                <w:kern w:val="0"/>
                <w:szCs w:val="21"/>
              </w:rPr>
              <w:br w:type="textWrapping"/>
            </w:r>
            <w:r>
              <w:rPr>
                <w:rFonts w:hint="eastAsia" w:cs="宋体" w:asciiTheme="minorEastAsia" w:hAnsiTheme="minorEastAsia"/>
                <w:kern w:val="0"/>
                <w:szCs w:val="21"/>
              </w:rPr>
              <w:t>2.抽查计划方案</w:t>
            </w:r>
            <w:r>
              <w:rPr>
                <w:rFonts w:hint="eastAsia" w:cs="宋体" w:asciiTheme="minorEastAsia" w:hAnsiTheme="minorEastAsia"/>
                <w:kern w:val="0"/>
                <w:szCs w:val="21"/>
              </w:rPr>
              <w:br w:type="textWrapping"/>
            </w:r>
            <w:r>
              <w:rPr>
                <w:rFonts w:hint="eastAsia" w:cs="宋体" w:asciiTheme="minorEastAsia" w:hAnsiTheme="minorEastAsia"/>
                <w:kern w:val="0"/>
                <w:szCs w:val="21"/>
              </w:rPr>
              <w:t>3.抽查检查结果</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《国务院关于在市场监管领域全面推行部门联合“双随机、一公开”监管的意见》和《河北省人民政府关于在市场监管领域全面推行部门联合“双随机、一公开”监管的实施意见》等法律法规规章和规范性文件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■河北省双随机监管工作平台</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616"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8</w:t>
            </w:r>
          </w:p>
        </w:tc>
        <w:tc>
          <w:tcPr>
            <w:tcW w:w="81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建议提案</w:t>
            </w: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建议提案</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由本单位主办的可公开的建议提案办理复文</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《国务院办公厅关于做好全国人大代表建议和全国政协委员提案办理结果公开工作的通知》《河北省承办人大代表建议和政协提案工作规定》等法律法规规章和规范性文件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Arial"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814"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9</w:t>
            </w:r>
          </w:p>
        </w:tc>
        <w:tc>
          <w:tcPr>
            <w:tcW w:w="814" w:type="dxa"/>
            <w:vMerge w:val="restart"/>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政策文件</w:t>
            </w: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重大决策预公开</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1.决策草案及说明</w:t>
            </w:r>
            <w:r>
              <w:rPr>
                <w:rFonts w:hint="eastAsia" w:cs="宋体" w:asciiTheme="minorEastAsia" w:hAnsiTheme="minorEastAsia"/>
                <w:kern w:val="0"/>
                <w:szCs w:val="21"/>
              </w:rPr>
              <w:br w:type="textWrapping"/>
            </w:r>
            <w:r>
              <w:rPr>
                <w:rFonts w:hint="eastAsia" w:cs="宋体" w:asciiTheme="minorEastAsia" w:hAnsiTheme="minorEastAsia"/>
                <w:kern w:val="0"/>
                <w:szCs w:val="21"/>
              </w:rPr>
              <w:t>2.社会公众普遍关心或者专业性、技术性较强的重大行政决策公众意见收集和采纳情况</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《中共中央办公厅国务院办公厅关于全面推进政务公开工作的意见》《河北省重大行政决策程序暂行办法》等法律法规规章和规范性文件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Arial"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381"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10</w:t>
            </w:r>
          </w:p>
        </w:tc>
        <w:tc>
          <w:tcPr>
            <w:tcW w:w="814" w:type="dxa"/>
            <w:vMerge w:val="continue"/>
            <w:vAlign w:val="center"/>
          </w:tcPr>
          <w:p>
            <w:pPr>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法律法规</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履行本部门职能职责涉及的主要法律法规</w:t>
            </w:r>
          </w:p>
        </w:tc>
        <w:tc>
          <w:tcPr>
            <w:tcW w:w="3174" w:type="dxa"/>
            <w:vAlign w:val="center"/>
          </w:tcPr>
          <w:p>
            <w:pPr>
              <w:widowControl/>
              <w:spacing w:line="240" w:lineRule="exact"/>
              <w:rPr>
                <w:rFonts w:cs="宋体" w:asciiTheme="minorEastAsia" w:hAnsiTheme="minorEastAsia"/>
                <w:spacing w:val="-6"/>
                <w:kern w:val="0"/>
                <w:szCs w:val="21"/>
              </w:rPr>
            </w:pPr>
            <w:r>
              <w:rPr>
                <w:rFonts w:hint="eastAsia" w:cs="宋体" w:asciiTheme="minorEastAsia" w:hAnsiTheme="minorEastAsia"/>
                <w:spacing w:val="-6"/>
                <w:kern w:val="0"/>
                <w:szCs w:val="21"/>
              </w:rPr>
              <w:t>《国务院办公厅印发&lt;关于全面推进政务公开工作的意见&gt;实施细则的通知》《河北省人民政府办公厅关于印发&lt;河北省全面推进政务公开工作实施细则&gt;的通知》等法律法规规章和规范性文件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cs="宋体" w:asciiTheme="minorEastAsia" w:hAnsiTheme="minorEastAsia"/>
                <w:kern w:val="0"/>
                <w:szCs w:val="21"/>
              </w:rPr>
              <w:t>■政府网站</w:t>
            </w:r>
            <w:r>
              <w:rPr>
                <w:rFonts w:hint="eastAsia" w:cs="宋体" w:asciiTheme="minorEastAsia" w:hAnsiTheme="minorEastAsia"/>
                <w:kern w:val="0"/>
                <w:szCs w:val="21"/>
              </w:rPr>
              <w:br w:type="textWrapping"/>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Arial"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432"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11</w:t>
            </w:r>
          </w:p>
        </w:tc>
        <w:tc>
          <w:tcPr>
            <w:tcW w:w="814" w:type="dxa"/>
            <w:vMerge w:val="continue"/>
            <w:vAlign w:val="center"/>
          </w:tcPr>
          <w:p>
            <w:pPr>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行政规章</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履行本部门职能职责涉及的主要行政规章</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《国务院办公厅印发&lt;关于全面推进政务公开工作的意见&gt;实施细则的通知》《河北省人民政府办公厅关于印发河北省全面推进政务公开工作实施细则的通知》等</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■政府网站</w:t>
            </w:r>
            <w:r>
              <w:rPr>
                <w:rFonts w:hint="eastAsia" w:cs="宋体" w:asciiTheme="minorEastAsia" w:hAnsiTheme="minorEastAsia"/>
                <w:kern w:val="0"/>
                <w:szCs w:val="21"/>
              </w:rPr>
              <w:br w:type="textWrapping"/>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Arial"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814"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12</w:t>
            </w:r>
          </w:p>
        </w:tc>
        <w:tc>
          <w:tcPr>
            <w:tcW w:w="814" w:type="dxa"/>
            <w:vMerge w:val="continue"/>
            <w:vAlign w:val="center"/>
          </w:tcPr>
          <w:p>
            <w:pPr>
              <w:widowControl/>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行业部门文件</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lang w:eastAsia="zh-CN"/>
              </w:rPr>
              <w:t>以部门名义印发</w:t>
            </w:r>
            <w:r>
              <w:rPr>
                <w:rFonts w:hint="eastAsia" w:cs="宋体" w:asciiTheme="minorEastAsia" w:hAnsiTheme="minorEastAsia"/>
                <w:kern w:val="0"/>
                <w:szCs w:val="21"/>
              </w:rPr>
              <w:t>的规范性文件或其他政策文件</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国务院办公厅印发&lt;关于全面推进政务公开工作的意见&gt;实施细则的通知》《河北省人民政府办公厅关于印发河北省全面推进政务公开工作实施细则的通知》《中共河北省委办公厅河北省人民政府办公厅关于加强和规范党委政府及部门文件通过新闻媒体公开发布工作的指导意见》等</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r>
              <w:rPr>
                <w:rFonts w:hint="eastAsia" w:cs="宋体" w:asciiTheme="minorEastAsia" w:hAnsiTheme="minorEastAsia"/>
                <w:kern w:val="0"/>
                <w:szCs w:val="21"/>
              </w:rPr>
              <w:br w:type="textWrapping"/>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247"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13</w:t>
            </w:r>
          </w:p>
        </w:tc>
        <w:tc>
          <w:tcPr>
            <w:tcW w:w="814" w:type="dxa"/>
            <w:vMerge w:val="continue"/>
            <w:vAlign w:val="center"/>
          </w:tcPr>
          <w:p>
            <w:pPr>
              <w:widowControl/>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政策解读</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对本部门起草的重大政策文件的解读信息</w:t>
            </w:r>
          </w:p>
        </w:tc>
        <w:tc>
          <w:tcPr>
            <w:tcW w:w="3174" w:type="dxa"/>
            <w:vAlign w:val="center"/>
          </w:tcPr>
          <w:p>
            <w:pPr>
              <w:widowControl/>
              <w:spacing w:line="240" w:lineRule="exact"/>
              <w:rPr>
                <w:rFonts w:cs="宋体" w:asciiTheme="minorEastAsia" w:hAnsiTheme="minorEastAsia"/>
                <w:spacing w:val="-6"/>
                <w:kern w:val="0"/>
                <w:szCs w:val="21"/>
              </w:rPr>
            </w:pPr>
            <w:r>
              <w:rPr>
                <w:rFonts w:hint="eastAsia" w:cs="宋体" w:asciiTheme="minorEastAsia" w:hAnsiTheme="minorEastAsia"/>
                <w:spacing w:val="-6"/>
                <w:kern w:val="0"/>
                <w:szCs w:val="21"/>
              </w:rPr>
              <w:t>《国务院办公厅印发&lt;关于全面推进政务公开工作的意见&gt;实施细则的通知》《河北省人民政府办公厅关于印发河北省全面推进政务公开工作实施细则的通知》等法律法规规章和规范性文件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■政府网站</w:t>
            </w:r>
            <w:r>
              <w:rPr>
                <w:rFonts w:hint="eastAsia" w:cs="宋体" w:asciiTheme="minorEastAsia" w:hAnsiTheme="minorEastAsia"/>
                <w:kern w:val="0"/>
                <w:szCs w:val="21"/>
              </w:rPr>
              <w:br w:type="textWrapping"/>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097" w:hRule="atLeast"/>
          <w:jc w:val="center"/>
        </w:trPr>
        <w:tc>
          <w:tcPr>
            <w:tcW w:w="54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14</w:t>
            </w:r>
          </w:p>
        </w:tc>
        <w:tc>
          <w:tcPr>
            <w:tcW w:w="814" w:type="dxa"/>
            <w:vMerge w:val="continue"/>
            <w:vAlign w:val="center"/>
          </w:tcPr>
          <w:p>
            <w:pPr>
              <w:widowControl/>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规范性文件清理</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1.规范性文件定期清理情况</w:t>
            </w:r>
            <w:r>
              <w:rPr>
                <w:rFonts w:hint="eastAsia" w:cs="宋体" w:asciiTheme="minorEastAsia" w:hAnsiTheme="minorEastAsia"/>
                <w:kern w:val="0"/>
                <w:szCs w:val="21"/>
              </w:rPr>
              <w:br w:type="textWrapping"/>
            </w:r>
            <w:r>
              <w:rPr>
                <w:rFonts w:hint="eastAsia" w:cs="宋体" w:asciiTheme="minorEastAsia" w:hAnsiTheme="minorEastAsia"/>
                <w:kern w:val="0"/>
                <w:szCs w:val="21"/>
              </w:rPr>
              <w:t>2.已修改、废止、失效的规范性文件目录</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■政府网站</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791" w:hRule="atLeast"/>
          <w:jc w:val="center"/>
        </w:trPr>
        <w:tc>
          <w:tcPr>
            <w:tcW w:w="54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15</w:t>
            </w:r>
          </w:p>
        </w:tc>
        <w:tc>
          <w:tcPr>
            <w:tcW w:w="81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政民互动</w:t>
            </w: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回应关切</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针对涉及本部门本行业的热点舆情发布的回应信息</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《国务院办公厅印发&lt;关于全面推进政务公开工作的意见&gt;实施细则的通知》《国务院办公厅关于在政务公开工作中进一步做好政务舆情回应的通知》</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及时公开</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■政府网站</w:t>
            </w:r>
            <w:r>
              <w:rPr>
                <w:rFonts w:hint="eastAsia" w:cs="宋体" w:asciiTheme="minorEastAsia" w:hAnsiTheme="minorEastAsia"/>
                <w:kern w:val="0"/>
                <w:szCs w:val="21"/>
              </w:rPr>
              <w:br w:type="textWrapping"/>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587" w:hRule="atLeast"/>
          <w:jc w:val="center"/>
        </w:trPr>
        <w:tc>
          <w:tcPr>
            <w:tcW w:w="547" w:type="dxa"/>
            <w:vAlign w:val="center"/>
          </w:tcPr>
          <w:p>
            <w:pPr>
              <w:widowControl/>
              <w:spacing w:line="240" w:lineRule="exact"/>
              <w:jc w:val="center"/>
              <w:rPr>
                <w:rFonts w:hint="default" w:cs="宋体" w:asciiTheme="minorEastAsia" w:hAnsiTheme="minorEastAsia" w:eastAsiaTheme="minorEastAsia"/>
                <w:kern w:val="0"/>
                <w:szCs w:val="21"/>
                <w:lang w:val="en-US" w:eastAsia="zh-CN"/>
              </w:rPr>
            </w:pPr>
            <w:r>
              <w:rPr>
                <w:rFonts w:hint="eastAsia" w:cs="宋体" w:asciiTheme="minorEastAsia" w:hAnsiTheme="minorEastAsia"/>
                <w:kern w:val="0"/>
                <w:szCs w:val="21"/>
                <w:lang w:val="en-US" w:eastAsia="zh-CN"/>
              </w:rPr>
              <w:t>16</w:t>
            </w:r>
          </w:p>
        </w:tc>
        <w:tc>
          <w:tcPr>
            <w:tcW w:w="81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新闻发布</w:t>
            </w: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新闻发布会</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1.国家相关部委、省委、省政府、市委、市政府召开的涉及财政行业的新闻发布会</w:t>
            </w:r>
            <w:r>
              <w:rPr>
                <w:rFonts w:hint="eastAsia" w:cs="宋体" w:asciiTheme="minorEastAsia" w:hAnsiTheme="minorEastAsia"/>
                <w:kern w:val="0"/>
                <w:szCs w:val="21"/>
              </w:rPr>
              <w:br w:type="textWrapping"/>
            </w:r>
            <w:r>
              <w:rPr>
                <w:rFonts w:hint="eastAsia" w:cs="宋体" w:asciiTheme="minorEastAsia" w:hAnsiTheme="minorEastAsia"/>
                <w:kern w:val="0"/>
                <w:szCs w:val="21"/>
              </w:rPr>
              <w:t>2.本单位召开的各类新闻发布会、新闻通气会和新闻吹风会</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及时公开</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r>
              <w:rPr>
                <w:rFonts w:hint="eastAsia" w:cs="宋体" w:asciiTheme="minorEastAsia" w:hAnsiTheme="minorEastAsia"/>
                <w:kern w:val="0"/>
                <w:szCs w:val="21"/>
              </w:rPr>
              <w:br w:type="textWrapping"/>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814" w:hRule="atLeast"/>
          <w:jc w:val="center"/>
        </w:trPr>
        <w:tc>
          <w:tcPr>
            <w:tcW w:w="547" w:type="dxa"/>
            <w:vAlign w:val="center"/>
          </w:tcPr>
          <w:p>
            <w:pPr>
              <w:widowControl/>
              <w:spacing w:line="240" w:lineRule="exact"/>
              <w:jc w:val="center"/>
              <w:rPr>
                <w:rFonts w:hint="default" w:cs="宋体" w:asciiTheme="minorEastAsia" w:hAnsiTheme="minorEastAsia" w:eastAsiaTheme="minorEastAsia"/>
                <w:kern w:val="0"/>
                <w:szCs w:val="21"/>
                <w:lang w:val="en-US" w:eastAsia="zh-CN"/>
              </w:rPr>
            </w:pPr>
            <w:r>
              <w:rPr>
                <w:rFonts w:hint="eastAsia" w:cs="宋体" w:asciiTheme="minorEastAsia" w:hAnsiTheme="minorEastAsia"/>
                <w:kern w:val="0"/>
                <w:szCs w:val="21"/>
                <w:lang w:val="en-US" w:eastAsia="zh-CN"/>
              </w:rPr>
              <w:t>17</w:t>
            </w:r>
          </w:p>
        </w:tc>
        <w:tc>
          <w:tcPr>
            <w:tcW w:w="814" w:type="dxa"/>
            <w:vMerge w:val="restart"/>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重点领域信息</w:t>
            </w: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权责清单</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经相关部门核定的权力和责任清单</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791" w:hRule="atLeast"/>
          <w:jc w:val="center"/>
        </w:trPr>
        <w:tc>
          <w:tcPr>
            <w:tcW w:w="547" w:type="dxa"/>
            <w:vAlign w:val="center"/>
          </w:tcPr>
          <w:p>
            <w:pPr>
              <w:widowControl/>
              <w:spacing w:line="240" w:lineRule="exact"/>
              <w:jc w:val="center"/>
              <w:rPr>
                <w:rFonts w:hint="default" w:cs="宋体" w:asciiTheme="minorEastAsia" w:hAnsiTheme="minorEastAsia" w:eastAsiaTheme="minorEastAsia"/>
                <w:kern w:val="0"/>
                <w:szCs w:val="21"/>
                <w:lang w:val="en-US" w:eastAsia="zh-CN"/>
              </w:rPr>
            </w:pPr>
            <w:r>
              <w:rPr>
                <w:rFonts w:hint="eastAsia" w:cs="宋体" w:asciiTheme="minorEastAsia" w:hAnsiTheme="minorEastAsia"/>
                <w:kern w:val="0"/>
                <w:szCs w:val="21"/>
                <w:lang w:val="en-US" w:eastAsia="zh-CN"/>
              </w:rPr>
              <w:t>18</w:t>
            </w:r>
          </w:p>
        </w:tc>
        <w:tc>
          <w:tcPr>
            <w:tcW w:w="814" w:type="dxa"/>
            <w:vMerge w:val="continue"/>
            <w:vAlign w:val="center"/>
          </w:tcPr>
          <w:p>
            <w:pPr>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统计数据</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政府预决算信息</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r>
              <w:rPr>
                <w:rFonts w:hint="eastAsia" w:cs="宋体" w:asciiTheme="minorEastAsia" w:hAnsiTheme="minorEastAsia"/>
                <w:kern w:val="0"/>
                <w:szCs w:val="21"/>
              </w:rPr>
              <w:br w:type="textWrapping"/>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179" w:hRule="atLeast"/>
          <w:jc w:val="center"/>
        </w:trPr>
        <w:tc>
          <w:tcPr>
            <w:tcW w:w="547" w:type="dxa"/>
            <w:vAlign w:val="center"/>
          </w:tcPr>
          <w:p>
            <w:pPr>
              <w:widowControl/>
              <w:spacing w:line="240" w:lineRule="exact"/>
              <w:jc w:val="center"/>
              <w:rPr>
                <w:rFonts w:hint="default" w:cs="宋体" w:asciiTheme="minorEastAsia" w:hAnsiTheme="minorEastAsia" w:eastAsiaTheme="minorEastAsia"/>
                <w:kern w:val="0"/>
                <w:szCs w:val="21"/>
                <w:lang w:val="en-US" w:eastAsia="zh-CN"/>
              </w:rPr>
            </w:pPr>
            <w:r>
              <w:rPr>
                <w:rFonts w:hint="eastAsia" w:cs="宋体" w:asciiTheme="minorEastAsia" w:hAnsiTheme="minorEastAsia"/>
                <w:kern w:val="0"/>
                <w:szCs w:val="21"/>
                <w:lang w:val="en-US" w:eastAsia="zh-CN"/>
              </w:rPr>
              <w:t>19</w:t>
            </w:r>
          </w:p>
        </w:tc>
        <w:tc>
          <w:tcPr>
            <w:tcW w:w="814" w:type="dxa"/>
            <w:vMerge w:val="continue"/>
            <w:vAlign w:val="center"/>
          </w:tcPr>
          <w:p>
            <w:pPr>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财政资金</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1.本部门预决算公开信息</w:t>
            </w:r>
            <w:r>
              <w:rPr>
                <w:rFonts w:hint="eastAsia" w:cs="宋体" w:asciiTheme="minorEastAsia" w:hAnsiTheme="minorEastAsia"/>
                <w:kern w:val="0"/>
                <w:szCs w:val="21"/>
              </w:rPr>
              <w:br w:type="textWrapping"/>
            </w:r>
            <w:r>
              <w:rPr>
                <w:rFonts w:hint="eastAsia" w:cs="宋体" w:asciiTheme="minorEastAsia" w:hAnsiTheme="minorEastAsia"/>
                <w:kern w:val="0"/>
                <w:szCs w:val="21"/>
              </w:rPr>
              <w:t>2.年度“三公”经费信息</w:t>
            </w:r>
            <w:r>
              <w:rPr>
                <w:rFonts w:hint="eastAsia" w:cs="宋体" w:asciiTheme="minorEastAsia" w:hAnsiTheme="minorEastAsia"/>
                <w:kern w:val="0"/>
                <w:szCs w:val="21"/>
              </w:rPr>
              <w:br w:type="textWrapping"/>
            </w:r>
            <w:r>
              <w:rPr>
                <w:rFonts w:hint="eastAsia" w:cs="宋体" w:asciiTheme="minorEastAsia" w:hAnsiTheme="minorEastAsia"/>
                <w:kern w:val="0"/>
                <w:szCs w:val="21"/>
              </w:rPr>
              <w:t>3.政府采购信息</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■政府网站</w:t>
            </w:r>
            <w:r>
              <w:rPr>
                <w:rFonts w:hint="eastAsia" w:cs="宋体" w:asciiTheme="minorEastAsia" w:hAnsiTheme="minorEastAsia"/>
                <w:kern w:val="0"/>
                <w:szCs w:val="21"/>
              </w:rPr>
              <w:br w:type="textWrapping"/>
            </w:r>
            <w:r>
              <w:rPr>
                <w:rFonts w:hint="eastAsia" w:cs="宋体" w:asciiTheme="minorEastAsia" w:hAnsiTheme="minorEastAsia"/>
                <w:kern w:val="0"/>
                <w:szCs w:val="21"/>
              </w:rPr>
              <w:t>■河北省政府采购网</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331" w:hRule="atLeast"/>
          <w:jc w:val="center"/>
        </w:trPr>
        <w:tc>
          <w:tcPr>
            <w:tcW w:w="547" w:type="dxa"/>
            <w:vAlign w:val="center"/>
          </w:tcPr>
          <w:p>
            <w:pPr>
              <w:widowControl/>
              <w:spacing w:line="240" w:lineRule="exact"/>
              <w:jc w:val="center"/>
              <w:rPr>
                <w:rFonts w:hint="default" w:cs="宋体" w:asciiTheme="minorEastAsia" w:hAnsiTheme="minorEastAsia" w:eastAsiaTheme="minorEastAsia"/>
                <w:kern w:val="0"/>
                <w:szCs w:val="21"/>
                <w:lang w:val="en-US" w:eastAsia="zh-CN"/>
              </w:rPr>
            </w:pPr>
            <w:r>
              <w:rPr>
                <w:rFonts w:hint="eastAsia" w:cs="宋体" w:asciiTheme="minorEastAsia" w:hAnsiTheme="minorEastAsia"/>
                <w:kern w:val="0"/>
                <w:szCs w:val="21"/>
                <w:lang w:val="en-US" w:eastAsia="zh-CN"/>
              </w:rPr>
              <w:t>20</w:t>
            </w:r>
          </w:p>
        </w:tc>
        <w:tc>
          <w:tcPr>
            <w:tcW w:w="814" w:type="dxa"/>
            <w:vMerge w:val="continue"/>
            <w:vAlign w:val="center"/>
          </w:tcPr>
          <w:p>
            <w:pPr>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责任事项</w:t>
            </w:r>
          </w:p>
        </w:tc>
        <w:tc>
          <w:tcPr>
            <w:tcW w:w="1696" w:type="dxa"/>
            <w:vAlign w:val="center"/>
          </w:tcPr>
          <w:p>
            <w:pPr>
              <w:widowControl/>
              <w:spacing w:line="280" w:lineRule="exact"/>
              <w:rPr>
                <w:rFonts w:cs="宋体" w:asciiTheme="minorEastAsia" w:hAnsiTheme="minorEastAsia"/>
                <w:kern w:val="0"/>
                <w:szCs w:val="21"/>
              </w:rPr>
            </w:pPr>
            <w:r>
              <w:rPr>
                <w:rFonts w:hint="eastAsia" w:cs="宋体" w:asciiTheme="minorEastAsia" w:hAnsiTheme="minorEastAsia"/>
                <w:kern w:val="0"/>
                <w:szCs w:val="21"/>
              </w:rPr>
              <w:t>预算管理、预算绩效管理、</w:t>
            </w:r>
            <w:r>
              <w:rPr>
                <w:rFonts w:hint="eastAsia" w:cs="宋体" w:asciiTheme="minorEastAsia" w:hAnsiTheme="minorEastAsia"/>
                <w:kern w:val="0"/>
                <w:szCs w:val="21"/>
                <w:lang w:eastAsia="zh-CN"/>
              </w:rPr>
              <w:t>市县财政管理、</w:t>
            </w:r>
            <w:bookmarkStart w:id="0" w:name="_GoBack"/>
            <w:bookmarkEnd w:id="0"/>
            <w:r>
              <w:rPr>
                <w:rFonts w:hint="eastAsia" w:cs="宋体" w:asciiTheme="minorEastAsia" w:hAnsiTheme="minorEastAsia"/>
                <w:kern w:val="0"/>
                <w:szCs w:val="21"/>
              </w:rPr>
              <w:t>政府债务债券管理、国库管理、监督评价管理、行政政法管理、教科文管理、社会保障管理、农业农村管理、经济建设管理、自然资源和生态环境管理、涉外管理、金融管理、政府和社会资本合作管理、综合管理、会计管理、</w:t>
            </w:r>
            <w:r>
              <w:rPr>
                <w:rFonts w:hint="eastAsia" w:cs="宋体" w:asciiTheme="minorEastAsia" w:hAnsiTheme="minorEastAsia"/>
                <w:kern w:val="0"/>
                <w:szCs w:val="21"/>
                <w:lang w:eastAsia="zh-CN"/>
              </w:rPr>
              <w:t>财政法规</w:t>
            </w:r>
            <w:r>
              <w:rPr>
                <w:rFonts w:hint="eastAsia" w:cs="宋体" w:asciiTheme="minorEastAsia" w:hAnsiTheme="minorEastAsia"/>
                <w:kern w:val="0"/>
                <w:szCs w:val="21"/>
              </w:rPr>
              <w:t>管理、税政管理、非税收入管理、国有资产管理、政府采购管理等事项相关信息</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预算法》《中华人民共和国政府信息公开条例》《河北省实施&lt;中华人民共和国政府信息公开条例&gt;办法》《财政部关于印发&lt;地方政府债务信息公开办法（试行）&gt;的通知》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w:t>
            </w:r>
            <w:r>
              <w:rPr>
                <w:rFonts w:cs="宋体" w:asciiTheme="minorEastAsia" w:hAnsiTheme="minorEastAsia"/>
                <w:kern w:val="0"/>
                <w:szCs w:val="21"/>
              </w:rPr>
              <w:t>政府网站</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532" w:hRule="atLeast"/>
          <w:jc w:val="center"/>
        </w:trPr>
        <w:tc>
          <w:tcPr>
            <w:tcW w:w="547" w:type="dxa"/>
            <w:vAlign w:val="center"/>
          </w:tcPr>
          <w:p>
            <w:pPr>
              <w:widowControl/>
              <w:spacing w:line="240" w:lineRule="exact"/>
              <w:jc w:val="center"/>
              <w:rPr>
                <w:rFonts w:hint="default" w:cs="宋体" w:asciiTheme="minorEastAsia" w:hAnsiTheme="minorEastAsia" w:eastAsiaTheme="minorEastAsia"/>
                <w:kern w:val="0"/>
                <w:szCs w:val="21"/>
                <w:lang w:val="en-US" w:eastAsia="zh-CN"/>
              </w:rPr>
            </w:pPr>
            <w:r>
              <w:rPr>
                <w:rFonts w:hint="eastAsia" w:cs="宋体" w:asciiTheme="minorEastAsia" w:hAnsiTheme="minorEastAsia"/>
                <w:kern w:val="0"/>
                <w:szCs w:val="21"/>
                <w:lang w:val="en-US" w:eastAsia="zh-CN"/>
              </w:rPr>
              <w:t>21</w:t>
            </w:r>
          </w:p>
        </w:tc>
        <w:tc>
          <w:tcPr>
            <w:tcW w:w="81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事项办理（行政处罚）</w:t>
            </w:r>
          </w:p>
        </w:tc>
        <w:tc>
          <w:tcPr>
            <w:tcW w:w="1668" w:type="dxa"/>
            <w:vAlign w:val="center"/>
          </w:tcPr>
          <w:p>
            <w:pPr>
              <w:widowControl/>
              <w:spacing w:line="220" w:lineRule="exact"/>
              <w:rPr>
                <w:rFonts w:hint="eastAsia" w:cs="宋体" w:asciiTheme="minorEastAsia" w:hAnsiTheme="minorEastAsia"/>
                <w:kern w:val="0"/>
                <w:sz w:val="18"/>
                <w:szCs w:val="18"/>
              </w:rPr>
            </w:pPr>
            <w:r>
              <w:rPr>
                <w:rFonts w:hint="eastAsia" w:cs="宋体" w:asciiTheme="minorEastAsia" w:hAnsiTheme="minorEastAsia"/>
                <w:kern w:val="0"/>
                <w:sz w:val="18"/>
                <w:szCs w:val="18"/>
              </w:rPr>
              <w:t>（共</w:t>
            </w:r>
            <w:r>
              <w:rPr>
                <w:rFonts w:hint="eastAsia" w:cs="宋体" w:asciiTheme="minorEastAsia" w:hAnsiTheme="minorEastAsia"/>
                <w:kern w:val="0"/>
                <w:sz w:val="18"/>
                <w:szCs w:val="18"/>
                <w:lang w:val="en-US" w:eastAsia="zh-CN"/>
              </w:rPr>
              <w:t>22</w:t>
            </w:r>
            <w:r>
              <w:rPr>
                <w:rFonts w:hint="eastAsia" w:cs="宋体" w:asciiTheme="minorEastAsia" w:hAnsiTheme="minorEastAsia"/>
                <w:kern w:val="0"/>
                <w:sz w:val="18"/>
                <w:szCs w:val="18"/>
              </w:rPr>
              <w:t>项）</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伪造、变造会计凭证、会计账薄，编制虚假财务会计报告的处罚；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未按照国家统一会计制度的要求设置会计账簿、填写会计凭证、保管会计资料的处罚；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隐匿或者故意销毁依法应当保存的会计凭证、会计账薄、财务会计报告的处罚；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授意、指使、强令会计机构、会计人员及其他人员伪造、变造会计凭证、会计帐簿，编制虚假财务会计报告或者隐匿、故意销毁依法应当保存的会计凭证、会计帐簿、财务会计报告的处罚；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随意改变会计要素、财务会计报告，未按规定结账，清偿资产、核实债务，拒绝监督检查或不如实提供情况的处罚；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编制、对外提供虚假的或者隐瞒重要事实的财务会计报告的处罚；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在接受财政部或者省级财政部门检查、整改及整改情况核查期间，办理相关手续，不如实提供中文工作底稿及相关资料，拒绝、延误、阻挠、逃避检查，谎报、隐匿、销毁相关证据材料的处罚；</w:t>
            </w:r>
            <w:r>
              <w:rPr>
                <w:rFonts w:hint="eastAsia" w:cs="宋体" w:asciiTheme="minorEastAsia" w:hAnsiTheme="minorEastAsia"/>
                <w:kern w:val="0"/>
                <w:sz w:val="18"/>
                <w:szCs w:val="18"/>
                <w:lang w:eastAsia="zh-CN"/>
              </w:rPr>
              <w:t>对采取隐瞒有关情况、提供虚假材料等手段拒绝提供申请执业许可情况的真实材料以及采取欺骗、贿赂等不正当手段获得执业许可的处罚；对</w:t>
            </w:r>
          </w:p>
          <w:p>
            <w:pPr>
              <w:widowControl/>
              <w:spacing w:line="220" w:lineRule="exact"/>
              <w:rPr>
                <w:rFonts w:cs="宋体" w:asciiTheme="minorEastAsia" w:hAnsiTheme="minorEastAsia"/>
                <w:kern w:val="0"/>
                <w:sz w:val="18"/>
                <w:szCs w:val="18"/>
              </w:rPr>
            </w:pPr>
            <w:r>
              <w:rPr>
                <w:rFonts w:hint="eastAsia" w:cs="宋体" w:asciiTheme="minorEastAsia" w:hAnsiTheme="minorEastAsia"/>
                <w:kern w:val="0"/>
                <w:sz w:val="18"/>
                <w:szCs w:val="18"/>
              </w:rPr>
              <w:t>未按规定建立健全内部财务管理制度的处罚；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未按规定编制、报送财务会计报告等材料的处罚；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未按规定列支成本费用、公积金，截留、隐瞒、侵占企业收入，分配利润，处理国有资源，清偿职工债务的处罚；</w:t>
            </w:r>
            <w:r>
              <w:rPr>
                <w:rFonts w:hint="eastAsia" w:cs="宋体" w:asciiTheme="minorEastAsia" w:hAnsiTheme="minorEastAsia"/>
                <w:kern w:val="0"/>
                <w:sz w:val="18"/>
                <w:szCs w:val="18"/>
                <w:lang w:eastAsia="zh-CN"/>
              </w:rPr>
              <w:t>对违反</w:t>
            </w:r>
            <w:r>
              <w:rPr>
                <w:rFonts w:hint="eastAsia" w:cs="宋体" w:asciiTheme="minorEastAsia" w:hAnsiTheme="minorEastAsia"/>
                <w:kern w:val="0"/>
                <w:sz w:val="18"/>
                <w:szCs w:val="18"/>
              </w:rPr>
              <w:t>规定编制采购需求，</w:t>
            </w:r>
            <w:r>
              <w:rPr>
                <w:rFonts w:hint="eastAsia" w:cs="宋体" w:asciiTheme="minorEastAsia" w:hAnsiTheme="minorEastAsia"/>
                <w:kern w:val="0"/>
                <w:sz w:val="18"/>
                <w:szCs w:val="18"/>
                <w:lang w:eastAsia="zh-CN"/>
              </w:rPr>
              <w:t>接受</w:t>
            </w:r>
            <w:r>
              <w:rPr>
                <w:rFonts w:hint="eastAsia" w:cs="宋体" w:asciiTheme="minorEastAsia" w:hAnsiTheme="minorEastAsia"/>
                <w:kern w:val="0"/>
                <w:sz w:val="18"/>
                <w:szCs w:val="18"/>
              </w:rPr>
              <w:t>供应商</w:t>
            </w:r>
            <w:r>
              <w:rPr>
                <w:rFonts w:hint="eastAsia" w:cs="宋体" w:asciiTheme="minorEastAsia" w:hAnsiTheme="minorEastAsia"/>
                <w:kern w:val="0"/>
                <w:sz w:val="18"/>
                <w:szCs w:val="18"/>
                <w:lang w:eastAsia="zh-CN"/>
              </w:rPr>
              <w:t>赠品、服务，确定中标人，与中标人签订合同的处罚；对虚假、恶意投诉的处罚；对采购人、采购代理机构及其工作人员政府采购违法行为的处罚；对采购人、采购代理机构与供应商或者采购</w:t>
            </w:r>
            <w:r>
              <w:rPr>
                <w:rFonts w:hint="eastAsia" w:cs="宋体" w:asciiTheme="minorEastAsia" w:hAnsiTheme="minorEastAsia"/>
                <w:kern w:val="0"/>
                <w:sz w:val="18"/>
                <w:szCs w:val="18"/>
              </w:rPr>
              <w:t>代理机构恶意串通，获取不正当利益，提供虚假情况，开标前泄露标底的处罚；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违反政府采购法规定隐匿、销毁应当保存的采购文件或者伪造、变造采购文件的处罚；对谈判小组、询价小组成员收受他人财物、泄露秘密、不依法回避、擅离职守、非正常的倾向性及未按规定进行评审的处罚；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企业和个人不缴或少缴财政收入行为的处罚；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国家机关及其工作人员骗取、滞留、截留、挪用外国政府贷款、国际金融组织贷款的处罚；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违反财务管理规定私存私放财政资金或者其他公款的处罚；对违反彩票销售及资金管理行为的行政处罚；</w:t>
            </w:r>
            <w:r>
              <w:rPr>
                <w:rFonts w:hint="eastAsia" w:cs="宋体" w:asciiTheme="minorEastAsia" w:hAnsiTheme="minorEastAsia"/>
                <w:kern w:val="0"/>
                <w:sz w:val="18"/>
                <w:szCs w:val="18"/>
                <w:lang w:eastAsia="zh-CN"/>
              </w:rPr>
              <w:t>对</w:t>
            </w:r>
            <w:r>
              <w:rPr>
                <w:rFonts w:hint="eastAsia" w:cs="宋体" w:asciiTheme="minorEastAsia" w:hAnsiTheme="minorEastAsia"/>
                <w:kern w:val="0"/>
                <w:sz w:val="18"/>
                <w:szCs w:val="18"/>
              </w:rPr>
              <w:t>违反财政收入票据管理规定的处罚。</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每类事项的基本信息、办理流程、设定依据、办理结果</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《中华人民共和国行政处罚法》《中华人民共和国政府信息公开条例》《河北省行政执法公示办法》等法律法规规章和规范性文件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执法决定信息在7个工作日内公开，其他相关信息形成或变更之日起20个工作日内公开（相关法律法规另有规定的，从其规定）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■政府网站</w:t>
            </w:r>
            <w:r>
              <w:rPr>
                <w:rFonts w:hint="eastAsia" w:cs="宋体" w:asciiTheme="minorEastAsia" w:hAnsiTheme="minorEastAsia"/>
                <w:kern w:val="0"/>
                <w:szCs w:val="21"/>
              </w:rPr>
              <w:br w:type="textWrapping"/>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05" w:hRule="atLeast"/>
          <w:jc w:val="center"/>
        </w:trPr>
        <w:tc>
          <w:tcPr>
            <w:tcW w:w="547" w:type="dxa"/>
            <w:vAlign w:val="center"/>
          </w:tcPr>
          <w:p>
            <w:pPr>
              <w:widowControl/>
              <w:spacing w:line="240" w:lineRule="exact"/>
              <w:jc w:val="center"/>
              <w:rPr>
                <w:rFonts w:hint="default" w:cs="宋体" w:asciiTheme="minorEastAsia" w:hAnsiTheme="minorEastAsia" w:eastAsiaTheme="minorEastAsia"/>
                <w:kern w:val="0"/>
                <w:szCs w:val="21"/>
                <w:lang w:val="en-US" w:eastAsia="zh-CN"/>
              </w:rPr>
            </w:pPr>
            <w:r>
              <w:rPr>
                <w:rFonts w:hint="eastAsia" w:cs="宋体" w:asciiTheme="minorEastAsia" w:hAnsiTheme="minorEastAsia"/>
                <w:kern w:val="0"/>
                <w:szCs w:val="21"/>
                <w:lang w:val="en-US" w:eastAsia="zh-CN"/>
              </w:rPr>
              <w:t>22</w:t>
            </w:r>
          </w:p>
        </w:tc>
        <w:tc>
          <w:tcPr>
            <w:tcW w:w="81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事项办理（行政裁决）</w:t>
            </w:r>
          </w:p>
        </w:tc>
        <w:tc>
          <w:tcPr>
            <w:tcW w:w="1668" w:type="dxa"/>
            <w:vAlign w:val="center"/>
          </w:tcPr>
          <w:p>
            <w:pPr>
              <w:widowControl/>
              <w:spacing w:line="240" w:lineRule="exact"/>
              <w:rPr>
                <w:rFonts w:hint="eastAsia" w:cs="宋体" w:asciiTheme="minorEastAsia" w:hAnsiTheme="minorEastAsia" w:eastAsiaTheme="minorEastAsia"/>
                <w:kern w:val="0"/>
                <w:szCs w:val="21"/>
                <w:lang w:eastAsia="zh-CN"/>
              </w:rPr>
            </w:pPr>
            <w:r>
              <w:rPr>
                <w:rFonts w:hint="eastAsia" w:cs="宋体" w:asciiTheme="minorEastAsia" w:hAnsiTheme="minorEastAsia"/>
                <w:kern w:val="0"/>
                <w:szCs w:val="21"/>
                <w:lang w:eastAsia="zh-CN"/>
              </w:rPr>
              <w:t>对供应商投诉处理裁决</w:t>
            </w:r>
          </w:p>
        </w:tc>
        <w:tc>
          <w:tcPr>
            <w:tcW w:w="1696" w:type="dxa"/>
            <w:vAlign w:val="center"/>
          </w:tcPr>
          <w:p>
            <w:pPr>
              <w:widowControl/>
              <w:spacing w:line="240" w:lineRule="exact"/>
              <w:rPr>
                <w:rFonts w:hint="eastAsia" w:cs="宋体" w:asciiTheme="minorEastAsia" w:hAnsiTheme="minorEastAsia" w:eastAsiaTheme="minorEastAsia"/>
                <w:kern w:val="0"/>
                <w:szCs w:val="21"/>
                <w:lang w:eastAsia="zh-CN"/>
              </w:rPr>
            </w:pPr>
            <w:r>
              <w:rPr>
                <w:rFonts w:hint="eastAsia" w:cs="宋体" w:asciiTheme="minorEastAsia" w:hAnsiTheme="minorEastAsia"/>
                <w:kern w:val="0"/>
                <w:szCs w:val="21"/>
              </w:rPr>
              <w:t>事项的基本信息、受理条件、设定依据、办理流程、</w:t>
            </w:r>
            <w:r>
              <w:rPr>
                <w:rFonts w:hint="eastAsia" w:cs="宋体" w:asciiTheme="minorEastAsia" w:hAnsiTheme="minorEastAsia"/>
                <w:kern w:val="0"/>
                <w:szCs w:val="21"/>
                <w:lang w:eastAsia="zh-CN"/>
              </w:rPr>
              <w:t>常见问题、收费标准、办理材料目录、</w:t>
            </w:r>
            <w:r>
              <w:rPr>
                <w:rFonts w:hint="eastAsia" w:cs="宋体" w:asciiTheme="minorEastAsia" w:hAnsiTheme="minorEastAsia"/>
                <w:kern w:val="0"/>
                <w:szCs w:val="21"/>
              </w:rPr>
              <w:t>办理结果</w:t>
            </w:r>
            <w:r>
              <w:rPr>
                <w:rFonts w:hint="eastAsia" w:cs="宋体" w:asciiTheme="minorEastAsia" w:hAnsiTheme="minorEastAsia"/>
                <w:kern w:val="0"/>
                <w:szCs w:val="21"/>
                <w:lang w:eastAsia="zh-CN"/>
              </w:rPr>
              <w:t>样本、办理结果</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《中华人民共和国政府信息公开条例》《河北省实施&lt;中华人民共和国政府信息公开条例&gt;办法》《河北省行政执法公示办法》等法律法规规章和规范性文件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信息产生或变更之日起20个工作日内公开，保持长期公开（相关法律法规另有规定的，从其规定）</w:t>
            </w:r>
          </w:p>
        </w:tc>
        <w:tc>
          <w:tcPr>
            <w:tcW w:w="1417" w:type="dxa"/>
            <w:vAlign w:val="center"/>
          </w:tcPr>
          <w:p>
            <w:pPr>
              <w:widowControl/>
              <w:spacing w:line="240" w:lineRule="exact"/>
              <w:rPr>
                <w:rFonts w:hint="eastAsia" w:cs="宋体" w:asciiTheme="minorEastAsia" w:hAnsiTheme="minorEastAsia"/>
                <w:kern w:val="0"/>
                <w:szCs w:val="21"/>
              </w:rPr>
            </w:pPr>
          </w:p>
          <w:p>
            <w:pPr>
              <w:widowControl/>
              <w:spacing w:line="240" w:lineRule="exact"/>
              <w:rPr>
                <w:rFonts w:hint="eastAsia" w:cs="宋体" w:asciiTheme="minorEastAsia" w:hAnsiTheme="minorEastAsia" w:eastAsiaTheme="minorEastAsia"/>
                <w:kern w:val="0"/>
                <w:szCs w:val="21"/>
                <w:lang w:eastAsia="zh-CN"/>
              </w:rPr>
            </w:pPr>
            <w:r>
              <w:rPr>
                <w:rFonts w:hint="eastAsia" w:cs="宋体" w:asciiTheme="minorEastAsia" w:hAnsiTheme="minorEastAsia"/>
                <w:kern w:val="0"/>
                <w:szCs w:val="21"/>
              </w:rPr>
              <w:t>■</w:t>
            </w:r>
            <w:r>
              <w:rPr>
                <w:rFonts w:hint="eastAsia" w:cs="宋体" w:asciiTheme="minorEastAsia" w:hAnsiTheme="minorEastAsia"/>
                <w:kern w:val="0"/>
                <w:szCs w:val="21"/>
                <w:lang w:eastAsia="zh-CN"/>
              </w:rPr>
              <w:t>河北省政府采购网</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672" w:hRule="atLeast"/>
          <w:jc w:val="center"/>
        </w:trPr>
        <w:tc>
          <w:tcPr>
            <w:tcW w:w="547" w:type="dxa"/>
            <w:vAlign w:val="center"/>
          </w:tcPr>
          <w:p>
            <w:pPr>
              <w:widowControl/>
              <w:spacing w:line="240" w:lineRule="exact"/>
              <w:jc w:val="center"/>
              <w:rPr>
                <w:rFonts w:hint="default" w:cs="宋体" w:asciiTheme="minorEastAsia" w:hAnsiTheme="minorEastAsia" w:eastAsiaTheme="minorEastAsia"/>
                <w:kern w:val="0"/>
                <w:szCs w:val="21"/>
                <w:lang w:val="en-US" w:eastAsia="zh-CN"/>
              </w:rPr>
            </w:pPr>
            <w:r>
              <w:rPr>
                <w:rFonts w:hint="eastAsia" w:cs="宋体" w:asciiTheme="minorEastAsia" w:hAnsiTheme="minorEastAsia"/>
                <w:kern w:val="0"/>
                <w:szCs w:val="21"/>
                <w:lang w:val="en-US" w:eastAsia="zh-CN"/>
              </w:rPr>
              <w:t>23</w:t>
            </w:r>
          </w:p>
        </w:tc>
        <w:tc>
          <w:tcPr>
            <w:tcW w:w="81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事项办理（行政监督）</w:t>
            </w:r>
          </w:p>
        </w:tc>
        <w:tc>
          <w:tcPr>
            <w:tcW w:w="1668" w:type="dxa"/>
            <w:vAlign w:val="center"/>
          </w:tcPr>
          <w:p>
            <w:pPr>
              <w:widowControl/>
              <w:spacing w:line="240" w:lineRule="exact"/>
              <w:rPr>
                <w:rFonts w:hint="eastAsia" w:cs="宋体" w:asciiTheme="minorEastAsia" w:hAnsiTheme="minorEastAsia" w:eastAsiaTheme="minorEastAsia"/>
                <w:kern w:val="0"/>
                <w:szCs w:val="21"/>
                <w:lang w:eastAsia="zh-CN"/>
              </w:rPr>
            </w:pPr>
            <w:r>
              <w:rPr>
                <w:rFonts w:hint="eastAsia" w:cs="宋体" w:asciiTheme="minorEastAsia" w:hAnsiTheme="minorEastAsia"/>
                <w:kern w:val="0"/>
                <w:szCs w:val="21"/>
                <w:lang w:eastAsia="zh-CN"/>
              </w:rPr>
              <w:t>按照上级统一安排部署，对政府采购代理机构的监督检查；对会计信息质量的监督检查；</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每类事项的基本信息、办理流程、设定依据、办理结果</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《中华人民共和国政府信息公开条例》《河北省实施&lt;中华人民共和国政府信息公开条例&gt;办法》《河北省行政执法公示办法》等法律法规规章和规范性文件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信息产生或变更之日起2</w:t>
            </w:r>
            <w:r>
              <w:rPr>
                <w:rFonts w:cs="宋体" w:asciiTheme="minorEastAsia" w:hAnsiTheme="minorEastAsia"/>
                <w:kern w:val="0"/>
                <w:szCs w:val="21"/>
              </w:rPr>
              <w:t>0个工作日内公开，保持长期公开（相关法律法规另有规定的，从其规定）</w:t>
            </w:r>
          </w:p>
        </w:tc>
        <w:tc>
          <w:tcPr>
            <w:tcW w:w="1417"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■政府网站</w:t>
            </w:r>
            <w:r>
              <w:rPr>
                <w:rFonts w:hint="eastAsia" w:cs="宋体" w:asciiTheme="minorEastAsia" w:hAnsiTheme="minorEastAsia"/>
                <w:kern w:val="0"/>
                <w:szCs w:val="21"/>
              </w:rPr>
              <w:br w:type="textWrapping"/>
            </w:r>
            <w:r>
              <w:rPr>
                <w:rFonts w:hint="eastAsia" w:cs="宋体" w:asciiTheme="minorEastAsia" w:hAnsiTheme="minorEastAsia"/>
                <w:kern w:val="0"/>
                <w:szCs w:val="21"/>
              </w:rPr>
              <w:t>■</w:t>
            </w:r>
            <w:r>
              <w:rPr>
                <w:rFonts w:hint="eastAsia" w:cs="宋体" w:asciiTheme="minorEastAsia" w:hAnsiTheme="minorEastAsia"/>
                <w:kern w:val="0"/>
                <w:szCs w:val="21"/>
                <w:lang w:eastAsia="zh-CN"/>
              </w:rPr>
              <w:t>河北省政府采购网</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13" w:type="dxa"/>
            <w:left w:w="108" w:type="dxa"/>
            <w:bottom w:w="113" w:type="dxa"/>
            <w:right w:w="108" w:type="dxa"/>
          </w:tblCellMar>
        </w:tblPrEx>
        <w:trPr>
          <w:trHeight w:val="1239" w:hRule="atLeast"/>
          <w:jc w:val="center"/>
        </w:trPr>
        <w:tc>
          <w:tcPr>
            <w:tcW w:w="547" w:type="dxa"/>
            <w:vAlign w:val="center"/>
          </w:tcPr>
          <w:p>
            <w:pPr>
              <w:widowControl/>
              <w:spacing w:line="240" w:lineRule="exact"/>
              <w:jc w:val="center"/>
              <w:rPr>
                <w:rFonts w:hint="default" w:cs="宋体" w:asciiTheme="minorEastAsia" w:hAnsiTheme="minorEastAsia" w:eastAsiaTheme="minorEastAsia"/>
                <w:kern w:val="0"/>
                <w:szCs w:val="21"/>
                <w:lang w:val="en-US" w:eastAsia="zh-CN"/>
              </w:rPr>
            </w:pPr>
            <w:r>
              <w:rPr>
                <w:rFonts w:hint="eastAsia" w:cs="宋体" w:asciiTheme="minorEastAsia" w:hAnsiTheme="minorEastAsia"/>
                <w:kern w:val="0"/>
                <w:szCs w:val="21"/>
                <w:lang w:val="en-US" w:eastAsia="zh-CN"/>
              </w:rPr>
              <w:t>24</w:t>
            </w:r>
          </w:p>
        </w:tc>
        <w:tc>
          <w:tcPr>
            <w:tcW w:w="81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 xml:space="preserve">事项办理（公共服务事项） </w:t>
            </w:r>
          </w:p>
          <w:p>
            <w:pPr>
              <w:spacing w:line="240" w:lineRule="exact"/>
              <w:rPr>
                <w:rFonts w:cs="宋体" w:asciiTheme="minorEastAsia" w:hAnsiTheme="minorEastAsia"/>
                <w:kern w:val="0"/>
                <w:szCs w:val="21"/>
              </w:rPr>
            </w:pPr>
          </w:p>
        </w:tc>
        <w:tc>
          <w:tcPr>
            <w:tcW w:w="1668"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（共</w:t>
            </w:r>
            <w:r>
              <w:rPr>
                <w:rFonts w:hint="eastAsia" w:cs="宋体" w:asciiTheme="minorEastAsia" w:hAnsiTheme="minorEastAsia"/>
                <w:kern w:val="0"/>
                <w:szCs w:val="21"/>
                <w:lang w:val="en-US" w:eastAsia="zh-CN"/>
              </w:rPr>
              <w:t>6</w:t>
            </w:r>
            <w:r>
              <w:rPr>
                <w:rFonts w:hint="eastAsia" w:cs="宋体" w:asciiTheme="minorEastAsia" w:hAnsiTheme="minorEastAsia"/>
                <w:kern w:val="0"/>
                <w:szCs w:val="21"/>
              </w:rPr>
              <w:t>项）政府采购中标结果查询</w:t>
            </w:r>
            <w:r>
              <w:rPr>
                <w:rFonts w:hint="eastAsia" w:cs="宋体" w:asciiTheme="minorEastAsia" w:hAnsiTheme="minorEastAsia"/>
                <w:kern w:val="0"/>
                <w:szCs w:val="21"/>
                <w:lang w:eastAsia="zh-CN"/>
              </w:rPr>
              <w:t>；高端会计人才选拔培养；会计人员网络继续教育；会计专业技术人员资格考试；河北会计资格考试成绩查询（初级）；河北会计资格考试成绩查询（中级）</w:t>
            </w:r>
            <w:r>
              <w:rPr>
                <w:rFonts w:hint="eastAsia" w:cs="宋体" w:asciiTheme="minorEastAsia" w:hAnsiTheme="minorEastAsia"/>
                <w:kern w:val="0"/>
                <w:szCs w:val="21"/>
              </w:rPr>
              <w:t>；</w:t>
            </w:r>
          </w:p>
        </w:tc>
        <w:tc>
          <w:tcPr>
            <w:tcW w:w="1696"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每类事项的基本信息、受理条件、设定依据、办理流程、常见问题、收费标准、办理材料目录、办理结果</w:t>
            </w:r>
            <w:r>
              <w:rPr>
                <w:rFonts w:hint="eastAsia" w:cs="宋体" w:asciiTheme="minorEastAsia" w:hAnsiTheme="minorEastAsia"/>
                <w:kern w:val="0"/>
                <w:szCs w:val="21"/>
                <w:lang w:eastAsia="zh-CN"/>
              </w:rPr>
              <w:t>样本、法律援助、办理结果、评价信息</w:t>
            </w:r>
          </w:p>
        </w:tc>
        <w:tc>
          <w:tcPr>
            <w:tcW w:w="3174"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《中华人民共和国政府信息公开条例》《河北省实施&lt;中华人民共和国政府信息公开条例&gt;办法》等法律法规规章和规范性文件</w:t>
            </w:r>
          </w:p>
        </w:tc>
        <w:tc>
          <w:tcPr>
            <w:tcW w:w="2693" w:type="dxa"/>
            <w:vAlign w:val="center"/>
          </w:tcPr>
          <w:p>
            <w:pPr>
              <w:widowControl/>
              <w:spacing w:line="240" w:lineRule="exact"/>
              <w:rPr>
                <w:rFonts w:cs="宋体" w:asciiTheme="minorEastAsia" w:hAnsiTheme="minorEastAsia"/>
                <w:kern w:val="0"/>
                <w:szCs w:val="21"/>
              </w:rPr>
            </w:pPr>
            <w:r>
              <w:rPr>
                <w:rFonts w:hint="eastAsia" w:cs="宋体" w:asciiTheme="minorEastAsia" w:hAnsiTheme="minorEastAsia"/>
                <w:kern w:val="0"/>
                <w:szCs w:val="21"/>
              </w:rPr>
              <w:t>政府采购投诉处理据顶完成后的5个工作日内公告；政府采购中标结果查询自中标、成交供应商确定之日起2个工作日内公告；其他事项信息产生或变更之日起20个工作日内公开，保持长期公开（相关法律法规另有规定的，从其规定）</w:t>
            </w:r>
          </w:p>
        </w:tc>
        <w:tc>
          <w:tcPr>
            <w:tcW w:w="1417" w:type="dxa"/>
            <w:vAlign w:val="center"/>
          </w:tcPr>
          <w:p>
            <w:pPr>
              <w:widowControl/>
              <w:spacing w:line="240" w:lineRule="exact"/>
              <w:rPr>
                <w:rFonts w:hint="eastAsia" w:cs="宋体" w:asciiTheme="minorEastAsia" w:hAnsiTheme="minorEastAsia" w:eastAsiaTheme="minorEastAsia"/>
                <w:kern w:val="0"/>
                <w:szCs w:val="21"/>
                <w:lang w:eastAsia="zh-CN"/>
              </w:rPr>
            </w:pPr>
            <w:r>
              <w:rPr>
                <w:rFonts w:hint="eastAsia" w:cs="宋体" w:asciiTheme="minorEastAsia" w:hAnsiTheme="minorEastAsia"/>
                <w:kern w:val="0"/>
                <w:szCs w:val="21"/>
              </w:rPr>
              <w:t>■政府网站</w:t>
            </w:r>
            <w:r>
              <w:rPr>
                <w:rFonts w:hint="eastAsia" w:cs="宋体" w:asciiTheme="minorEastAsia" w:hAnsiTheme="minorEastAsia"/>
                <w:kern w:val="0"/>
                <w:szCs w:val="21"/>
              </w:rPr>
              <w:br w:type="textWrapping"/>
            </w:r>
            <w:r>
              <w:rPr>
                <w:rFonts w:hint="eastAsia" w:cs="宋体" w:asciiTheme="minorEastAsia" w:hAnsiTheme="minorEastAsia"/>
                <w:kern w:val="0"/>
                <w:szCs w:val="21"/>
              </w:rPr>
              <w:t>■河北省政府采购网</w:t>
            </w:r>
            <w:r>
              <w:rPr>
                <w:rFonts w:hint="eastAsia" w:cs="宋体" w:asciiTheme="minorEastAsia" w:hAnsiTheme="minorEastAsia"/>
                <w:kern w:val="0"/>
                <w:szCs w:val="21"/>
                <w:lang w:eastAsia="zh-CN"/>
              </w:rPr>
              <w:t>或中国政府采购网</w:t>
            </w:r>
          </w:p>
        </w:tc>
        <w:tc>
          <w:tcPr>
            <w:tcW w:w="800"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811" w:type="dxa"/>
            <w:vAlign w:val="center"/>
          </w:tcPr>
          <w:p>
            <w:pPr>
              <w:widowControl/>
              <w:spacing w:line="240" w:lineRule="exact"/>
              <w:jc w:val="center"/>
              <w:rPr>
                <w:rFonts w:cs="宋体" w:asciiTheme="minorEastAsia" w:hAnsiTheme="minorEastAsia"/>
                <w:kern w:val="0"/>
                <w:szCs w:val="21"/>
              </w:rPr>
            </w:pPr>
          </w:p>
        </w:tc>
        <w:tc>
          <w:tcPr>
            <w:tcW w:w="807" w:type="dxa"/>
            <w:vAlign w:val="center"/>
          </w:tcPr>
          <w:p>
            <w:pPr>
              <w:widowControl/>
              <w:spacing w:line="240" w:lineRule="exact"/>
              <w:jc w:val="center"/>
              <w:rPr>
                <w:rFonts w:cs="宋体" w:asciiTheme="minorEastAsia" w:hAnsiTheme="minorEastAsia"/>
                <w:kern w:val="0"/>
                <w:szCs w:val="21"/>
              </w:rPr>
            </w:pPr>
            <w:r>
              <w:rPr>
                <w:rFonts w:hint="eastAsia" w:cs="宋体" w:asciiTheme="minorEastAsia" w:hAnsiTheme="minorEastAsia"/>
                <w:kern w:val="0"/>
                <w:szCs w:val="21"/>
              </w:rPr>
              <w:t>√</w:t>
            </w:r>
          </w:p>
        </w:tc>
        <w:tc>
          <w:tcPr>
            <w:tcW w:w="797" w:type="dxa"/>
            <w:vAlign w:val="center"/>
          </w:tcPr>
          <w:p>
            <w:pPr>
              <w:widowControl/>
              <w:spacing w:line="240" w:lineRule="exact"/>
              <w:jc w:val="center"/>
              <w:rPr>
                <w:rFonts w:cs="宋体" w:asciiTheme="minorEastAsia" w:hAnsiTheme="minorEastAsia"/>
                <w:kern w:val="0"/>
                <w:szCs w:val="21"/>
              </w:rPr>
            </w:pPr>
          </w:p>
        </w:tc>
      </w:tr>
    </w:tbl>
    <w:p>
      <w:pPr>
        <w:widowControl/>
        <w:spacing w:before="62" w:beforeLines="20"/>
        <w:jc w:val="left"/>
        <w:rPr>
          <w:rFonts w:cs="宋体" w:asciiTheme="minorEastAsia" w:hAnsiTheme="minorEastAsia"/>
          <w:kern w:val="0"/>
          <w:sz w:val="22"/>
        </w:rPr>
      </w:pPr>
      <w:r>
        <w:rPr>
          <w:rFonts w:cs="宋体" w:asciiTheme="minorEastAsia" w:hAnsiTheme="minorEastAsia"/>
          <w:kern w:val="0"/>
          <w:sz w:val="22"/>
        </w:rPr>
        <w:t>注：法律、法规、规章和国家有关规定规定应当主动公开的其他政府信息应及时列入政务公开事项清单。</w:t>
      </w:r>
    </w:p>
    <w:p>
      <w:pPr>
        <w:widowControl/>
        <w:jc w:val="left"/>
        <w:rPr>
          <w:rFonts w:asciiTheme="minorEastAsia" w:hAnsiTheme="minorEastAsia"/>
          <w:sz w:val="22"/>
        </w:rPr>
      </w:pPr>
    </w:p>
    <w:p>
      <w:pPr>
        <w:widowControl/>
        <w:jc w:val="center"/>
        <w:rPr>
          <w:rFonts w:ascii="方正小标宋简体" w:eastAsia="方正小标宋简体" w:hAnsiTheme="minorEastAsia"/>
          <w:sz w:val="44"/>
          <w:szCs w:val="44"/>
        </w:rPr>
      </w:pPr>
    </w:p>
    <w:p>
      <w:pPr>
        <w:widowControl/>
        <w:jc w:val="center"/>
        <w:rPr>
          <w:rFonts w:ascii="方正小标宋简体" w:eastAsia="方正小标宋简体" w:hAnsiTheme="minorEastAsia"/>
          <w:sz w:val="44"/>
          <w:szCs w:val="44"/>
        </w:rPr>
      </w:pPr>
    </w:p>
    <w:p>
      <w:pPr>
        <w:widowControl/>
        <w:jc w:val="center"/>
        <w:rPr>
          <w:rFonts w:ascii="方正小标宋简体" w:eastAsia="方正小标宋简体" w:hAnsiTheme="minorEastAsia"/>
          <w:sz w:val="44"/>
          <w:szCs w:val="44"/>
        </w:rPr>
      </w:pPr>
    </w:p>
    <w:p>
      <w:pPr>
        <w:widowControl/>
        <w:jc w:val="left"/>
        <w:rPr>
          <w:rFonts w:asciiTheme="minorEastAsia" w:hAnsiTheme="minorEastAsia"/>
          <w:sz w:val="22"/>
        </w:rPr>
      </w:pPr>
    </w:p>
    <w:sectPr>
      <w:footerReference r:id="rId3" w:type="default"/>
      <w:pgSz w:w="16840" w:h="11907" w:orient="landscape"/>
      <w:pgMar w:top="1134" w:right="1701" w:bottom="1134" w:left="1701" w:header="851" w:footer="964"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12057108"/>
    </w:sdtPr>
    <w:sdtEndPr>
      <w:rPr>
        <w:sz w:val="28"/>
        <w:szCs w:val="28"/>
      </w:rPr>
    </w:sdtEndPr>
    <w:sdtContent>
      <w:p>
        <w:pPr>
          <w:pStyle w:val="3"/>
          <w:jc w:val="center"/>
          <w:rPr>
            <w:sz w:val="28"/>
            <w:szCs w:val="28"/>
          </w:rPr>
        </w:pP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w:t>
        </w:r>
        <w:r>
          <w:rPr>
            <w:sz w:val="28"/>
            <w:szCs w:val="28"/>
          </w:rPr>
          <w:t xml:space="preserve"> 11 -</w:t>
        </w:r>
        <w:r>
          <w:rPr>
            <w:sz w:val="28"/>
            <w:szCs w:val="28"/>
          </w:rPr>
          <w:fldChar w:fldCharType="end"/>
        </w:r>
      </w:p>
    </w:sdtContent>
  </w:sdt>
  <w:p>
    <w:pPr>
      <w:pStyle w:val="3"/>
      <w:jc w:val="center"/>
      <w:rPr>
        <w:rFonts w:asciiTheme="minorEastAsia" w:hAnsiTheme="minorEastAsia"/>
        <w:sz w:val="28"/>
        <w:szCs w:val="28"/>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hideSpellingError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0932"/>
    <w:rsid w:val="000033F0"/>
    <w:rsid w:val="00012161"/>
    <w:rsid w:val="00033989"/>
    <w:rsid w:val="00034B97"/>
    <w:rsid w:val="0004658E"/>
    <w:rsid w:val="00067C5C"/>
    <w:rsid w:val="00075F60"/>
    <w:rsid w:val="00085664"/>
    <w:rsid w:val="00086C4D"/>
    <w:rsid w:val="000D37B8"/>
    <w:rsid w:val="000E4D87"/>
    <w:rsid w:val="000E66D4"/>
    <w:rsid w:val="00130CCF"/>
    <w:rsid w:val="00177CDD"/>
    <w:rsid w:val="00187F84"/>
    <w:rsid w:val="0019368D"/>
    <w:rsid w:val="001D1C7C"/>
    <w:rsid w:val="00210C59"/>
    <w:rsid w:val="00217FEB"/>
    <w:rsid w:val="002966BF"/>
    <w:rsid w:val="002C5802"/>
    <w:rsid w:val="002D62DB"/>
    <w:rsid w:val="002E0BB8"/>
    <w:rsid w:val="002F5FBE"/>
    <w:rsid w:val="003043D9"/>
    <w:rsid w:val="00315701"/>
    <w:rsid w:val="003309BE"/>
    <w:rsid w:val="0033191B"/>
    <w:rsid w:val="00342992"/>
    <w:rsid w:val="003910B4"/>
    <w:rsid w:val="003A007D"/>
    <w:rsid w:val="003B3F97"/>
    <w:rsid w:val="003E6643"/>
    <w:rsid w:val="00400932"/>
    <w:rsid w:val="00405CF0"/>
    <w:rsid w:val="00420BE6"/>
    <w:rsid w:val="00423BCD"/>
    <w:rsid w:val="00455F8B"/>
    <w:rsid w:val="00475592"/>
    <w:rsid w:val="004C2494"/>
    <w:rsid w:val="005204F3"/>
    <w:rsid w:val="005248BA"/>
    <w:rsid w:val="00551E69"/>
    <w:rsid w:val="00596087"/>
    <w:rsid w:val="005A2CFE"/>
    <w:rsid w:val="005C0005"/>
    <w:rsid w:val="005C5613"/>
    <w:rsid w:val="005E5E00"/>
    <w:rsid w:val="00634608"/>
    <w:rsid w:val="0065237D"/>
    <w:rsid w:val="00691614"/>
    <w:rsid w:val="006916C4"/>
    <w:rsid w:val="006D68A9"/>
    <w:rsid w:val="00700115"/>
    <w:rsid w:val="00700E67"/>
    <w:rsid w:val="007054F0"/>
    <w:rsid w:val="00766106"/>
    <w:rsid w:val="00772EC8"/>
    <w:rsid w:val="007D7608"/>
    <w:rsid w:val="008167F3"/>
    <w:rsid w:val="008B283F"/>
    <w:rsid w:val="008B4A0F"/>
    <w:rsid w:val="008E6377"/>
    <w:rsid w:val="00910F97"/>
    <w:rsid w:val="00933991"/>
    <w:rsid w:val="009479F5"/>
    <w:rsid w:val="00971423"/>
    <w:rsid w:val="009A4465"/>
    <w:rsid w:val="009C1D37"/>
    <w:rsid w:val="009E2591"/>
    <w:rsid w:val="009F2348"/>
    <w:rsid w:val="00A24837"/>
    <w:rsid w:val="00A35644"/>
    <w:rsid w:val="00A37CF5"/>
    <w:rsid w:val="00A37F5C"/>
    <w:rsid w:val="00A43C5C"/>
    <w:rsid w:val="00A44E0C"/>
    <w:rsid w:val="00A47B14"/>
    <w:rsid w:val="00A61ACC"/>
    <w:rsid w:val="00AB3AC7"/>
    <w:rsid w:val="00AC5068"/>
    <w:rsid w:val="00AD07D1"/>
    <w:rsid w:val="00AE5DEC"/>
    <w:rsid w:val="00AE6216"/>
    <w:rsid w:val="00B20A64"/>
    <w:rsid w:val="00B56C97"/>
    <w:rsid w:val="00BB0E58"/>
    <w:rsid w:val="00BE3917"/>
    <w:rsid w:val="00C10F9F"/>
    <w:rsid w:val="00C430BD"/>
    <w:rsid w:val="00C45384"/>
    <w:rsid w:val="00C65D6D"/>
    <w:rsid w:val="00C809E7"/>
    <w:rsid w:val="00C85880"/>
    <w:rsid w:val="00C87564"/>
    <w:rsid w:val="00C921F2"/>
    <w:rsid w:val="00CA1B68"/>
    <w:rsid w:val="00D02987"/>
    <w:rsid w:val="00D06B08"/>
    <w:rsid w:val="00D204E9"/>
    <w:rsid w:val="00D47C7F"/>
    <w:rsid w:val="00D54B00"/>
    <w:rsid w:val="00D57114"/>
    <w:rsid w:val="00DA3F4C"/>
    <w:rsid w:val="00DC3633"/>
    <w:rsid w:val="00DC459B"/>
    <w:rsid w:val="00DC63C5"/>
    <w:rsid w:val="00DD7110"/>
    <w:rsid w:val="00DF676B"/>
    <w:rsid w:val="00DF7F39"/>
    <w:rsid w:val="00E23261"/>
    <w:rsid w:val="00E25704"/>
    <w:rsid w:val="00E330FA"/>
    <w:rsid w:val="00E4748C"/>
    <w:rsid w:val="00E47F95"/>
    <w:rsid w:val="00E552E2"/>
    <w:rsid w:val="00E86A84"/>
    <w:rsid w:val="00EC5BAC"/>
    <w:rsid w:val="00ED08BD"/>
    <w:rsid w:val="00F03264"/>
    <w:rsid w:val="00F85DE8"/>
    <w:rsid w:val="00FA5478"/>
    <w:rsid w:val="00FA7D82"/>
    <w:rsid w:val="00FE72BF"/>
    <w:rsid w:val="08E35CBC"/>
    <w:rsid w:val="0C246C64"/>
    <w:rsid w:val="229A4A60"/>
    <w:rsid w:val="31546DAE"/>
    <w:rsid w:val="338634B8"/>
    <w:rsid w:val="366B1C3B"/>
    <w:rsid w:val="3B5432C2"/>
    <w:rsid w:val="3B5E5338"/>
    <w:rsid w:val="3BAE23C0"/>
    <w:rsid w:val="469E53A7"/>
    <w:rsid w:val="51A54D02"/>
    <w:rsid w:val="54963916"/>
    <w:rsid w:val="5B713B2C"/>
    <w:rsid w:val="5BA91EC0"/>
    <w:rsid w:val="5C4D5B4E"/>
    <w:rsid w:val="5C900E42"/>
    <w:rsid w:val="64F740F1"/>
    <w:rsid w:val="65124D7E"/>
    <w:rsid w:val="6B8A0DD6"/>
    <w:rsid w:val="71970DB9"/>
    <w:rsid w:val="75007D15"/>
    <w:rsid w:val="791B75BE"/>
    <w:rsid w:val="7DF441DD"/>
    <w:rsid w:val="7ED15F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54"/>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qFormat/>
    <w:uiPriority w:val="99"/>
    <w:rPr>
      <w:sz w:val="18"/>
      <w:szCs w:val="18"/>
    </w:rPr>
  </w:style>
  <w:style w:type="character" w:customStyle="1" w:styleId="8">
    <w:name w:val="页脚 Char"/>
    <w:basedOn w:val="5"/>
    <w:link w:val="3"/>
    <w:qFormat/>
    <w:uiPriority w:val="99"/>
    <w:rPr>
      <w:sz w:val="18"/>
      <w:szCs w:val="18"/>
    </w:rPr>
  </w:style>
  <w:style w:type="paragraph" w:customStyle="1" w:styleId="9">
    <w:name w:val="font4"/>
    <w:basedOn w:val="1"/>
    <w:qFormat/>
    <w:uiPriority w:val="0"/>
    <w:pPr>
      <w:widowControl/>
      <w:spacing w:before="100" w:beforeAutospacing="1" w:after="100" w:afterAutospacing="1"/>
      <w:jc w:val="left"/>
    </w:pPr>
    <w:rPr>
      <w:rFonts w:ascii="Wingdings" w:hAnsi="Wingdings" w:eastAsia="宋体" w:cs="宋体"/>
      <w:color w:val="000000"/>
      <w:kern w:val="0"/>
      <w:sz w:val="22"/>
    </w:rPr>
  </w:style>
  <w:style w:type="paragraph" w:customStyle="1" w:styleId="10">
    <w:name w:val="font5"/>
    <w:basedOn w:val="1"/>
    <w:qFormat/>
    <w:uiPriority w:val="0"/>
    <w:pPr>
      <w:widowControl/>
      <w:spacing w:before="100" w:beforeAutospacing="1" w:after="100" w:afterAutospacing="1"/>
      <w:jc w:val="left"/>
    </w:pPr>
    <w:rPr>
      <w:rFonts w:ascii="宋体" w:hAnsi="宋体" w:eastAsia="宋体" w:cs="宋体"/>
      <w:color w:val="000000"/>
      <w:kern w:val="0"/>
      <w:sz w:val="22"/>
    </w:rPr>
  </w:style>
  <w:style w:type="paragraph" w:customStyle="1" w:styleId="11">
    <w:name w:val="et8"/>
    <w:basedOn w:val="1"/>
    <w:qFormat/>
    <w:uiPriority w:val="0"/>
    <w:pPr>
      <w:widowControl/>
      <w:spacing w:before="100" w:beforeAutospacing="1" w:after="100" w:afterAutospacing="1"/>
      <w:jc w:val="left"/>
      <w:textAlignment w:val="center"/>
    </w:pPr>
    <w:rPr>
      <w:rFonts w:ascii="方正小标宋简体" w:hAnsi="宋体" w:eastAsia="方正小标宋简体" w:cs="宋体"/>
      <w:color w:val="000000"/>
      <w:kern w:val="0"/>
      <w:sz w:val="22"/>
    </w:rPr>
  </w:style>
  <w:style w:type="paragraph" w:customStyle="1" w:styleId="12">
    <w:name w:val="et9"/>
    <w:basedOn w:val="1"/>
    <w:qFormat/>
    <w:uiPriority w:val="0"/>
    <w:pPr>
      <w:widowControl/>
      <w:spacing w:before="100" w:beforeAutospacing="1" w:after="100" w:afterAutospacing="1"/>
      <w:jc w:val="left"/>
      <w:textAlignment w:val="center"/>
    </w:pPr>
    <w:rPr>
      <w:rFonts w:ascii="方正小标宋简体" w:hAnsi="宋体" w:eastAsia="方正小标宋简体" w:cs="宋体"/>
      <w:color w:val="000000"/>
      <w:kern w:val="0"/>
      <w:sz w:val="22"/>
    </w:rPr>
  </w:style>
  <w:style w:type="paragraph" w:customStyle="1" w:styleId="13">
    <w:name w:val="et10"/>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14">
    <w:name w:val="et11"/>
    <w:basedOn w:val="1"/>
    <w:qFormat/>
    <w:uiPriority w:val="0"/>
    <w:pPr>
      <w:widowControl/>
      <w:spacing w:before="100" w:beforeAutospacing="1" w:after="100" w:afterAutospacing="1"/>
      <w:jc w:val="left"/>
      <w:textAlignment w:val="center"/>
    </w:pPr>
    <w:rPr>
      <w:rFonts w:ascii="楷体_GB2312" w:hAnsi="宋体" w:eastAsia="楷体_GB2312" w:cs="宋体"/>
      <w:color w:val="000000"/>
      <w:kern w:val="0"/>
      <w:sz w:val="22"/>
    </w:rPr>
  </w:style>
  <w:style w:type="paragraph" w:customStyle="1" w:styleId="15">
    <w:name w:val="et12"/>
    <w:basedOn w:val="1"/>
    <w:qFormat/>
    <w:uiPriority w:val="0"/>
    <w:pPr>
      <w:widowControl/>
      <w:spacing w:before="100" w:beforeAutospacing="1" w:after="100" w:afterAutospacing="1"/>
      <w:jc w:val="left"/>
      <w:textAlignment w:val="center"/>
    </w:pPr>
    <w:rPr>
      <w:rFonts w:ascii="方正小标宋简体" w:hAnsi="宋体" w:eastAsia="方正小标宋简体" w:cs="宋体"/>
      <w:color w:val="000000"/>
      <w:kern w:val="0"/>
      <w:sz w:val="22"/>
    </w:rPr>
  </w:style>
  <w:style w:type="paragraph" w:customStyle="1" w:styleId="16">
    <w:name w:val="et13"/>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17">
    <w:name w:val="et14"/>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18">
    <w:name w:val="et15"/>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19">
    <w:name w:val="et16"/>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20">
    <w:name w:val="et17"/>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21">
    <w:name w:val="et18"/>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22">
    <w:name w:val="et19"/>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23">
    <w:name w:val="et21"/>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24">
    <w:name w:val="et22"/>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25">
    <w:name w:val="et24"/>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26">
    <w:name w:val="et25"/>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27">
    <w:name w:val="et27"/>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28">
    <w:name w:val="et28"/>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29">
    <w:name w:val="et29"/>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30">
    <w:name w:val="et30"/>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31">
    <w:name w:val="et31"/>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32">
    <w:name w:val="et32"/>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33">
    <w:name w:val="et33"/>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34">
    <w:name w:val="et34"/>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35">
    <w:name w:val="et35"/>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36">
    <w:name w:val="et36"/>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37">
    <w:name w:val="et38"/>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38">
    <w:name w:val="et40"/>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39">
    <w:name w:val="et41"/>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40">
    <w:name w:val="et42"/>
    <w:basedOn w:val="1"/>
    <w:qFormat/>
    <w:uiPriority w:val="0"/>
    <w:pPr>
      <w:widowControl/>
      <w:spacing w:before="100" w:beforeAutospacing="1" w:after="100" w:afterAutospacing="1"/>
      <w:jc w:val="left"/>
      <w:textAlignment w:val="center"/>
    </w:pPr>
    <w:rPr>
      <w:rFonts w:ascii="Arial" w:hAnsi="Arial" w:eastAsia="宋体" w:cs="Arial"/>
      <w:color w:val="000000"/>
      <w:kern w:val="0"/>
      <w:sz w:val="22"/>
    </w:rPr>
  </w:style>
  <w:style w:type="paragraph" w:customStyle="1" w:styleId="41">
    <w:name w:val="et43"/>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42">
    <w:name w:val="et44"/>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43">
    <w:name w:val="et45"/>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44">
    <w:name w:val="et46"/>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character" w:customStyle="1" w:styleId="45">
    <w:name w:val="font41"/>
    <w:basedOn w:val="5"/>
    <w:qFormat/>
    <w:uiPriority w:val="0"/>
    <w:rPr>
      <w:rFonts w:hint="default" w:ascii="Wingdings" w:hAnsi="Wingdings"/>
      <w:color w:val="000000"/>
      <w:sz w:val="22"/>
      <w:szCs w:val="22"/>
      <w:u w:val="none"/>
    </w:rPr>
  </w:style>
  <w:style w:type="character" w:customStyle="1" w:styleId="46">
    <w:name w:val="font51"/>
    <w:basedOn w:val="5"/>
    <w:qFormat/>
    <w:uiPriority w:val="0"/>
    <w:rPr>
      <w:rFonts w:hint="eastAsia" w:ascii="宋体" w:hAnsi="宋体" w:eastAsia="宋体"/>
      <w:color w:val="000000"/>
      <w:sz w:val="22"/>
      <w:szCs w:val="22"/>
      <w:u w:val="none"/>
    </w:rPr>
  </w:style>
  <w:style w:type="paragraph" w:customStyle="1" w:styleId="47">
    <w:name w:val="font0"/>
    <w:basedOn w:val="1"/>
    <w:qFormat/>
    <w:uiPriority w:val="0"/>
    <w:pPr>
      <w:widowControl/>
      <w:spacing w:before="100" w:beforeAutospacing="1" w:after="100" w:afterAutospacing="1"/>
      <w:jc w:val="left"/>
    </w:pPr>
    <w:rPr>
      <w:rFonts w:ascii="Wingdings" w:hAnsi="Wingdings" w:eastAsia="宋体" w:cs="宋体"/>
      <w:color w:val="000000"/>
      <w:kern w:val="0"/>
      <w:sz w:val="22"/>
    </w:rPr>
  </w:style>
  <w:style w:type="paragraph" w:customStyle="1" w:styleId="48">
    <w:name w:val="font6"/>
    <w:basedOn w:val="1"/>
    <w:qFormat/>
    <w:uiPriority w:val="0"/>
    <w:pPr>
      <w:widowControl/>
      <w:spacing w:before="100" w:beforeAutospacing="1" w:after="100" w:afterAutospacing="1"/>
      <w:jc w:val="left"/>
    </w:pPr>
    <w:rPr>
      <w:rFonts w:ascii="宋体" w:hAnsi="宋体" w:eastAsia="宋体" w:cs="宋体"/>
      <w:color w:val="000000"/>
      <w:kern w:val="0"/>
      <w:sz w:val="22"/>
    </w:rPr>
  </w:style>
  <w:style w:type="paragraph" w:customStyle="1" w:styleId="49">
    <w:name w:val="et20"/>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paragraph" w:customStyle="1" w:styleId="50">
    <w:name w:val="et23"/>
    <w:basedOn w:val="1"/>
    <w:qFormat/>
    <w:uiPriority w:val="0"/>
    <w:pPr>
      <w:widowControl/>
      <w:spacing w:before="100" w:beforeAutospacing="1" w:after="100" w:afterAutospacing="1"/>
      <w:jc w:val="left"/>
      <w:textAlignment w:val="center"/>
    </w:pPr>
    <w:rPr>
      <w:rFonts w:ascii="宋体" w:hAnsi="宋体" w:eastAsia="宋体" w:cs="宋体"/>
      <w:color w:val="000000"/>
      <w:kern w:val="0"/>
      <w:sz w:val="22"/>
    </w:rPr>
  </w:style>
  <w:style w:type="character" w:customStyle="1" w:styleId="51">
    <w:name w:val="font61"/>
    <w:basedOn w:val="5"/>
    <w:qFormat/>
    <w:uiPriority w:val="0"/>
    <w:rPr>
      <w:rFonts w:hint="eastAsia" w:ascii="宋体" w:hAnsi="宋体" w:eastAsia="宋体"/>
      <w:color w:val="000000"/>
      <w:sz w:val="22"/>
      <w:szCs w:val="22"/>
      <w:u w:val="none"/>
    </w:rPr>
  </w:style>
  <w:style w:type="character" w:customStyle="1" w:styleId="52">
    <w:name w:val="font01"/>
    <w:basedOn w:val="5"/>
    <w:qFormat/>
    <w:uiPriority w:val="0"/>
    <w:rPr>
      <w:rFonts w:hint="default" w:ascii="Wingdings" w:hAnsi="Wingdings"/>
      <w:color w:val="000000"/>
      <w:sz w:val="22"/>
      <w:szCs w:val="22"/>
      <w:u w:val="none"/>
    </w:rPr>
  </w:style>
  <w:style w:type="paragraph" w:styleId="53">
    <w:name w:val="List Paragraph"/>
    <w:basedOn w:val="1"/>
    <w:qFormat/>
    <w:uiPriority w:val="34"/>
    <w:pPr>
      <w:ind w:firstLine="420" w:firstLineChars="200"/>
    </w:pPr>
  </w:style>
  <w:style w:type="character" w:customStyle="1" w:styleId="54">
    <w:name w:val="批注框文本 Char"/>
    <w:basedOn w:val="5"/>
    <w:link w:val="2"/>
    <w:semiHidden/>
    <w:qFormat/>
    <w:uiPriority w:val="99"/>
    <w:rPr>
      <w:kern w:val="2"/>
      <w:sz w:val="18"/>
      <w:szCs w:val="18"/>
    </w:rPr>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footer1.xml" Type="http://schemas.openxmlformats.org/officeDocument/2006/relationships/footer"/><Relationship Id="rId4" Target="theme/theme1.xml" Type="http://schemas.openxmlformats.org/officeDocument/2006/relationships/theme"/><Relationship Id="rId5" Target="../customXml/item1.xml" Type="http://schemas.openxmlformats.org/officeDocument/2006/relationships/customXml"/><Relationship Id="rId6" Target="../customXml/item2.xml" Type="http://schemas.openxmlformats.org/officeDocument/2006/relationships/customXml"/><Relationship Id="rId7" Target="fontTable.xml" Type="http://schemas.openxmlformats.org/officeDocument/2006/relationships/fontTable"/></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BD6DC5E-5B56-4A85-B105-F7DF5D447267}">
  <ds:schemaRefs/>
</ds:datastoreItem>
</file>

<file path=docProps/app.xml><?xml version="1.0" encoding="utf-8"?>
<Properties xmlns="http://schemas.openxmlformats.org/officeDocument/2006/extended-properties" xmlns:vt="http://schemas.openxmlformats.org/officeDocument/2006/docPropsVTypes">
  <Template>Normal</Template>
  <Pages>13</Pages>
  <Words>949</Words>
  <Characters>5411</Characters>
  <Lines>45</Lines>
  <Paragraphs>12</Paragraphs>
  <TotalTime>16</TotalTime>
  <ScaleCrop>false</ScaleCrop>
  <LinksUpToDate>false</LinksUpToDate>
  <CharactersWithSpaces>6348</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2020-08-06T05:18:00Z</dcterms:created>
  <dc:creator>USER</dc:creator>
  <cp:lastModifiedBy>user</cp:lastModifiedBy>
  <cp:lastPrinted>2020-08-06T07:54:00Z</cp:lastPrinted>
  <dcterms:modified xsi:type="dcterms:W3CDTF">2021-11-26T06:58:27Z</dcterms:modified>
  <cp:revision>93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