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jc w:val="center"/>
        <w:textAlignment w:val="auto"/>
        <w:rPr>
          <w:rFonts w:hint="eastAsia" w:ascii="宋体" w:hAnsi="宋体" w:cs="方正小标宋简体"/>
          <w:b/>
          <w:bCs/>
          <w:color w:val="auto"/>
          <w:sz w:val="44"/>
          <w:szCs w:val="44"/>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宋体" w:hAnsi="宋体" w:cs="方正小标宋简体"/>
          <w:b/>
          <w:bCs/>
          <w:color w:val="auto"/>
          <w:sz w:val="44"/>
          <w:szCs w:val="44"/>
        </w:rPr>
      </w:pPr>
    </w:p>
    <w:p>
      <w:pPr>
        <w:keepNext w:val="0"/>
        <w:keepLines w:val="0"/>
        <w:pageBreakBefore w:val="0"/>
        <w:kinsoku/>
        <w:wordWrap/>
        <w:overflowPunct/>
        <w:topLinePunct w:val="0"/>
        <w:autoSpaceDN/>
        <w:bidi w:val="0"/>
        <w:adjustRightInd/>
        <w:snapToGrid/>
        <w:spacing w:line="560" w:lineRule="exact"/>
        <w:jc w:val="center"/>
        <w:textAlignment w:val="auto"/>
        <w:rPr>
          <w:rFonts w:ascii="宋体" w:cs="方正小标宋简体"/>
          <w:b/>
          <w:bCs/>
          <w:color w:val="auto"/>
          <w:sz w:val="44"/>
          <w:szCs w:val="44"/>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宋体" w:eastAsia="宋体"/>
          <w:b/>
          <w:color w:val="auto"/>
          <w:sz w:val="44"/>
          <w:szCs w:val="44"/>
          <w:lang w:eastAsia="zh-CN"/>
        </w:rPr>
      </w:pPr>
      <w:r>
        <w:rPr>
          <w:rFonts w:ascii="宋体" w:hAnsi="宋体" w:cs="方正小标宋简体"/>
          <w:b/>
          <w:bCs/>
          <w:color w:val="auto"/>
          <w:sz w:val="44"/>
          <w:szCs w:val="44"/>
        </w:rPr>
        <w:t>202</w:t>
      </w:r>
      <w:r>
        <w:rPr>
          <w:rFonts w:hint="eastAsia" w:ascii="宋体" w:hAnsi="宋体" w:cs="方正小标宋简体"/>
          <w:b/>
          <w:bCs/>
          <w:color w:val="auto"/>
          <w:sz w:val="44"/>
          <w:szCs w:val="44"/>
          <w:lang w:val="en-US" w:eastAsia="zh-CN"/>
        </w:rPr>
        <w:t>2</w:t>
      </w:r>
      <w:r>
        <w:rPr>
          <w:rFonts w:hint="eastAsia" w:ascii="宋体" w:hAnsi="宋体" w:cs="方正小标宋简体"/>
          <w:b/>
          <w:bCs/>
          <w:color w:val="auto"/>
          <w:sz w:val="44"/>
          <w:szCs w:val="44"/>
        </w:rPr>
        <w:t>年</w:t>
      </w:r>
      <w:r>
        <w:rPr>
          <w:rFonts w:hint="eastAsia" w:ascii="宋体" w:hAnsi="宋体" w:cs="方正小标宋简体"/>
          <w:b/>
          <w:bCs/>
          <w:color w:val="auto"/>
          <w:sz w:val="44"/>
          <w:szCs w:val="44"/>
          <w:lang w:eastAsia="zh-CN"/>
        </w:rPr>
        <w:t>法治建设工作报告</w:t>
      </w:r>
    </w:p>
    <w:p>
      <w:pPr>
        <w:keepNext w:val="0"/>
        <w:keepLines w:val="0"/>
        <w:pageBreakBefore w:val="0"/>
        <w:kinsoku/>
        <w:wordWrap/>
        <w:overflowPunct/>
        <w:topLinePunct w:val="0"/>
        <w:autoSpaceDN/>
        <w:bidi w:val="0"/>
        <w:adjustRightInd/>
        <w:snapToGrid/>
        <w:spacing w:line="560" w:lineRule="exact"/>
        <w:jc w:val="center"/>
        <w:textAlignment w:val="auto"/>
        <w:rPr>
          <w:rFonts w:ascii="仿宋_GB2312" w:hAnsi="宋体" w:eastAsia="仿宋_GB2312"/>
          <w:b/>
          <w:color w:val="auto"/>
          <w:sz w:val="32"/>
          <w:szCs w:val="32"/>
        </w:rPr>
      </w:pP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我委始终坚持以习近平总书记全面依法治国新理念新思想新战略为指导，</w:t>
      </w:r>
      <w:r>
        <w:rPr>
          <w:rFonts w:hint="eastAsia" w:ascii="仿宋_GB2312" w:hAnsi="Tahoma" w:eastAsia="仿宋_GB2312" w:cs="仿宋_GB2312"/>
          <w:color w:val="auto"/>
          <w:sz w:val="32"/>
          <w:szCs w:val="32"/>
        </w:rPr>
        <w:t>紧紧围绕卫生健康工作重点，扎实推进法治建设各项工作，努力提升法治建设工作水平，不断夯实法治建设工作基础。现将</w:t>
      </w:r>
      <w:r>
        <w:rPr>
          <w:rFonts w:ascii="仿宋_GB2312" w:hAnsi="Tahoma" w:eastAsia="仿宋_GB2312" w:cs="仿宋_GB2312"/>
          <w:color w:val="auto"/>
          <w:sz w:val="32"/>
          <w:szCs w:val="32"/>
        </w:rPr>
        <w:t>202</w:t>
      </w:r>
      <w:r>
        <w:rPr>
          <w:rFonts w:hint="eastAsia" w:ascii="仿宋_GB2312" w:hAnsi="Tahoma" w:eastAsia="仿宋_GB2312" w:cs="仿宋_GB2312"/>
          <w:color w:val="auto"/>
          <w:sz w:val="32"/>
          <w:szCs w:val="32"/>
          <w:lang w:val="en-US" w:eastAsia="zh-CN"/>
        </w:rPr>
        <w:t>2</w:t>
      </w:r>
      <w:r>
        <w:rPr>
          <w:rFonts w:hint="eastAsia" w:ascii="仿宋_GB2312" w:hAnsi="Tahoma" w:eastAsia="仿宋_GB2312" w:cs="仿宋_GB2312"/>
          <w:color w:val="auto"/>
          <w:sz w:val="32"/>
          <w:szCs w:val="32"/>
        </w:rPr>
        <w:t>年度</w:t>
      </w:r>
      <w:r>
        <w:rPr>
          <w:rFonts w:hint="eastAsia" w:ascii="仿宋_GB2312" w:hAnsi="Tahoma" w:eastAsia="仿宋_GB2312" w:cs="仿宋_GB2312"/>
          <w:color w:val="auto"/>
          <w:sz w:val="32"/>
          <w:szCs w:val="32"/>
          <w:lang w:eastAsia="zh-CN"/>
        </w:rPr>
        <w:t>法治建设</w:t>
      </w:r>
      <w:r>
        <w:rPr>
          <w:rFonts w:hint="eastAsia" w:ascii="仿宋_GB2312" w:hAnsi="Tahoma" w:eastAsia="仿宋_GB2312" w:cs="仿宋_GB2312"/>
          <w:color w:val="auto"/>
          <w:sz w:val="32"/>
          <w:szCs w:val="32"/>
        </w:rPr>
        <w:t>工作开展情况汇报如下：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宋体" w:eastAsia="黑体"/>
          <w:color w:val="auto"/>
          <w:sz w:val="32"/>
          <w:szCs w:val="32"/>
          <w:lang w:eastAsia="zh-CN"/>
        </w:rPr>
      </w:pPr>
      <w:r>
        <w:rPr>
          <w:rFonts w:hint="eastAsia" w:ascii="黑体" w:hAnsi="宋体" w:eastAsia="黑体"/>
          <w:color w:val="auto"/>
          <w:sz w:val="32"/>
          <w:szCs w:val="32"/>
        </w:rPr>
        <w:t>一、</w:t>
      </w:r>
      <w:r>
        <w:rPr>
          <w:rFonts w:hint="eastAsia" w:ascii="黑体" w:hAnsi="宋体" w:eastAsia="黑体"/>
          <w:color w:val="auto"/>
          <w:sz w:val="32"/>
          <w:szCs w:val="32"/>
          <w:lang w:eastAsia="zh-CN"/>
        </w:rPr>
        <w:t>强化</w:t>
      </w:r>
      <w:r>
        <w:rPr>
          <w:rFonts w:hint="eastAsia" w:ascii="黑体" w:hAnsi="宋体" w:eastAsia="黑体"/>
          <w:color w:val="auto"/>
          <w:sz w:val="32"/>
          <w:szCs w:val="32"/>
        </w:rPr>
        <w:t>学习教育，深入</w:t>
      </w:r>
      <w:r>
        <w:rPr>
          <w:rFonts w:hint="eastAsia" w:ascii="黑体" w:hAnsi="宋体" w:eastAsia="黑体"/>
          <w:color w:val="auto"/>
          <w:sz w:val="32"/>
          <w:szCs w:val="32"/>
          <w:lang w:eastAsia="zh-CN"/>
        </w:rPr>
        <w:t>学习</w:t>
      </w:r>
      <w:r>
        <w:rPr>
          <w:rFonts w:hint="eastAsia" w:ascii="黑体" w:hAnsi="宋体" w:eastAsia="黑体"/>
          <w:color w:val="auto"/>
          <w:sz w:val="32"/>
          <w:szCs w:val="32"/>
        </w:rPr>
        <w:t>习近平</w:t>
      </w:r>
      <w:r>
        <w:rPr>
          <w:rFonts w:hint="eastAsia" w:ascii="黑体" w:hAnsi="宋体" w:eastAsia="黑体"/>
          <w:color w:val="auto"/>
          <w:sz w:val="32"/>
          <w:szCs w:val="32"/>
          <w:lang w:eastAsia="zh-CN"/>
        </w:rPr>
        <w:t>法治思想新理念</w:t>
      </w:r>
    </w:p>
    <w:p>
      <w:pPr>
        <w:keepNext w:val="0"/>
        <w:keepLines w:val="0"/>
        <w:pageBreakBefore w:val="0"/>
        <w:kinsoku/>
        <w:wordWrap/>
        <w:overflowPunct/>
        <w:topLinePunct w:val="0"/>
        <w:autoSpaceDN/>
        <w:bidi w:val="0"/>
        <w:adjustRightInd/>
        <w:snapToGrid/>
        <w:spacing w:line="560" w:lineRule="exact"/>
        <w:ind w:firstLine="482" w:firstLineChars="150"/>
        <w:textAlignment w:val="auto"/>
        <w:rPr>
          <w:rFonts w:hint="eastAsia" w:ascii="仿宋_GB2312" w:hAnsi="仿宋_GB2312" w:eastAsia="仿宋_GB2312" w:cs="仿宋_GB2312"/>
          <w:sz w:val="32"/>
          <w:szCs w:val="32"/>
        </w:rPr>
      </w:pPr>
      <w:r>
        <w:rPr>
          <w:rFonts w:hint="eastAsia" w:ascii="楷体_GB2312" w:hAnsi="黑体" w:eastAsia="楷体_GB2312" w:cs="楷体_GB2312"/>
          <w:b/>
          <w:bCs/>
          <w:color w:val="auto"/>
          <w:sz w:val="32"/>
          <w:szCs w:val="32"/>
        </w:rPr>
        <w:t>（一）坚持推动理论学习。</w:t>
      </w:r>
      <w:r>
        <w:rPr>
          <w:rFonts w:hint="eastAsia" w:ascii="仿宋_GB2312" w:hAnsi="仿宋_GB2312" w:eastAsia="仿宋_GB2312" w:cs="仿宋_GB2312"/>
          <w:sz w:val="32"/>
          <w:szCs w:val="32"/>
        </w:rPr>
        <w:t>坚持把党的领导贯彻到法治政府建设的全过程和各方面，</w:t>
      </w:r>
      <w:r>
        <w:rPr>
          <w:rFonts w:hint="eastAsia" w:ascii="仿宋_GB2312" w:hAnsi="仿宋_GB2312" w:eastAsia="仿宋_GB2312" w:cs="仿宋_GB2312"/>
          <w:sz w:val="32"/>
          <w:szCs w:val="32"/>
          <w:lang w:eastAsia="zh-CN"/>
        </w:rPr>
        <w:t>严格落实</w:t>
      </w:r>
      <w:r>
        <w:rPr>
          <w:rFonts w:hint="eastAsia" w:ascii="仿宋_GB2312" w:hAnsi="仿宋_GB2312" w:eastAsia="仿宋_GB2312" w:cs="仿宋_GB2312"/>
          <w:sz w:val="32"/>
          <w:szCs w:val="32"/>
        </w:rPr>
        <w:t>主要领导第一责任人制度，</w:t>
      </w:r>
      <w:r>
        <w:rPr>
          <w:rFonts w:hint="eastAsia" w:ascii="仿宋_GB2312" w:hAnsi="仿宋_GB2312" w:eastAsia="仿宋_GB2312" w:cs="仿宋_GB2312"/>
          <w:sz w:val="32"/>
          <w:szCs w:val="32"/>
          <w:lang w:eastAsia="zh-CN"/>
        </w:rPr>
        <w:t>坚持主要领导亲自抓、分管领导具体抓、责任单位全力抓的原则，</w:t>
      </w:r>
      <w:r>
        <w:rPr>
          <w:rFonts w:hint="eastAsia" w:ascii="仿宋_GB2312" w:hAnsi="仿宋_GB2312" w:eastAsia="仿宋_GB2312" w:cs="仿宋_GB2312"/>
          <w:sz w:val="32"/>
          <w:szCs w:val="32"/>
        </w:rPr>
        <w:t>多次以党组会、办公会、周一夜学等形式组织对习近平总书记依法治国新理念新思想新战略的学习，深入学习贯彻习近平总书记的系列重要论述，宣传贯彻习近平总书记在中央全面依法治国委员会第一次、第二次会议上的重要讲话及中央全面依法治国工作会议精神，</w:t>
      </w:r>
      <w:r>
        <w:rPr>
          <w:rFonts w:hint="eastAsia" w:ascii="仿宋_GB2312" w:hAnsi="仿宋_GB2312" w:eastAsia="仿宋_GB2312" w:cs="仿宋_GB2312"/>
          <w:sz w:val="32"/>
          <w:szCs w:val="32"/>
          <w:lang w:eastAsia="zh-CN"/>
        </w:rPr>
        <w:t>认真开展</w:t>
      </w:r>
      <w:r>
        <w:rPr>
          <w:rFonts w:hint="eastAsia" w:ascii="仿宋_GB2312" w:hAnsi="仿宋_GB2312" w:eastAsia="仿宋_GB2312" w:cs="仿宋_GB2312"/>
          <w:sz w:val="32"/>
          <w:szCs w:val="32"/>
          <w:lang w:val="en-US" w:eastAsia="zh-CN"/>
        </w:rPr>
        <w:t>《中国共产党党员权利保障条例》、《中国共产党党组织工作条例》等党内法规学习，做到带头学法,模范用法,切实发挥党组在推进本单位法治建设中的领导核心作用</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default" w:ascii="仿宋_GB2312" w:hAnsi="Tahoma" w:eastAsia="仿宋_GB2312" w:cs="仿宋_GB2312"/>
          <w:color w:val="auto"/>
          <w:sz w:val="32"/>
          <w:szCs w:val="32"/>
        </w:rPr>
      </w:pPr>
      <w:r>
        <w:rPr>
          <w:rFonts w:hint="eastAsia" w:ascii="楷体_GB2312" w:hAnsi="黑体" w:eastAsia="楷体_GB2312" w:cs="楷体_GB2312"/>
          <w:b/>
          <w:bCs/>
          <w:color w:val="auto"/>
          <w:sz w:val="32"/>
          <w:szCs w:val="32"/>
        </w:rPr>
        <w:t>（二）落实法治建设第一责任人制度。</w:t>
      </w:r>
      <w:r>
        <w:rPr>
          <w:rFonts w:hint="eastAsia" w:ascii="仿宋_GB2312" w:hAnsi="Tahoma" w:eastAsia="仿宋_GB2312" w:cs="仿宋_GB2312"/>
          <w:color w:val="auto"/>
          <w:sz w:val="32"/>
          <w:szCs w:val="32"/>
        </w:rPr>
        <w:t>委党组高度重视法治建设工作，委党组书记、主任</w:t>
      </w:r>
      <w:r>
        <w:rPr>
          <w:rFonts w:hint="eastAsia" w:ascii="仿宋_GB2312" w:hAnsi="Tahoma" w:eastAsia="仿宋_GB2312" w:cs="仿宋_GB2312"/>
          <w:color w:val="auto"/>
          <w:sz w:val="32"/>
          <w:szCs w:val="32"/>
          <w:lang w:eastAsia="zh-CN"/>
        </w:rPr>
        <w:t>杨辉</w:t>
      </w:r>
      <w:r>
        <w:rPr>
          <w:rFonts w:hint="eastAsia" w:ascii="仿宋_GB2312" w:hAnsi="Tahoma" w:eastAsia="仿宋_GB2312" w:cs="仿宋_GB2312"/>
          <w:color w:val="auto"/>
          <w:sz w:val="32"/>
          <w:szCs w:val="32"/>
        </w:rPr>
        <w:t>充分发挥法治建设第一责任人作用，定期听取法治建设工作情况汇报,及时研究解决有关重大问题,真正把</w:t>
      </w:r>
      <w:r>
        <w:rPr>
          <w:rFonts w:hint="default" w:ascii="仿宋_GB2312" w:hAnsi="Tahoma" w:eastAsia="仿宋_GB2312" w:cs="仿宋_GB2312"/>
          <w:color w:val="auto"/>
          <w:sz w:val="32"/>
          <w:szCs w:val="32"/>
        </w:rPr>
        <w:t>推进法治建设第一责任人所列职责一条一条履行好、落实好,充分发挥好在法治</w:t>
      </w:r>
      <w:r>
        <w:rPr>
          <w:rFonts w:hint="eastAsia" w:ascii="仿宋_GB2312" w:hAnsi="Tahoma" w:eastAsia="仿宋_GB2312" w:cs="仿宋_GB2312"/>
          <w:color w:val="auto"/>
          <w:sz w:val="32"/>
          <w:szCs w:val="32"/>
          <w:lang w:eastAsia="zh-CN"/>
        </w:rPr>
        <w:t>邢台</w:t>
      </w:r>
      <w:r>
        <w:rPr>
          <w:rFonts w:hint="default" w:ascii="仿宋_GB2312" w:hAnsi="Tahoma" w:eastAsia="仿宋_GB2312" w:cs="仿宋_GB2312"/>
          <w:color w:val="auto"/>
          <w:sz w:val="32"/>
          <w:szCs w:val="32"/>
        </w:rPr>
        <w:t>建设中引领示范作用,自觉为全机关作表率。</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宋体" w:eastAsia="黑体"/>
          <w:b/>
          <w:bCs/>
          <w:color w:val="auto"/>
          <w:sz w:val="32"/>
          <w:szCs w:val="32"/>
        </w:rPr>
      </w:pPr>
      <w:r>
        <w:rPr>
          <w:rFonts w:hint="eastAsia" w:ascii="黑体" w:hAnsi="宋体" w:eastAsia="黑体" w:cs="仿宋_GB2312"/>
          <w:color w:val="auto"/>
          <w:sz w:val="32"/>
          <w:szCs w:val="32"/>
          <w:shd w:val="clear" w:color="auto" w:fill="FFFFFF"/>
        </w:rPr>
        <w:t>二、</w:t>
      </w:r>
      <w:r>
        <w:rPr>
          <w:rFonts w:hint="eastAsia" w:ascii="黑体" w:hAnsi="宋体" w:eastAsia="黑体" w:cs="仿宋_GB2312"/>
          <w:color w:val="auto"/>
          <w:sz w:val="32"/>
          <w:szCs w:val="32"/>
          <w:shd w:val="clear" w:color="auto" w:fill="FFFFFF"/>
          <w:lang w:eastAsia="zh-CN"/>
        </w:rPr>
        <w:t>坚持依法行政</w:t>
      </w:r>
      <w:r>
        <w:rPr>
          <w:rFonts w:hint="eastAsia" w:ascii="黑体" w:hAnsi="宋体" w:eastAsia="黑体" w:cs="仿宋_GB2312"/>
          <w:color w:val="auto"/>
          <w:sz w:val="32"/>
          <w:szCs w:val="32"/>
          <w:shd w:val="clear" w:color="auto" w:fill="FFFFFF"/>
        </w:rPr>
        <w:t>，扎实推进各项工作</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仿宋_GB2312" w:hAnsi="宋体" w:eastAsia="仿宋_GB2312" w:cs="仿宋_GB2312"/>
          <w:b/>
          <w:color w:val="auto"/>
          <w:sz w:val="32"/>
          <w:szCs w:val="32"/>
          <w:shd w:val="clear" w:color="auto" w:fill="FFFFFF"/>
        </w:rPr>
      </w:pPr>
      <w:r>
        <w:rPr>
          <w:rFonts w:hint="eastAsia" w:ascii="楷体_GB2312" w:hAnsi="黑体" w:eastAsia="楷体_GB2312" w:cs="楷体_GB2312"/>
          <w:b/>
          <w:bCs/>
          <w:color w:val="auto"/>
          <w:sz w:val="32"/>
          <w:szCs w:val="32"/>
        </w:rPr>
        <w:t>（一）全面落实行政执法“三项制度”。</w:t>
      </w:r>
      <w:r>
        <w:rPr>
          <w:rFonts w:hint="eastAsia" w:ascii="仿宋_GB2312" w:hAnsi="仿宋" w:eastAsia="仿宋_GB2312"/>
          <w:color w:val="auto"/>
          <w:sz w:val="32"/>
          <w:szCs w:val="32"/>
        </w:rPr>
        <w:t>结合工作实际，严格落实行政执法公示制度、执法</w:t>
      </w:r>
      <w:r>
        <w:rPr>
          <w:rFonts w:hint="eastAsia" w:ascii="仿宋_GB2312" w:hAnsi="楷体_GB2312" w:eastAsia="仿宋_GB2312"/>
          <w:snapToGrid w:val="0"/>
          <w:color w:val="auto"/>
          <w:spacing w:val="-4"/>
          <w:sz w:val="32"/>
          <w:szCs w:val="32"/>
        </w:rPr>
        <w:t>全过程记录制度、重大执法决定法制审核制度，完善事前公开和事后公开，制定</w:t>
      </w:r>
      <w:r>
        <w:rPr>
          <w:rFonts w:ascii="仿宋_GB2312" w:hAnsi="楷体_GB2312" w:eastAsia="仿宋_GB2312"/>
          <w:snapToGrid w:val="0"/>
          <w:color w:val="auto"/>
          <w:spacing w:val="-4"/>
          <w:sz w:val="32"/>
          <w:szCs w:val="32"/>
        </w:rPr>
        <w:t>3</w:t>
      </w:r>
      <w:r>
        <w:rPr>
          <w:rFonts w:hint="eastAsia" w:ascii="仿宋_GB2312" w:hAnsi="楷体_GB2312" w:eastAsia="仿宋_GB2312"/>
          <w:snapToGrid w:val="0"/>
          <w:color w:val="auto"/>
          <w:spacing w:val="-4"/>
          <w:sz w:val="32"/>
          <w:szCs w:val="32"/>
        </w:rPr>
        <w:t>项制度、</w:t>
      </w:r>
      <w:r>
        <w:rPr>
          <w:rFonts w:ascii="仿宋_GB2312" w:hAnsi="楷体_GB2312" w:eastAsia="仿宋_GB2312"/>
          <w:snapToGrid w:val="0"/>
          <w:color w:val="auto"/>
          <w:spacing w:val="-4"/>
          <w:sz w:val="32"/>
          <w:szCs w:val="32"/>
        </w:rPr>
        <w:t>3</w:t>
      </w:r>
      <w:r>
        <w:rPr>
          <w:rFonts w:hint="eastAsia" w:ascii="仿宋_GB2312" w:hAnsi="楷体_GB2312" w:eastAsia="仿宋_GB2312"/>
          <w:snapToGrid w:val="0"/>
          <w:color w:val="auto"/>
          <w:spacing w:val="-4"/>
          <w:sz w:val="32"/>
          <w:szCs w:val="32"/>
        </w:rPr>
        <w:t>个办法，编制了</w:t>
      </w:r>
      <w:r>
        <w:rPr>
          <w:rFonts w:ascii="仿宋_GB2312" w:hAnsi="楷体_GB2312" w:eastAsia="仿宋_GB2312"/>
          <w:snapToGrid w:val="0"/>
          <w:color w:val="auto"/>
          <w:spacing w:val="-4"/>
          <w:sz w:val="32"/>
          <w:szCs w:val="32"/>
        </w:rPr>
        <w:t>4</w:t>
      </w:r>
      <w:r>
        <w:rPr>
          <w:rFonts w:hint="eastAsia" w:ascii="仿宋_GB2312" w:hAnsi="楷体_GB2312" w:eastAsia="仿宋_GB2312"/>
          <w:snapToGrid w:val="0"/>
          <w:color w:val="auto"/>
          <w:spacing w:val="-4"/>
          <w:sz w:val="32"/>
          <w:szCs w:val="32"/>
        </w:rPr>
        <w:t>项流程图、</w:t>
      </w:r>
      <w:r>
        <w:rPr>
          <w:rFonts w:ascii="仿宋_GB2312" w:hAnsi="楷体_GB2312" w:eastAsia="仿宋_GB2312"/>
          <w:snapToGrid w:val="0"/>
          <w:color w:val="auto"/>
          <w:spacing w:val="-4"/>
          <w:sz w:val="32"/>
          <w:szCs w:val="32"/>
        </w:rPr>
        <w:t>5</w:t>
      </w:r>
      <w:r>
        <w:rPr>
          <w:rFonts w:hint="eastAsia" w:ascii="仿宋_GB2312" w:hAnsi="楷体_GB2312" w:eastAsia="仿宋_GB2312"/>
          <w:snapToGrid w:val="0"/>
          <w:color w:val="auto"/>
          <w:spacing w:val="-4"/>
          <w:sz w:val="32"/>
          <w:szCs w:val="32"/>
        </w:rPr>
        <w:t>个清单，并及时在委网站进行公示；同时，按三项制度要求，及时对行政处罚、行政强制和行政检查结果进行</w:t>
      </w:r>
      <w:r>
        <w:rPr>
          <w:rFonts w:hint="eastAsia" w:ascii="仿宋_GB2312" w:eastAsia="仿宋_GB2312"/>
          <w:color w:val="auto"/>
          <w:sz w:val="32"/>
          <w:szCs w:val="32"/>
        </w:rPr>
        <w:t>公示。</w:t>
      </w:r>
    </w:p>
    <w:p>
      <w:pPr>
        <w:keepNext w:val="0"/>
        <w:keepLines w:val="0"/>
        <w:pageBreakBefore w:val="0"/>
        <w:kinsoku/>
        <w:wordWrap/>
        <w:overflowPunct/>
        <w:topLinePunct w:val="0"/>
        <w:autoSpaceDN/>
        <w:bidi w:val="0"/>
        <w:adjustRightInd/>
        <w:snapToGrid/>
        <w:spacing w:line="560" w:lineRule="exact"/>
        <w:ind w:firstLine="472" w:firstLineChars="147"/>
        <w:textAlignment w:val="auto"/>
        <w:rPr>
          <w:rFonts w:ascii="仿宋_GB2312" w:eastAsia="仿宋_GB2312"/>
          <w:color w:val="auto"/>
          <w:sz w:val="32"/>
          <w:szCs w:val="32"/>
        </w:rPr>
      </w:pPr>
      <w:r>
        <w:rPr>
          <w:rFonts w:hint="eastAsia" w:ascii="楷体_GB2312" w:hAnsi="黑体" w:eastAsia="楷体_GB2312" w:cs="楷体_GB2312"/>
          <w:b/>
          <w:bCs/>
          <w:color w:val="auto"/>
          <w:sz w:val="32"/>
          <w:szCs w:val="32"/>
        </w:rPr>
        <w:t>（二）对权责清单实行动态管理。</w:t>
      </w:r>
      <w:r>
        <w:rPr>
          <w:rFonts w:hint="eastAsia" w:ascii="仿宋_GB2312" w:hAnsi="仿宋_GB2312" w:eastAsia="仿宋_GB2312" w:cs="仿宋_GB2312"/>
          <w:color w:val="auto"/>
          <w:sz w:val="32"/>
          <w:szCs w:val="32"/>
        </w:rPr>
        <w:t>按照</w:t>
      </w:r>
      <w:r>
        <w:rPr>
          <w:rFonts w:hint="eastAsia" w:ascii="仿宋_GB2312" w:eastAsia="仿宋_GB2312"/>
          <w:color w:val="auto"/>
          <w:sz w:val="32"/>
          <w:szCs w:val="32"/>
          <w:lang w:eastAsia="zh-CN"/>
        </w:rPr>
        <w:t>市编办</w:t>
      </w:r>
      <w:r>
        <w:rPr>
          <w:rFonts w:hint="eastAsia" w:ascii="仿宋_GB2312" w:eastAsia="仿宋_GB2312"/>
          <w:color w:val="auto"/>
          <w:sz w:val="32"/>
          <w:szCs w:val="32"/>
        </w:rPr>
        <w:t>要求，对权责清单实行动态管理，重新确认和全口径梳理本部门权责，市编办审核通过后，我委将予以公示。</w:t>
      </w:r>
    </w:p>
    <w:p>
      <w:pPr>
        <w:pStyle w:val="2"/>
        <w:keepNext w:val="0"/>
        <w:keepLines w:val="0"/>
        <w:pageBreakBefore w:val="0"/>
        <w:kinsoku/>
        <w:wordWrap/>
        <w:overflowPunct/>
        <w:topLinePunct w:val="0"/>
        <w:autoSpaceDN/>
        <w:bidi w:val="0"/>
        <w:adjustRightInd/>
        <w:snapToGrid/>
        <w:spacing w:beforeAutospacing="0" w:afterAutospacing="0" w:line="560" w:lineRule="exact"/>
        <w:ind w:firstLine="640"/>
        <w:textAlignment w:val="auto"/>
        <w:rPr>
          <w:rFonts w:ascii="仿宋_GB2312" w:hAnsi="Tahoma" w:eastAsia="仿宋_GB2312" w:cs="仿宋_GB2312"/>
          <w:color w:val="auto"/>
          <w:sz w:val="32"/>
          <w:szCs w:val="32"/>
        </w:rPr>
      </w:pPr>
      <w:r>
        <w:rPr>
          <w:rFonts w:hint="eastAsia" w:ascii="楷体_GB2312" w:hAnsi="黑体" w:eastAsia="楷体_GB2312" w:cs="楷体_GB2312"/>
          <w:b/>
          <w:bCs/>
          <w:color w:val="auto"/>
          <w:sz w:val="32"/>
          <w:szCs w:val="32"/>
        </w:rPr>
        <w:t>（</w:t>
      </w:r>
      <w:r>
        <w:rPr>
          <w:rFonts w:hint="eastAsia" w:ascii="楷体_GB2312" w:hAnsi="黑体" w:eastAsia="楷体_GB2312" w:cs="楷体_GB2312"/>
          <w:b/>
          <w:bCs/>
          <w:color w:val="auto"/>
          <w:sz w:val="32"/>
          <w:szCs w:val="32"/>
          <w:lang w:eastAsia="zh-CN"/>
        </w:rPr>
        <w:t>三</w:t>
      </w:r>
      <w:r>
        <w:rPr>
          <w:rFonts w:hint="eastAsia" w:ascii="楷体_GB2312" w:hAnsi="黑体" w:eastAsia="楷体_GB2312" w:cs="楷体_GB2312"/>
          <w:b/>
          <w:bCs/>
          <w:color w:val="auto"/>
          <w:sz w:val="32"/>
          <w:szCs w:val="32"/>
        </w:rPr>
        <w:t>）严格落实法律顾问和公职律师制度。</w:t>
      </w:r>
      <w:r>
        <w:rPr>
          <w:rFonts w:hint="eastAsia" w:ascii="仿宋_GB2312" w:hAnsi="Tahoma" w:eastAsia="仿宋_GB2312" w:cs="仿宋_GB2312"/>
          <w:color w:val="auto"/>
          <w:sz w:val="32"/>
          <w:szCs w:val="32"/>
        </w:rPr>
        <w:t>按照《关于推行法律顾问制度和公职律师公司律师制度的实施意见》要求，与河北</w:t>
      </w:r>
      <w:r>
        <w:rPr>
          <w:rFonts w:hint="eastAsia" w:ascii="仿宋_GB2312" w:hAnsi="Tahoma" w:eastAsia="仿宋_GB2312" w:cs="仿宋_GB2312"/>
          <w:color w:val="auto"/>
          <w:sz w:val="32"/>
          <w:szCs w:val="32"/>
          <w:lang w:eastAsia="zh-CN"/>
        </w:rPr>
        <w:t>齐心</w:t>
      </w:r>
      <w:r>
        <w:rPr>
          <w:rFonts w:hint="eastAsia" w:ascii="仿宋_GB2312" w:hAnsi="Tahoma" w:eastAsia="仿宋_GB2312" w:cs="仿宋_GB2312"/>
          <w:color w:val="auto"/>
          <w:sz w:val="32"/>
          <w:szCs w:val="32"/>
        </w:rPr>
        <w:t>律师事务所签订</w:t>
      </w:r>
      <w:r>
        <w:rPr>
          <w:rFonts w:hint="eastAsia" w:ascii="仿宋_GB2312" w:hAnsi="Tahoma" w:eastAsia="仿宋_GB2312" w:cs="仿宋_GB2312"/>
          <w:color w:val="auto"/>
          <w:sz w:val="32"/>
          <w:szCs w:val="32"/>
          <w:lang w:eastAsia="zh-CN"/>
        </w:rPr>
        <w:t>法律顾问合同</w:t>
      </w:r>
      <w:r>
        <w:rPr>
          <w:rFonts w:hint="eastAsia" w:ascii="仿宋_GB2312" w:hAnsi="Tahoma" w:eastAsia="仿宋_GB2312" w:cs="仿宋_GB2312"/>
          <w:color w:val="auto"/>
          <w:sz w:val="32"/>
          <w:szCs w:val="32"/>
        </w:rPr>
        <w:t>，参与重大行政决策、规范性文件合法性审查、行政复议案件办理等工作。今年以来，律师顾问共参与行政执法案件的讨论指导、各项业务合同审查等有关事项</w:t>
      </w:r>
      <w:r>
        <w:rPr>
          <w:rFonts w:hint="eastAsia" w:ascii="仿宋_GB2312" w:hAnsi="Tahoma" w:eastAsia="仿宋_GB2312" w:cs="仿宋_GB2312"/>
          <w:color w:val="auto"/>
          <w:sz w:val="32"/>
          <w:szCs w:val="32"/>
          <w:lang w:val="en-US" w:eastAsia="zh-CN"/>
        </w:rPr>
        <w:t>1</w:t>
      </w:r>
      <w:r>
        <w:rPr>
          <w:rFonts w:hint="eastAsia" w:ascii="仿宋_GB2312" w:hAnsi="Tahoma" w:eastAsia="仿宋_GB2312" w:cs="仿宋_GB2312"/>
          <w:color w:val="auto"/>
          <w:sz w:val="32"/>
          <w:szCs w:val="32"/>
        </w:rPr>
        <w:t>0余件，有效做到防范风险。</w:t>
      </w:r>
      <w:r>
        <w:rPr>
          <w:rFonts w:hint="eastAsia" w:ascii="仿宋_GB2312" w:hAnsi="Tahoma" w:eastAsia="仿宋_GB2312" w:cs="仿宋_GB2312"/>
          <w:color w:val="auto"/>
          <w:sz w:val="32"/>
          <w:szCs w:val="32"/>
          <w:lang w:eastAsia="zh-CN"/>
        </w:rPr>
        <w:t>同时，在</w:t>
      </w:r>
      <w:r>
        <w:rPr>
          <w:rFonts w:hint="eastAsia" w:ascii="仿宋_GB2312" w:hAnsi="Tahoma" w:eastAsia="仿宋_GB2312" w:cs="仿宋_GB2312"/>
          <w:color w:val="auto"/>
          <w:sz w:val="32"/>
          <w:szCs w:val="32"/>
          <w:lang w:val="en-US" w:eastAsia="zh-CN"/>
        </w:rPr>
        <w:t>2019年将持有法律资格证书的3名同志，申报了公职律师，积极参与委机关法治工作，不断提升委机关法治工作水平。</w:t>
      </w:r>
    </w:p>
    <w:p>
      <w:pPr>
        <w:keepNext w:val="0"/>
        <w:keepLines w:val="0"/>
        <w:pageBreakBefore w:val="0"/>
        <w:kinsoku/>
        <w:wordWrap/>
        <w:overflowPunct/>
        <w:topLinePunct w:val="0"/>
        <w:autoSpaceDN/>
        <w:bidi w:val="0"/>
        <w:adjustRightInd/>
        <w:snapToGrid/>
        <w:spacing w:line="560" w:lineRule="exact"/>
        <w:ind w:firstLine="643" w:firstLineChars="200"/>
        <w:jc w:val="left"/>
        <w:textAlignment w:val="auto"/>
        <w:rPr>
          <w:rFonts w:ascii="黑体" w:hAnsi="宋体" w:eastAsia="黑体" w:cs="仿宋_GB2312"/>
          <w:color w:val="auto"/>
          <w:sz w:val="32"/>
          <w:szCs w:val="32"/>
          <w:shd w:val="clear" w:color="auto" w:fill="FFFFFF"/>
        </w:rPr>
      </w:pPr>
      <w:r>
        <w:rPr>
          <w:rFonts w:hint="eastAsia" w:ascii="楷体_GB2312" w:hAnsi="黑体" w:eastAsia="楷体_GB2312" w:cs="楷体_GB2312"/>
          <w:b/>
          <w:bCs/>
          <w:color w:val="auto"/>
          <w:sz w:val="32"/>
          <w:szCs w:val="32"/>
          <w:lang w:eastAsia="zh-CN"/>
        </w:rPr>
        <w:t>（四）</w:t>
      </w:r>
      <w:r>
        <w:rPr>
          <w:rFonts w:hint="eastAsia" w:ascii="楷体_GB2312" w:hAnsi="黑体" w:eastAsia="楷体_GB2312" w:cs="楷体_GB2312"/>
          <w:b/>
          <w:bCs/>
          <w:color w:val="auto"/>
          <w:sz w:val="32"/>
          <w:szCs w:val="32"/>
        </w:rPr>
        <w:t>严格落实政务公开制度。</w:t>
      </w:r>
      <w:r>
        <w:rPr>
          <w:rFonts w:hint="eastAsia" w:ascii="仿宋_GB2312" w:hAnsi="Verdana" w:eastAsia="仿宋_GB2312"/>
          <w:color w:val="auto"/>
          <w:sz w:val="32"/>
          <w:szCs w:val="32"/>
        </w:rPr>
        <w:t>坚持“以公开为常态、不公开为例外”，积极推进决策、执行、管理、服务、结果“五公开”，加强信息发布、政策解读、社会回应，不断增强政府信息公开的质量和实效。同时，通过</w:t>
      </w:r>
      <w:r>
        <w:rPr>
          <w:rFonts w:hint="eastAsia" w:ascii="仿宋_GB2312" w:hAnsi="Tahoma" w:eastAsia="仿宋_GB2312" w:cs="仿宋_GB2312"/>
          <w:color w:val="auto"/>
          <w:sz w:val="32"/>
          <w:szCs w:val="32"/>
        </w:rPr>
        <w:t>委网站“行政执法公示”专栏、邢台市卫生健康委微信平台及时发布法治信息，对全系统法治建设和政策法规文件进行宣传解读，解答法规政策。</w:t>
      </w:r>
    </w:p>
    <w:p>
      <w:pPr>
        <w:keepNext w:val="0"/>
        <w:keepLines w:val="0"/>
        <w:pageBreakBefore w:val="0"/>
        <w:kinsoku/>
        <w:wordWrap/>
        <w:overflowPunct/>
        <w:topLinePunct w:val="0"/>
        <w:autoSpaceDN/>
        <w:bidi w:val="0"/>
        <w:adjustRightInd/>
        <w:snapToGrid/>
        <w:spacing w:line="560" w:lineRule="exact"/>
        <w:ind w:firstLine="630" w:firstLineChars="196"/>
        <w:textAlignment w:val="auto"/>
        <w:rPr>
          <w:rFonts w:ascii="仿宋" w:hAnsi="仿宋" w:eastAsia="仿宋"/>
          <w:bCs/>
          <w:color w:val="auto"/>
          <w:sz w:val="32"/>
          <w:szCs w:val="32"/>
        </w:rPr>
      </w:pPr>
      <w:r>
        <w:rPr>
          <w:rFonts w:hint="eastAsia" w:ascii="楷体_GB2312" w:hAnsi="黑体" w:eastAsia="楷体_GB2312" w:cs="楷体_GB2312"/>
          <w:b/>
          <w:bCs/>
          <w:color w:val="auto"/>
          <w:sz w:val="32"/>
          <w:szCs w:val="32"/>
        </w:rPr>
        <w:t>（</w:t>
      </w:r>
      <w:r>
        <w:rPr>
          <w:rFonts w:hint="eastAsia" w:ascii="楷体_GB2312" w:hAnsi="黑体" w:eastAsia="楷体_GB2312" w:cs="楷体_GB2312"/>
          <w:b/>
          <w:bCs/>
          <w:color w:val="auto"/>
          <w:sz w:val="32"/>
          <w:szCs w:val="32"/>
          <w:lang w:eastAsia="zh-CN"/>
        </w:rPr>
        <w:t>五</w:t>
      </w:r>
      <w:r>
        <w:rPr>
          <w:rFonts w:hint="eastAsia" w:ascii="楷体_GB2312" w:hAnsi="黑体" w:eastAsia="楷体_GB2312" w:cs="楷体_GB2312"/>
          <w:b/>
          <w:bCs/>
          <w:color w:val="auto"/>
          <w:sz w:val="32"/>
          <w:szCs w:val="32"/>
        </w:rPr>
        <w:t>）扎实推进“双随机”监督抽查工作。</w:t>
      </w:r>
      <w:r>
        <w:rPr>
          <w:rFonts w:hint="eastAsia" w:ascii="仿宋_GB2312" w:hAnsi="黑体" w:eastAsia="仿宋_GB2312"/>
          <w:color w:val="auto"/>
          <w:sz w:val="32"/>
          <w:szCs w:val="32"/>
        </w:rPr>
        <w:t>制定《</w:t>
      </w:r>
      <w:r>
        <w:rPr>
          <w:rFonts w:ascii="仿宋_GB2312" w:hAnsi="黑体" w:eastAsia="仿宋_GB2312"/>
          <w:color w:val="auto"/>
          <w:sz w:val="32"/>
          <w:szCs w:val="32"/>
        </w:rPr>
        <w:t>202</w:t>
      </w:r>
      <w:r>
        <w:rPr>
          <w:rFonts w:hint="eastAsia" w:ascii="仿宋_GB2312" w:hAnsi="黑体" w:eastAsia="仿宋_GB2312"/>
          <w:color w:val="auto"/>
          <w:sz w:val="32"/>
          <w:szCs w:val="32"/>
          <w:lang w:val="en-US" w:eastAsia="zh-CN"/>
        </w:rPr>
        <w:t>2</w:t>
      </w:r>
      <w:r>
        <w:rPr>
          <w:rFonts w:hint="eastAsia" w:ascii="仿宋_GB2312" w:hAnsi="黑体" w:eastAsia="仿宋_GB2312"/>
          <w:color w:val="auto"/>
          <w:sz w:val="32"/>
          <w:szCs w:val="32"/>
        </w:rPr>
        <w:t>年“双随机一公开”工作实施方案</w:t>
      </w:r>
      <w:r>
        <w:rPr>
          <w:rFonts w:hint="eastAsia" w:ascii="仿宋_GB2312" w:hAnsi="仿宋_GB2312" w:eastAsia="仿宋_GB2312" w:cs="仿宋_GB2312"/>
          <w:color w:val="auto"/>
          <w:kern w:val="0"/>
          <w:sz w:val="32"/>
          <w:szCs w:val="32"/>
        </w:rPr>
        <w:t>》，举办培训会议，对</w:t>
      </w:r>
      <w:r>
        <w:rPr>
          <w:rFonts w:ascii="仿宋_GB2312" w:hAnsi="仿宋_GB2312" w:eastAsia="仿宋_GB2312" w:cs="仿宋_GB2312"/>
          <w:color w:val="auto"/>
          <w:kern w:val="0"/>
          <w:sz w:val="32"/>
          <w:szCs w:val="32"/>
        </w:rPr>
        <w:t>200</w:t>
      </w:r>
      <w:r>
        <w:rPr>
          <w:rFonts w:hint="eastAsia" w:ascii="仿宋_GB2312" w:hAnsi="仿宋_GB2312" w:eastAsia="仿宋_GB2312" w:cs="仿宋_GB2312"/>
          <w:color w:val="auto"/>
          <w:kern w:val="0"/>
          <w:sz w:val="32"/>
          <w:szCs w:val="32"/>
        </w:rPr>
        <w:t>余人次监督执法人员开展培训。</w:t>
      </w:r>
      <w:r>
        <w:rPr>
          <w:rFonts w:hint="eastAsia" w:ascii="仿宋_GB2312" w:hAnsi="仿宋_GB2312" w:eastAsia="仿宋_GB2312" w:cs="仿宋_GB2312"/>
          <w:bCs/>
          <w:color w:val="auto"/>
          <w:sz w:val="32"/>
          <w:szCs w:val="32"/>
        </w:rPr>
        <w:t>严格按照“项目全覆盖、过程全记录、结果全公开、问题全查处”的“四个全”和</w:t>
      </w:r>
      <w:r>
        <w:rPr>
          <w:rFonts w:hint="eastAsia" w:ascii="仿宋_GB2312" w:hAnsi="仿宋_GB2312" w:eastAsia="仿宋_GB2312" w:cs="仿宋_GB2312"/>
          <w:color w:val="auto"/>
          <w:kern w:val="0"/>
          <w:sz w:val="32"/>
          <w:szCs w:val="32"/>
        </w:rPr>
        <w:t>全市随机抽查“六项机制”</w:t>
      </w:r>
      <w:r>
        <w:rPr>
          <w:rFonts w:hint="eastAsia" w:ascii="仿宋_GB2312" w:hAnsi="仿宋_GB2312" w:eastAsia="仿宋_GB2312" w:cs="仿宋_GB2312"/>
          <w:bCs/>
          <w:color w:val="auto"/>
          <w:sz w:val="32"/>
          <w:szCs w:val="32"/>
        </w:rPr>
        <w:t>工作要求</w:t>
      </w:r>
      <w:r>
        <w:rPr>
          <w:rFonts w:hint="eastAsia" w:ascii="仿宋_GB2312" w:hAnsi="仿宋_GB2312" w:eastAsia="仿宋_GB2312" w:cs="仿宋_GB2312"/>
          <w:color w:val="auto"/>
          <w:kern w:val="0"/>
          <w:sz w:val="32"/>
          <w:szCs w:val="32"/>
        </w:rPr>
        <w:t>，落实完成率在</w:t>
      </w:r>
      <w:r>
        <w:rPr>
          <w:rFonts w:ascii="仿宋_GB2312" w:hAnsi="仿宋_GB2312" w:eastAsia="仿宋_GB2312" w:cs="仿宋_GB2312"/>
          <w:color w:val="auto"/>
          <w:kern w:val="0"/>
          <w:sz w:val="32"/>
          <w:szCs w:val="32"/>
        </w:rPr>
        <w:t>95%</w:t>
      </w:r>
      <w:r>
        <w:rPr>
          <w:rFonts w:hint="eastAsia" w:ascii="仿宋_GB2312" w:hAnsi="仿宋_GB2312" w:eastAsia="仿宋_GB2312" w:cs="仿宋_GB2312"/>
          <w:color w:val="auto"/>
          <w:kern w:val="0"/>
          <w:sz w:val="32"/>
          <w:szCs w:val="32"/>
        </w:rPr>
        <w:t>以上，完结率</w:t>
      </w:r>
      <w:r>
        <w:rPr>
          <w:rFonts w:ascii="仿宋_GB2312" w:hAnsi="仿宋_GB2312" w:eastAsia="仿宋_GB2312" w:cs="仿宋_GB2312"/>
          <w:color w:val="auto"/>
          <w:kern w:val="0"/>
          <w:sz w:val="32"/>
          <w:szCs w:val="32"/>
        </w:rPr>
        <w:t>100%</w:t>
      </w:r>
      <w:r>
        <w:rPr>
          <w:rFonts w:hint="eastAsia" w:ascii="仿宋_GB2312" w:hAnsi="仿宋_GB2312" w:eastAsia="仿宋_GB2312" w:cs="仿宋_GB2312"/>
          <w:color w:val="auto"/>
          <w:kern w:val="0"/>
          <w:sz w:val="32"/>
          <w:szCs w:val="32"/>
        </w:rPr>
        <w:t>，结果公开率</w:t>
      </w:r>
      <w:r>
        <w:rPr>
          <w:rFonts w:ascii="仿宋_GB2312" w:hAnsi="仿宋_GB2312" w:eastAsia="仿宋_GB2312" w:cs="仿宋_GB2312"/>
          <w:color w:val="auto"/>
          <w:kern w:val="0"/>
          <w:sz w:val="32"/>
          <w:szCs w:val="32"/>
        </w:rPr>
        <w:t>100%</w:t>
      </w:r>
      <w:r>
        <w:rPr>
          <w:rFonts w:hint="eastAsia" w:ascii="仿宋_GB2312" w:hAnsi="仿宋_GB2312" w:eastAsia="仿宋_GB2312" w:cs="仿宋_GB2312"/>
          <w:color w:val="auto"/>
          <w:kern w:val="0"/>
          <w:sz w:val="32"/>
          <w:szCs w:val="32"/>
        </w:rPr>
        <w:t>。</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firstLine="640"/>
        <w:textAlignment w:val="auto"/>
        <w:rPr>
          <w:rFonts w:ascii="仿宋_GB2312" w:eastAsia="仿宋_GB2312"/>
          <w:color w:val="auto"/>
          <w:sz w:val="32"/>
          <w:szCs w:val="32"/>
        </w:rPr>
      </w:pPr>
      <w:r>
        <w:rPr>
          <w:rFonts w:hint="eastAsia" w:ascii="楷体_GB2312" w:hAnsi="黑体" w:eastAsia="楷体_GB2312" w:cs="楷体_GB2312"/>
          <w:b/>
          <w:bCs/>
          <w:color w:val="auto"/>
          <w:kern w:val="2"/>
          <w:sz w:val="32"/>
          <w:szCs w:val="32"/>
        </w:rPr>
        <w:t>（</w:t>
      </w:r>
      <w:r>
        <w:rPr>
          <w:rFonts w:hint="eastAsia" w:ascii="楷体_GB2312" w:hAnsi="黑体" w:eastAsia="楷体_GB2312" w:cs="楷体_GB2312"/>
          <w:b/>
          <w:bCs/>
          <w:color w:val="auto"/>
          <w:sz w:val="32"/>
          <w:szCs w:val="32"/>
          <w:lang w:eastAsia="zh-CN"/>
        </w:rPr>
        <w:t>六</w:t>
      </w:r>
      <w:r>
        <w:rPr>
          <w:rFonts w:hint="eastAsia" w:ascii="楷体_GB2312" w:hAnsi="黑体" w:eastAsia="楷体_GB2312" w:cs="楷体_GB2312"/>
          <w:b/>
          <w:bCs/>
          <w:color w:val="auto"/>
          <w:kern w:val="2"/>
          <w:sz w:val="32"/>
          <w:szCs w:val="32"/>
        </w:rPr>
        <w:t>）</w:t>
      </w:r>
      <w:bookmarkStart w:id="0" w:name="_GoBack"/>
      <w:bookmarkEnd w:id="0"/>
      <w:r>
        <w:rPr>
          <w:rFonts w:hint="eastAsia" w:ascii="楷体_GB2312" w:hAnsi="黑体" w:eastAsia="楷体_GB2312" w:cs="楷体_GB2312"/>
          <w:b/>
          <w:bCs/>
          <w:color w:val="auto"/>
          <w:sz w:val="32"/>
          <w:szCs w:val="32"/>
        </w:rPr>
        <w:t>全面推开“法治医院”创建工作。</w:t>
      </w:r>
      <w:r>
        <w:rPr>
          <w:rFonts w:hint="eastAsia" w:ascii="仿宋_GB2312" w:hAnsi="仿宋_GB2312" w:eastAsia="仿宋_GB2312" w:cs="仿宋_GB2312"/>
          <w:color w:val="auto"/>
          <w:sz w:val="32"/>
          <w:szCs w:val="32"/>
          <w:lang w:val="en-US" w:eastAsia="zh-CN"/>
        </w:rPr>
        <w:t>2020年以来，</w:t>
      </w:r>
      <w:r>
        <w:rPr>
          <w:rFonts w:hint="eastAsia" w:ascii="仿宋_GB2312" w:hAnsi="仿宋_GB2312" w:eastAsia="仿宋_GB2312" w:cs="仿宋_GB2312"/>
          <w:color w:val="auto"/>
          <w:sz w:val="32"/>
          <w:szCs w:val="32"/>
          <w:lang w:eastAsia="zh-CN"/>
        </w:rPr>
        <w:t>我委</w:t>
      </w:r>
      <w:r>
        <w:rPr>
          <w:rFonts w:hint="eastAsia" w:ascii="仿宋_GB2312" w:hAnsi="仿宋_GB2312" w:eastAsia="仿宋_GB2312" w:cs="仿宋_GB2312"/>
          <w:color w:val="auto"/>
          <w:sz w:val="32"/>
          <w:szCs w:val="32"/>
        </w:rPr>
        <w:t>扩大法治医院创建覆盖面，要求在全市二级以上公立医院推广应用，法治医院试点建设“六个一标准”被省卫健委高度肯定，</w:t>
      </w:r>
      <w:r>
        <w:rPr>
          <w:rFonts w:hint="eastAsia" w:ascii="仿宋_GB2312" w:eastAsia="仿宋_GB2312"/>
          <w:color w:val="auto"/>
          <w:sz w:val="32"/>
          <w:szCs w:val="32"/>
          <w:lang w:eastAsia="zh-CN"/>
        </w:rPr>
        <w:t>今年我委把法治医院建设纳入到对下属单位季度考核当中</w:t>
      </w:r>
      <w:r>
        <w:rPr>
          <w:rFonts w:hint="eastAsia" w:ascii="仿宋_GB2312" w:hAnsi="仿宋_GB2312" w:eastAsia="仿宋_GB2312" w:cs="仿宋_GB2312"/>
          <w:color w:val="auto"/>
          <w:sz w:val="32"/>
          <w:szCs w:val="32"/>
        </w:rPr>
        <w:t>。“法治医院”创建工作的开展，增强了我市医务人员尊法、学法、守法、用法观念，提高了卫生健康系统干部职工依法执业、依法办事的理念，有效推动现代医院管理的逐步深入，为广大人民群众创造更为干净良好的就医环境，有力推动卫生健康系统法治政府建设工作的深入开展。</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Tahoma" w:eastAsia="黑体" w:cs="仿宋_GB2312"/>
          <w:color w:val="auto"/>
          <w:sz w:val="32"/>
          <w:szCs w:val="32"/>
        </w:rPr>
      </w:pPr>
      <w:r>
        <w:rPr>
          <w:rFonts w:hint="eastAsia" w:ascii="黑体" w:hAnsi="黑体" w:eastAsia="黑体" w:cs="黑体"/>
          <w:b w:val="0"/>
          <w:bCs w:val="0"/>
          <w:color w:val="auto"/>
          <w:kern w:val="2"/>
          <w:sz w:val="32"/>
          <w:szCs w:val="32"/>
          <w:lang w:val="en-US" w:eastAsia="zh-CN" w:bidi="ar-SA"/>
        </w:rPr>
        <w:t>三、</w:t>
      </w:r>
      <w:r>
        <w:rPr>
          <w:rFonts w:hint="eastAsia" w:ascii="黑体" w:hAnsi="Tahoma" w:eastAsia="黑体" w:cs="仿宋_GB2312"/>
          <w:color w:val="auto"/>
          <w:sz w:val="32"/>
          <w:szCs w:val="32"/>
        </w:rPr>
        <w:t>强化</w:t>
      </w:r>
      <w:r>
        <w:rPr>
          <w:rFonts w:hint="eastAsia" w:ascii="黑体" w:hAnsi="Tahoma" w:eastAsia="黑体" w:cs="仿宋_GB2312"/>
          <w:color w:val="auto"/>
          <w:sz w:val="32"/>
          <w:szCs w:val="32"/>
          <w:lang w:eastAsia="zh-CN"/>
        </w:rPr>
        <w:t>科学立法</w:t>
      </w:r>
      <w:r>
        <w:rPr>
          <w:rFonts w:hint="eastAsia" w:ascii="黑体" w:hAnsi="Tahoma" w:eastAsia="黑体" w:cs="仿宋_GB2312"/>
          <w:color w:val="auto"/>
          <w:sz w:val="32"/>
          <w:szCs w:val="32"/>
        </w:rPr>
        <w:t>，确保行政权力规范运行</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仿宋_GB2312" w:hAnsi="Tahoma" w:eastAsia="仿宋_GB2312" w:cs="仿宋_GB2312"/>
          <w:color w:val="auto"/>
          <w:sz w:val="32"/>
          <w:szCs w:val="32"/>
        </w:rPr>
      </w:pPr>
      <w:r>
        <w:rPr>
          <w:rFonts w:hint="eastAsia" w:ascii="楷体_GB2312" w:hAnsi="黑体" w:eastAsia="楷体_GB2312" w:cs="楷体_GB2312"/>
          <w:b/>
          <w:bCs/>
          <w:color w:val="auto"/>
          <w:sz w:val="32"/>
          <w:szCs w:val="32"/>
        </w:rPr>
        <w:t>（一）</w:t>
      </w:r>
      <w:r>
        <w:rPr>
          <w:rFonts w:hint="eastAsia" w:ascii="楷体_GB2312" w:hAnsi="宋体" w:eastAsia="楷体_GB2312"/>
          <w:b/>
          <w:color w:val="auto"/>
          <w:sz w:val="32"/>
          <w:szCs w:val="32"/>
        </w:rPr>
        <w:t>依法依规实施重大行政决策。</w:t>
      </w:r>
      <w:r>
        <w:rPr>
          <w:rFonts w:hint="eastAsia" w:ascii="仿宋_GB2312" w:hAnsi="Tahoma" w:eastAsia="仿宋_GB2312" w:cs="仿宋_GB2312"/>
          <w:color w:val="auto"/>
          <w:sz w:val="32"/>
          <w:szCs w:val="32"/>
        </w:rPr>
        <w:t>我委按照科学、民主、依法决策的原则，进一步完善了卫生健康行政决策机制。在出台涉及人民群众切身利益的卫生健康重大行政决策前，认真征求各有关部门和行政管理相对人的意见，对其合法性、合理性以及可行性进行评估和论证。</w:t>
      </w:r>
      <w:r>
        <w:rPr>
          <w:rFonts w:hint="eastAsia" w:ascii="仿宋_GB2312" w:hAnsi="Tahoma" w:eastAsia="仿宋_GB2312" w:cs="仿宋_GB2312"/>
          <w:color w:val="auto"/>
          <w:sz w:val="32"/>
          <w:szCs w:val="32"/>
          <w:lang w:val="en-US" w:eastAsia="zh-CN"/>
        </w:rPr>
        <w:t>2022年以来我委没有重大行政决策项目</w:t>
      </w:r>
      <w:r>
        <w:rPr>
          <w:rFonts w:hint="eastAsia" w:ascii="仿宋_GB2312" w:hAnsi="Tahoma" w:eastAsia="仿宋_GB2312" w:cs="仿宋_GB2312"/>
          <w:color w:val="auto"/>
          <w:sz w:val="32"/>
          <w:szCs w:val="32"/>
        </w:rPr>
        <w:t>。</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Tahoma" w:eastAsia="仿宋_GB2312" w:cs="仿宋_GB2312"/>
          <w:color w:val="auto"/>
          <w:sz w:val="32"/>
          <w:szCs w:val="32"/>
          <w:lang w:eastAsia="zh-CN"/>
        </w:rPr>
      </w:pPr>
      <w:r>
        <w:rPr>
          <w:rFonts w:hint="eastAsia" w:ascii="楷体_GB2312" w:hAnsi="黑体" w:eastAsia="楷体_GB2312" w:cs="楷体_GB2312"/>
          <w:b/>
          <w:bCs/>
          <w:color w:val="auto"/>
          <w:sz w:val="32"/>
          <w:szCs w:val="32"/>
        </w:rPr>
        <w:t>（二）积极接受人大、政协监督。</w:t>
      </w:r>
      <w:r>
        <w:rPr>
          <w:rFonts w:hint="eastAsia" w:ascii="仿宋_GB2312" w:hAnsi="Tahoma" w:eastAsia="仿宋_GB2312" w:cs="仿宋_GB2312"/>
          <w:color w:val="auto"/>
          <w:sz w:val="32"/>
          <w:szCs w:val="32"/>
        </w:rPr>
        <w:t>2022年市防疫办承办人大代表建议、政协委员提案共6件，其中人大代表建议2件、政协委员提案4件；市卫生健康委承办人大代表建议、政协委员提案共99件，其中人大代表建议29件、政协委员提案70件，建议主要涉及疫情防控、疾病预防、基层服务能力提升、中医药事业发展、医养结合、妇幼健康等方面。我委在承办工作中,认真吸纳代表委员的意见和建议，努力改进工作、补齐短板，助推了卫生健康各项工作水平的提高。</w:t>
      </w:r>
    </w:p>
    <w:p>
      <w:pPr>
        <w:keepNext w:val="0"/>
        <w:keepLines w:val="0"/>
        <w:pageBreakBefore w:val="0"/>
        <w:kinsoku/>
        <w:wordWrap/>
        <w:overflowPunct/>
        <w:topLinePunct w:val="0"/>
        <w:autoSpaceDN/>
        <w:bidi w:val="0"/>
        <w:adjustRightInd/>
        <w:snapToGrid/>
        <w:spacing w:line="560" w:lineRule="exact"/>
        <w:ind w:firstLine="630" w:firstLineChars="196"/>
        <w:jc w:val="left"/>
        <w:textAlignment w:val="auto"/>
        <w:rPr>
          <w:rFonts w:hint="eastAsia" w:ascii="仿宋_GB2312" w:eastAsia="仿宋_GB2312"/>
          <w:sz w:val="32"/>
          <w:szCs w:val="32"/>
        </w:rPr>
      </w:pPr>
      <w:r>
        <w:rPr>
          <w:rFonts w:hint="eastAsia" w:ascii="楷体_GB2312" w:hAnsi="黑体" w:eastAsia="楷体_GB2312" w:cs="楷体_GB2312"/>
          <w:b/>
          <w:bCs/>
          <w:color w:val="auto"/>
          <w:sz w:val="32"/>
          <w:szCs w:val="32"/>
        </w:rPr>
        <w:t>（三）</w:t>
      </w:r>
      <w:r>
        <w:rPr>
          <w:rFonts w:hint="eastAsia" w:ascii="楷体_GB2312" w:hAnsi="黑体" w:eastAsia="楷体_GB2312" w:cs="楷体_GB2312"/>
          <w:b/>
          <w:bCs/>
          <w:color w:val="auto"/>
          <w:sz w:val="32"/>
          <w:szCs w:val="32"/>
          <w:lang w:val="en-US" w:eastAsia="zh-CN"/>
        </w:rPr>
        <w:t>开展规范性文件清理工作。</w:t>
      </w:r>
      <w:r>
        <w:rPr>
          <w:rFonts w:hint="eastAsia" w:ascii="仿宋_GB2312" w:eastAsia="仿宋_GB2312"/>
          <w:sz w:val="32"/>
          <w:szCs w:val="32"/>
          <w:lang w:eastAsia="zh-CN"/>
        </w:rPr>
        <w:t>按照</w:t>
      </w:r>
      <w:r>
        <w:rPr>
          <w:rFonts w:hint="eastAsia" w:ascii="仿宋_GB2312" w:eastAsia="仿宋_GB2312"/>
          <w:sz w:val="32"/>
          <w:szCs w:val="32"/>
        </w:rPr>
        <w:t>《</w:t>
      </w:r>
      <w:r>
        <w:rPr>
          <w:rFonts w:hint="eastAsia" w:ascii="仿宋_GB2312" w:eastAsia="仿宋_GB2312"/>
          <w:sz w:val="32"/>
          <w:szCs w:val="32"/>
          <w:lang w:eastAsia="zh-CN"/>
        </w:rPr>
        <w:t>关于开展规章和行政规范性文件清理工作的通知</w:t>
      </w:r>
      <w:r>
        <w:rPr>
          <w:rFonts w:hint="eastAsia" w:ascii="仿宋_GB2312" w:eastAsia="仿宋_GB2312"/>
          <w:sz w:val="32"/>
          <w:szCs w:val="32"/>
        </w:rPr>
        <w:t>》</w:t>
      </w:r>
      <w:r>
        <w:rPr>
          <w:rFonts w:hint="eastAsia" w:ascii="仿宋_GB2312" w:eastAsia="仿宋_GB2312"/>
          <w:sz w:val="32"/>
          <w:szCs w:val="32"/>
          <w:lang w:eastAsia="zh-CN"/>
        </w:rPr>
        <w:t>要求</w:t>
      </w:r>
      <w:r>
        <w:rPr>
          <w:rFonts w:hint="eastAsia" w:ascii="仿宋_GB2312" w:eastAsia="仿宋_GB2312"/>
          <w:sz w:val="32"/>
          <w:szCs w:val="32"/>
        </w:rPr>
        <w:t>，及时</w:t>
      </w:r>
      <w:r>
        <w:rPr>
          <w:rFonts w:hint="eastAsia" w:ascii="仿宋_GB2312" w:eastAsia="仿宋_GB2312"/>
          <w:sz w:val="32"/>
          <w:szCs w:val="32"/>
          <w:lang w:eastAsia="zh-CN"/>
        </w:rPr>
        <w:t>安排相应科室进行清理，经清理：</w:t>
      </w:r>
      <w:r>
        <w:rPr>
          <w:rFonts w:hint="eastAsia" w:ascii="仿宋_GB2312" w:eastAsia="仿宋_GB2312"/>
          <w:sz w:val="32"/>
          <w:szCs w:val="32"/>
          <w:lang w:val="en-US" w:eastAsia="zh-CN"/>
        </w:rPr>
        <w:t>涉及市政府名义出台行政规范性文件共22件，其中建议保留17件，建议宣告失效1件，建议废止2件，正在修改2件。</w:t>
      </w:r>
      <w:r>
        <w:rPr>
          <w:rFonts w:hint="eastAsia" w:ascii="仿宋_GB2312" w:eastAsia="仿宋_GB2312"/>
          <w:sz w:val="32"/>
          <w:szCs w:val="32"/>
          <w:lang w:eastAsia="zh-CN"/>
        </w:rPr>
        <w:t>委机关出台行政规范性文件</w:t>
      </w:r>
      <w:r>
        <w:rPr>
          <w:rFonts w:hint="eastAsia" w:ascii="仿宋_GB2312" w:eastAsia="仿宋_GB2312"/>
          <w:sz w:val="32"/>
          <w:szCs w:val="32"/>
          <w:lang w:val="en-US" w:eastAsia="zh-CN"/>
        </w:rPr>
        <w:t>1件，建议保留1件</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firstLine="630" w:firstLineChars="196"/>
        <w:jc w:val="left"/>
        <w:textAlignment w:val="auto"/>
        <w:rPr>
          <w:rFonts w:hint="eastAsia" w:ascii="仿宋_GB2312" w:eastAsia="仿宋_GB2312" w:cs="Times New Roman"/>
          <w:sz w:val="32"/>
          <w:szCs w:val="32"/>
          <w:lang w:val="en-US" w:eastAsia="zh-CN"/>
        </w:rPr>
      </w:pPr>
      <w:r>
        <w:rPr>
          <w:rFonts w:hint="eastAsia" w:ascii="楷体_GB2312" w:hAnsi="黑体" w:eastAsia="楷体_GB2312" w:cs="楷体_GB2312"/>
          <w:b/>
          <w:bCs/>
          <w:color w:val="auto"/>
          <w:sz w:val="32"/>
          <w:szCs w:val="32"/>
          <w:lang w:val="en-US" w:eastAsia="zh-CN"/>
        </w:rPr>
        <w:t>（四）制定卫生健康领域轻微违法行为包容清单。</w:t>
      </w:r>
      <w:r>
        <w:rPr>
          <w:rFonts w:hint="default" w:ascii="仿宋_GB2312" w:eastAsia="仿宋_GB2312" w:cs="Times New Roman"/>
          <w:sz w:val="32"/>
          <w:szCs w:val="32"/>
          <w:lang w:val="en-US" w:eastAsia="zh-CN"/>
        </w:rPr>
        <w:t>为进一步优化营商环境，激发市场活力，促进经济持续健康发展，</w:t>
      </w:r>
      <w:r>
        <w:rPr>
          <w:rFonts w:hint="eastAsia" w:ascii="仿宋_GB2312" w:eastAsia="仿宋_GB2312" w:cs="Times New Roman"/>
          <w:sz w:val="32"/>
          <w:szCs w:val="32"/>
          <w:lang w:val="en-US" w:eastAsia="zh-CN"/>
        </w:rPr>
        <w:t>我委制定并发布了邢台市卫生健康领域轻微违法行为包容清单，</w:t>
      </w:r>
      <w:r>
        <w:rPr>
          <w:rFonts w:hint="default" w:ascii="仿宋_GB2312" w:eastAsia="仿宋_GB2312" w:cs="Times New Roman"/>
          <w:sz w:val="32"/>
          <w:szCs w:val="32"/>
          <w:lang w:val="en-US" w:eastAsia="zh-CN"/>
        </w:rPr>
        <w:t>推行包</w:t>
      </w:r>
      <w:r>
        <w:rPr>
          <w:rFonts w:hint="eastAsia" w:ascii="仿宋_GB2312" w:eastAsia="仿宋_GB2312" w:cs="Times New Roman"/>
          <w:sz w:val="32"/>
          <w:szCs w:val="32"/>
          <w:lang w:val="en-US" w:eastAsia="zh-CN"/>
        </w:rPr>
        <w:t>容审慎监管制度，促进严格规范公正文明执法，改善了执法环境。</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四、维护司法权威，积极支持司法机关工作</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楷体_GB2312" w:hAnsi="黑体" w:eastAsia="楷体_GB2312" w:cs="楷体_GB2312"/>
          <w:b/>
          <w:bCs/>
          <w:color w:val="auto"/>
          <w:kern w:val="2"/>
          <w:sz w:val="32"/>
          <w:szCs w:val="32"/>
          <w:lang w:val="en-US" w:eastAsia="zh-CN" w:bidi="ar-SA"/>
        </w:rPr>
      </w:pPr>
      <w:r>
        <w:rPr>
          <w:rFonts w:hint="eastAsia" w:ascii="楷体_GB2312" w:hAnsi="黑体" w:eastAsia="楷体_GB2312" w:cs="楷体_GB2312"/>
          <w:b/>
          <w:bCs/>
          <w:color w:val="auto"/>
          <w:kern w:val="2"/>
          <w:sz w:val="32"/>
          <w:szCs w:val="32"/>
          <w:lang w:val="en-US" w:eastAsia="zh-CN" w:bidi="ar-SA"/>
        </w:rPr>
        <w:t>（一）积极维护司法权威。</w:t>
      </w:r>
      <w:r>
        <w:rPr>
          <w:rFonts w:hint="eastAsia" w:ascii="仿宋_GB2312" w:hAnsi="宋体" w:eastAsia="仿宋_GB2312" w:cs="仿宋_GB2312"/>
          <w:i w:val="0"/>
          <w:caps w:val="0"/>
          <w:color w:val="auto"/>
          <w:spacing w:val="0"/>
          <w:sz w:val="32"/>
          <w:szCs w:val="32"/>
          <w:shd w:val="clear" w:fill="FFFFFF"/>
          <w:lang w:val="en-US" w:eastAsia="zh-CN"/>
        </w:rPr>
        <w:t>我委不存在党政领导班子成员或在职处级以上领导干部干预司法的情形。</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黑体" w:hAnsi="宋体" w:eastAsia="黑体" w:cs="仿宋_GB2312"/>
          <w:color w:val="auto"/>
          <w:sz w:val="32"/>
          <w:szCs w:val="32"/>
          <w:shd w:val="clear" w:color="auto" w:fill="FFFFFF"/>
          <w:lang w:eastAsia="zh-CN"/>
        </w:rPr>
      </w:pPr>
      <w:r>
        <w:rPr>
          <w:rFonts w:hint="eastAsia" w:ascii="楷体_GB2312" w:hAnsi="黑体" w:eastAsia="楷体_GB2312" w:cs="楷体_GB2312"/>
          <w:b/>
          <w:bCs/>
          <w:color w:val="auto"/>
          <w:kern w:val="2"/>
          <w:sz w:val="32"/>
          <w:szCs w:val="32"/>
          <w:lang w:val="en-US" w:eastAsia="zh-CN" w:bidi="ar-SA"/>
        </w:rPr>
        <w:t>（二）积极支持审判机关工作。</w:t>
      </w:r>
      <w:r>
        <w:rPr>
          <w:rFonts w:hint="default" w:ascii="仿宋_GB2312" w:hAnsi="宋体" w:eastAsia="仿宋_GB2312" w:cs="仿宋_GB2312"/>
          <w:i w:val="0"/>
          <w:caps w:val="0"/>
          <w:color w:val="auto"/>
          <w:spacing w:val="0"/>
          <w:sz w:val="32"/>
          <w:szCs w:val="32"/>
          <w:shd w:val="clear" w:fill="FFFFFF"/>
        </w:rPr>
        <w:t>认真贯彻落实</w:t>
      </w:r>
      <w:r>
        <w:rPr>
          <w:rFonts w:hint="eastAsia" w:ascii="仿宋_GB2312" w:hAnsi="宋体" w:eastAsia="仿宋_GB2312" w:cs="仿宋_GB2312"/>
          <w:i w:val="0"/>
          <w:caps w:val="0"/>
          <w:color w:val="auto"/>
          <w:spacing w:val="0"/>
          <w:sz w:val="32"/>
          <w:szCs w:val="32"/>
          <w:shd w:val="clear" w:fill="FFFFFF"/>
        </w:rPr>
        <w:t>《邢台市行政调解工作实施办法》</w:t>
      </w:r>
      <w:r>
        <w:rPr>
          <w:rFonts w:hint="default" w:ascii="仿宋_GB2312" w:hAnsi="宋体" w:eastAsia="仿宋_GB2312" w:cs="仿宋_GB2312"/>
          <w:i w:val="0"/>
          <w:caps w:val="0"/>
          <w:color w:val="auto"/>
          <w:spacing w:val="0"/>
          <w:sz w:val="32"/>
          <w:szCs w:val="32"/>
          <w:shd w:val="clear" w:fill="FFFFFF"/>
        </w:rPr>
        <w:t>，成立了行政调解委员会，明确了组成成员，规范了调解程序，落实了行政机关受理矛盾纠纷首问责任制</w:t>
      </w:r>
      <w:r>
        <w:rPr>
          <w:rFonts w:hint="eastAsia" w:ascii="仿宋_GB2312" w:hAnsi="微软雅黑" w:eastAsia="仿宋_GB2312"/>
          <w:color w:val="auto"/>
          <w:sz w:val="32"/>
          <w:szCs w:val="32"/>
        </w:rPr>
        <w:t>，及时有效化解卫生健康领域的争议纠纷,促进社会和谐稳定</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lang w:val="en-US" w:eastAsia="zh-CN"/>
        </w:rPr>
        <w:t>2022年以来我委不存在需要履行的生效裁判。</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黑体" w:eastAsia="楷体_GB2312" w:cs="楷体_GB2312"/>
          <w:b/>
          <w:bCs/>
          <w:color w:val="auto"/>
          <w:kern w:val="2"/>
          <w:sz w:val="32"/>
          <w:szCs w:val="32"/>
          <w:lang w:val="en-US" w:eastAsia="zh-CN" w:bidi="ar-SA"/>
        </w:rPr>
        <w:t>（三）积极支持检察机关工作。</w:t>
      </w:r>
      <w:r>
        <w:rPr>
          <w:rFonts w:hint="eastAsia" w:ascii="仿宋_GB2312" w:hAnsi="仿宋_GB2312" w:eastAsia="仿宋_GB2312" w:cs="仿宋_GB2312"/>
          <w:color w:val="auto"/>
          <w:kern w:val="2"/>
          <w:sz w:val="32"/>
          <w:szCs w:val="32"/>
          <w:lang w:val="en-US" w:eastAsia="zh-CN" w:bidi="ar-SA"/>
        </w:rPr>
        <w:t>积极与两法衔接平台对接，将卫生健康行政处罚案件录入两法衔接平台。</w:t>
      </w:r>
      <w:r>
        <w:rPr>
          <w:rFonts w:hint="eastAsia" w:ascii="仿宋_GB2312" w:hAnsi="楷体_GB2312" w:eastAsia="仿宋_GB2312"/>
          <w:snapToGrid w:val="0"/>
          <w:color w:val="auto"/>
          <w:spacing w:val="-4"/>
          <w:sz w:val="32"/>
          <w:szCs w:val="32"/>
        </w:rPr>
        <w:t>近年来，我委行政执法未发现需移交司法机关的刑事案件。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宋体" w:eastAsia="黑体" w:cs="仿宋_GB2312"/>
          <w:color w:val="auto"/>
          <w:sz w:val="32"/>
          <w:szCs w:val="32"/>
          <w:shd w:val="clear" w:color="auto" w:fill="FFFFFF"/>
          <w:lang w:val="en-US" w:eastAsia="zh-CN"/>
        </w:rPr>
      </w:pPr>
      <w:r>
        <w:rPr>
          <w:rFonts w:hint="eastAsia" w:ascii="黑体" w:hAnsi="宋体" w:eastAsia="黑体" w:cs="仿宋_GB2312"/>
          <w:color w:val="auto"/>
          <w:sz w:val="32"/>
          <w:szCs w:val="32"/>
          <w:shd w:val="clear" w:color="auto" w:fill="FFFFFF"/>
          <w:lang w:val="en-US" w:eastAsia="zh-CN"/>
        </w:rPr>
        <w:t>五、坚持多措并举，认真落实“谁执法谁普法”和“以案释法”普法责任制</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firstLine="640"/>
        <w:textAlignment w:val="auto"/>
        <w:rPr>
          <w:rFonts w:hint="eastAsia" w:ascii="仿宋_GB2312" w:hAnsi="Tahoma" w:eastAsia="仿宋_GB2312" w:cs="仿宋_GB2312"/>
          <w:sz w:val="32"/>
          <w:szCs w:val="32"/>
          <w:lang w:val="en-US" w:eastAsia="zh-CN"/>
        </w:rPr>
      </w:pPr>
      <w:r>
        <w:rPr>
          <w:rFonts w:hint="eastAsia" w:ascii="仿宋_GB2312" w:hAnsi="仿宋_GB2312" w:eastAsia="仿宋_GB2312" w:cs="仿宋_GB2312"/>
          <w:sz w:val="32"/>
          <w:szCs w:val="32"/>
          <w:lang w:eastAsia="zh-CN"/>
        </w:rPr>
        <w:t>制定出台了</w:t>
      </w:r>
      <w:r>
        <w:rPr>
          <w:rFonts w:hint="eastAsia" w:ascii="仿宋_GB2312" w:hAnsi="仿宋_GB2312" w:eastAsia="仿宋_GB2312" w:cs="仿宋_GB2312"/>
          <w:sz w:val="32"/>
          <w:szCs w:val="32"/>
        </w:rPr>
        <w:t>《邢台市卫生健康系统“谁执法谁普法”普法责任制实施意见》</w:t>
      </w:r>
      <w:r>
        <w:rPr>
          <w:rFonts w:hint="eastAsia" w:ascii="仿宋_GB2312" w:hAnsi="仿宋_GB2312" w:eastAsia="仿宋_GB2312" w:cs="仿宋_GB2312"/>
          <w:sz w:val="32"/>
          <w:szCs w:val="32"/>
          <w:lang w:eastAsia="zh-CN"/>
        </w:rPr>
        <w:t>，成立了</w:t>
      </w:r>
      <w:r>
        <w:rPr>
          <w:rFonts w:hint="eastAsia" w:ascii="仿宋_GB2312" w:hAnsi="仿宋_GB2312" w:eastAsia="仿宋_GB2312" w:cs="仿宋_GB2312"/>
          <w:sz w:val="32"/>
          <w:szCs w:val="32"/>
        </w:rPr>
        <w:t>“谁执法谁普法”的普法工作领导小组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深入开展法治宣传教育，强化卫生健康系统普法工作责任，积极</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法治学习宣传教育常态化。</w:t>
      </w:r>
      <w:r>
        <w:rPr>
          <w:rFonts w:hint="default"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Tahoma" w:eastAsia="仿宋_GB2312" w:cs="仿宋_GB2312"/>
          <w:sz w:val="32"/>
          <w:szCs w:val="32"/>
        </w:rPr>
        <w:t>初，结合省、市法治建设工作要点，制定印发了《</w:t>
      </w:r>
      <w:r>
        <w:rPr>
          <w:rFonts w:hint="eastAsia" w:ascii="仿宋_GB2312" w:hAnsi="Tahoma" w:eastAsia="仿宋_GB2312" w:cs="仿宋_GB2312"/>
          <w:sz w:val="32"/>
          <w:szCs w:val="32"/>
          <w:lang w:val="en-US" w:eastAsia="zh-CN"/>
        </w:rPr>
        <w:t>2022年邢台市卫生健康法治宣传和依法治理工作要点</w:t>
      </w:r>
      <w:r>
        <w:rPr>
          <w:rFonts w:hint="eastAsia" w:ascii="仿宋_GB2312" w:hAnsi="Tahoma" w:eastAsia="仿宋_GB2312" w:cs="仿宋_GB2312"/>
          <w:sz w:val="32"/>
          <w:szCs w:val="32"/>
        </w:rPr>
        <w:t>》，着力提高全系统法治思维、宪法意识，加强宪法和有关法律法规的学习宣传，落实法治学习宣传教育常态化。</w:t>
      </w:r>
      <w:r>
        <w:rPr>
          <w:rFonts w:hint="eastAsia" w:ascii="仿宋_GB2312" w:hAnsi="Tahoma" w:eastAsia="仿宋_GB2312" w:cs="仿宋_GB2312"/>
          <w:sz w:val="32"/>
          <w:szCs w:val="32"/>
          <w:lang w:val="en-US" w:eastAsia="zh-CN"/>
        </w:rPr>
        <w:t>6</w:t>
      </w:r>
      <w:r>
        <w:rPr>
          <w:rFonts w:hint="eastAsia" w:ascii="仿宋_GB2312" w:hAnsi="Tahoma" w:eastAsia="仿宋_GB2312" w:cs="仿宋_GB2312"/>
          <w:sz w:val="32"/>
          <w:szCs w:val="32"/>
        </w:rPr>
        <w:t>月</w:t>
      </w:r>
      <w:r>
        <w:rPr>
          <w:rFonts w:hint="eastAsia" w:ascii="仿宋_GB2312" w:hAnsi="Tahoma" w:eastAsia="仿宋_GB2312" w:cs="仿宋_GB2312"/>
          <w:sz w:val="32"/>
          <w:szCs w:val="32"/>
          <w:lang w:val="en-US" w:eastAsia="zh-CN"/>
        </w:rPr>
        <w:t>13</w:t>
      </w:r>
      <w:r>
        <w:rPr>
          <w:rFonts w:hint="eastAsia" w:ascii="仿宋_GB2312" w:hAnsi="Tahoma" w:eastAsia="仿宋_GB2312" w:cs="仿宋_GB2312"/>
          <w:sz w:val="32"/>
          <w:szCs w:val="32"/>
        </w:rPr>
        <w:t>日邀请委法律顾问齐心律所</w:t>
      </w:r>
      <w:r>
        <w:rPr>
          <w:rFonts w:hint="eastAsia" w:ascii="仿宋_GB2312" w:hAnsi="Tahoma" w:eastAsia="仿宋_GB2312" w:cs="仿宋_GB2312"/>
          <w:sz w:val="32"/>
          <w:szCs w:val="32"/>
          <w:lang w:eastAsia="zh-CN"/>
        </w:rPr>
        <w:t>乔丽君</w:t>
      </w:r>
      <w:r>
        <w:rPr>
          <w:rFonts w:hint="eastAsia" w:ascii="仿宋_GB2312" w:hAnsi="Tahoma" w:eastAsia="仿宋_GB2312" w:cs="仿宋_GB2312"/>
          <w:sz w:val="32"/>
          <w:szCs w:val="32"/>
        </w:rPr>
        <w:t>律师</w:t>
      </w:r>
      <w:r>
        <w:rPr>
          <w:rFonts w:hint="eastAsia" w:ascii="仿宋_GB2312" w:hAnsi="Tahoma" w:eastAsia="仿宋_GB2312" w:cs="仿宋_GB2312"/>
          <w:sz w:val="32"/>
          <w:szCs w:val="32"/>
          <w:lang w:eastAsia="zh-CN"/>
        </w:rPr>
        <w:t>对新修订《行政处罚法》进行解读</w:t>
      </w:r>
      <w:r>
        <w:rPr>
          <w:rFonts w:hint="eastAsia" w:ascii="仿宋_GB2312" w:hAnsi="Tahoma" w:eastAsia="仿宋_GB2312" w:cs="仿宋_GB2312"/>
          <w:sz w:val="32"/>
          <w:szCs w:val="32"/>
          <w:lang w:val="en-US" w:eastAsia="zh-CN"/>
        </w:rPr>
        <w:t>。</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firstLine="640"/>
        <w:textAlignment w:val="auto"/>
        <w:rPr>
          <w:rFonts w:hint="eastAsia" w:ascii="仿宋_GB2312" w:hAnsi="Tahoma" w:eastAsia="仿宋_GB2312" w:cs="仿宋_GB2312"/>
          <w:sz w:val="32"/>
          <w:szCs w:val="32"/>
          <w:lang w:val="en-US" w:eastAsia="zh-CN"/>
        </w:rPr>
      </w:pPr>
      <w:r>
        <w:rPr>
          <w:rFonts w:hint="eastAsia" w:ascii="仿宋_GB2312" w:hAnsi="Tahoma" w:eastAsia="仿宋_GB2312" w:cs="仿宋_GB2312"/>
          <w:color w:val="auto"/>
          <w:sz w:val="32"/>
          <w:szCs w:val="32"/>
          <w:lang w:eastAsia="zh-CN"/>
        </w:rPr>
        <w:t>开展“以案释法”案卷评查，制定</w:t>
      </w:r>
      <w:r>
        <w:rPr>
          <w:rFonts w:hint="eastAsia" w:ascii="仿宋_GB2312" w:eastAsia="仿宋_GB2312"/>
          <w:color w:val="auto"/>
          <w:sz w:val="32"/>
          <w:szCs w:val="32"/>
        </w:rPr>
        <w:t>《关于开展</w:t>
      </w:r>
      <w:r>
        <w:rPr>
          <w:rFonts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年全市卫生健康行政处罚案卷质量评查工作的通知》，开展了案卷评查活动，</w:t>
      </w:r>
      <w:r>
        <w:rPr>
          <w:rFonts w:hint="eastAsia" w:ascii="仿宋_GB2312" w:hAnsi="仿宋_GB2312" w:eastAsia="仿宋_GB2312" w:cs="仿宋_GB2312"/>
          <w:color w:val="auto"/>
          <w:kern w:val="0"/>
          <w:sz w:val="32"/>
          <w:szCs w:val="32"/>
        </w:rPr>
        <w:t>进一步规范卫生监督执法行为，</w:t>
      </w:r>
      <w:r>
        <w:rPr>
          <w:rFonts w:hint="eastAsia" w:ascii="仿宋_GB2312" w:eastAsia="仿宋_GB2312"/>
          <w:color w:val="auto"/>
          <w:sz w:val="32"/>
          <w:szCs w:val="32"/>
        </w:rPr>
        <w:t>提升全市卫生健康系统行政执法工作水平。</w:t>
      </w:r>
      <w:r>
        <w:rPr>
          <w:rFonts w:hint="eastAsia" w:ascii="仿宋_GB2312" w:eastAsia="仿宋_GB2312"/>
          <w:color w:val="auto"/>
          <w:sz w:val="32"/>
          <w:szCs w:val="32"/>
          <w:lang w:eastAsia="zh-CN"/>
        </w:rPr>
        <w:t>同时，执法人员利用执法过程，结合具体案例，积极对行政相对人讲解卫生健康法律知识，</w:t>
      </w:r>
      <w:r>
        <w:rPr>
          <w:rFonts w:hint="eastAsia" w:ascii="仿宋_GB2312" w:hAnsi="Tahoma" w:eastAsia="仿宋_GB2312" w:cs="仿宋_GB2312"/>
          <w:color w:val="auto"/>
          <w:sz w:val="32"/>
          <w:szCs w:val="32"/>
          <w:lang w:eastAsia="zh-CN"/>
        </w:rPr>
        <w:t>以案释法</w:t>
      </w:r>
      <w:r>
        <w:rPr>
          <w:rFonts w:hint="eastAsia" w:ascii="仿宋_GB2312" w:eastAsia="仿宋_GB2312"/>
          <w:color w:val="auto"/>
          <w:sz w:val="32"/>
          <w:szCs w:val="32"/>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right="0" w:firstLine="640" w:firstLineChars="200"/>
        <w:jc w:val="left"/>
        <w:textAlignment w:val="auto"/>
      </w:pPr>
      <w:r>
        <w:rPr>
          <w:rFonts w:hint="eastAsia" w:ascii="黑体" w:hAnsi="宋体" w:eastAsia="黑体" w:cs="黑体"/>
          <w:color w:val="333333"/>
          <w:kern w:val="2"/>
          <w:sz w:val="32"/>
          <w:szCs w:val="32"/>
          <w:shd w:val="clear" w:fill="FFFFFF"/>
          <w:lang w:val="en-US" w:eastAsia="zh-CN" w:bidi="ar"/>
        </w:rPr>
        <w:t>六、存在问题及下一步工作</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仿宋_GB2312" w:hAnsi="Tahoma" w:eastAsia="仿宋_GB2312" w:cs="仿宋_GB2312"/>
          <w:color w:val="auto"/>
          <w:sz w:val="32"/>
          <w:szCs w:val="32"/>
        </w:rPr>
      </w:pPr>
      <w:r>
        <w:rPr>
          <w:rFonts w:hint="eastAsia" w:ascii="仿宋_GB2312" w:hAnsi="Tahoma" w:eastAsia="仿宋_GB2312" w:cs="仿宋_GB2312"/>
          <w:color w:val="auto"/>
          <w:sz w:val="32"/>
          <w:szCs w:val="32"/>
        </w:rPr>
        <w:t>尽管我委的法治</w:t>
      </w:r>
      <w:r>
        <w:rPr>
          <w:rFonts w:hint="eastAsia" w:ascii="仿宋_GB2312" w:hAnsi="Tahoma" w:eastAsia="仿宋_GB2312" w:cs="仿宋_GB2312"/>
          <w:color w:val="auto"/>
          <w:sz w:val="32"/>
          <w:szCs w:val="32"/>
          <w:lang w:eastAsia="zh-CN"/>
        </w:rPr>
        <w:t>政府</w:t>
      </w:r>
      <w:r>
        <w:rPr>
          <w:rFonts w:hint="eastAsia" w:ascii="仿宋_GB2312" w:hAnsi="Tahoma" w:eastAsia="仿宋_GB2312" w:cs="仿宋_GB2312"/>
          <w:color w:val="auto"/>
          <w:sz w:val="32"/>
          <w:szCs w:val="32"/>
        </w:rPr>
        <w:t>建设工作取得了一些成绩，但与法治政府建设的目标相比，还存在</w:t>
      </w:r>
      <w:r>
        <w:rPr>
          <w:rFonts w:hint="eastAsia" w:ascii="仿宋_GB2312" w:hAnsi="Tahoma" w:eastAsia="仿宋_GB2312" w:cs="仿宋_GB2312"/>
          <w:color w:val="auto"/>
          <w:sz w:val="32"/>
          <w:szCs w:val="32"/>
          <w:lang w:eastAsia="zh-CN"/>
        </w:rPr>
        <w:t>一些问题</w:t>
      </w:r>
      <w:r>
        <w:rPr>
          <w:rFonts w:hint="eastAsia" w:ascii="仿宋_GB2312" w:hAnsi="Tahoma" w:eastAsia="仿宋_GB2312" w:cs="仿宋_GB2312"/>
          <w:color w:val="auto"/>
          <w:sz w:val="32"/>
          <w:szCs w:val="32"/>
        </w:rPr>
        <w:t>。</w:t>
      </w:r>
      <w:r>
        <w:rPr>
          <w:rFonts w:ascii="仿宋_GB2312" w:hAnsi="Tahoma" w:eastAsia="仿宋_GB2312" w:cs="仿宋_GB2312"/>
          <w:color w:val="auto"/>
          <w:sz w:val="32"/>
          <w:szCs w:val="32"/>
        </w:rPr>
        <w:t>202</w:t>
      </w:r>
      <w:r>
        <w:rPr>
          <w:rFonts w:hint="eastAsia" w:ascii="仿宋_GB2312" w:hAnsi="Tahoma" w:eastAsia="仿宋_GB2312" w:cs="仿宋_GB2312"/>
          <w:color w:val="auto"/>
          <w:sz w:val="32"/>
          <w:szCs w:val="32"/>
          <w:lang w:val="en-US" w:eastAsia="zh-CN"/>
        </w:rPr>
        <w:t>3</w:t>
      </w:r>
      <w:r>
        <w:rPr>
          <w:rFonts w:hint="eastAsia" w:ascii="仿宋_GB2312" w:hAnsi="Tahoma" w:eastAsia="仿宋_GB2312" w:cs="仿宋_GB2312"/>
          <w:color w:val="auto"/>
          <w:sz w:val="32"/>
          <w:szCs w:val="32"/>
        </w:rPr>
        <w:t>年我委将以完善医疗卫生综合监管制度为核心，提升卫生执法能力为基础，以法治宣传为抓手，</w:t>
      </w:r>
      <w:r>
        <w:rPr>
          <w:rFonts w:hint="eastAsia" w:ascii="仿宋_GB2312" w:hAnsi="Tahoma" w:eastAsia="仿宋_GB2312" w:cs="仿宋_GB2312"/>
          <w:color w:val="auto"/>
          <w:sz w:val="32"/>
          <w:szCs w:val="32"/>
          <w:lang w:eastAsia="zh-CN"/>
        </w:rPr>
        <w:t>持续优化营商环境，</w:t>
      </w:r>
      <w:r>
        <w:rPr>
          <w:rFonts w:hint="eastAsia" w:ascii="仿宋_GB2312" w:hAnsi="Tahoma" w:eastAsia="仿宋_GB2312" w:cs="仿宋_GB2312"/>
          <w:color w:val="auto"/>
          <w:sz w:val="32"/>
          <w:szCs w:val="32"/>
        </w:rPr>
        <w:t>整体推进卫生健康系统法治政府建设。以法治思维规范行政行为，以法治方式妥善处置医疗纠纷，引导建立良性的医患关系，持续改善医疗环境，持续推进健康</w:t>
      </w:r>
      <w:r>
        <w:rPr>
          <w:rFonts w:hint="eastAsia" w:ascii="仿宋_GB2312" w:hAnsi="Tahoma" w:eastAsia="仿宋_GB2312" w:cs="仿宋_GB2312"/>
          <w:color w:val="auto"/>
          <w:sz w:val="32"/>
          <w:szCs w:val="32"/>
          <w:lang w:eastAsia="zh-CN"/>
        </w:rPr>
        <w:t>邢台</w:t>
      </w:r>
      <w:r>
        <w:rPr>
          <w:rFonts w:hint="eastAsia" w:ascii="仿宋_GB2312" w:hAnsi="Tahoma" w:eastAsia="仿宋_GB2312" w:cs="仿宋_GB2312"/>
          <w:color w:val="auto"/>
          <w:sz w:val="32"/>
          <w:szCs w:val="32"/>
        </w:rPr>
        <w:t>建设。</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ascii="仿宋_GB2312" w:hAnsi="Tahoma" w:eastAsia="仿宋_GB2312" w:cs="仿宋_GB2312"/>
          <w:color w:val="auto"/>
          <w:kern w:val="0"/>
          <w:sz w:val="32"/>
          <w:szCs w:val="32"/>
        </w:rPr>
      </w:pP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ascii="仿宋_GB2312" w:hAnsi="Tahoma" w:eastAsia="仿宋_GB2312" w:cs="仿宋_GB2312"/>
          <w:color w:val="auto"/>
          <w:kern w:val="0"/>
          <w:sz w:val="32"/>
          <w:szCs w:val="32"/>
        </w:rPr>
      </w:pPr>
    </w:p>
    <w:p>
      <w:pPr>
        <w:keepNext w:val="0"/>
        <w:keepLines w:val="0"/>
        <w:pageBreakBefore w:val="0"/>
        <w:widowControl/>
        <w:kinsoku/>
        <w:wordWrap/>
        <w:overflowPunct/>
        <w:topLinePunct w:val="0"/>
        <w:autoSpaceDN/>
        <w:bidi w:val="0"/>
        <w:adjustRightInd/>
        <w:snapToGrid/>
        <w:spacing w:line="560" w:lineRule="exact"/>
        <w:ind w:firstLine="4800" w:firstLineChars="1500"/>
        <w:jc w:val="left"/>
        <w:textAlignment w:val="auto"/>
        <w:rPr>
          <w:rFonts w:ascii="仿宋_GB2312" w:hAnsi="Tahoma" w:eastAsia="仿宋_GB2312" w:cs="仿宋_GB2312"/>
          <w:color w:val="auto"/>
          <w:kern w:val="0"/>
          <w:sz w:val="32"/>
          <w:szCs w:val="32"/>
        </w:rPr>
      </w:pPr>
      <w:r>
        <w:rPr>
          <w:rFonts w:hint="eastAsia" w:ascii="仿宋_GB2312" w:hAnsi="Tahoma" w:eastAsia="仿宋_GB2312" w:cs="仿宋_GB2312"/>
          <w:color w:val="auto"/>
          <w:kern w:val="0"/>
          <w:sz w:val="32"/>
          <w:szCs w:val="32"/>
        </w:rPr>
        <w:t>邢台市卫生健康委</w:t>
      </w:r>
    </w:p>
    <w:p>
      <w:pPr>
        <w:keepNext w:val="0"/>
        <w:keepLines w:val="0"/>
        <w:pageBreakBefore w:val="0"/>
        <w:widowControl/>
        <w:kinsoku/>
        <w:wordWrap/>
        <w:overflowPunct/>
        <w:topLinePunct w:val="0"/>
        <w:autoSpaceDN/>
        <w:bidi w:val="0"/>
        <w:adjustRightInd/>
        <w:snapToGrid/>
        <w:spacing w:line="560" w:lineRule="exact"/>
        <w:ind w:right="640" w:firstLine="640" w:firstLineChars="200"/>
        <w:jc w:val="center"/>
        <w:textAlignment w:val="auto"/>
        <w:rPr>
          <w:rFonts w:hint="eastAsia" w:ascii="仿宋_GB2312" w:hAnsi="Tahoma" w:eastAsia="仿宋_GB2312" w:cs="仿宋_GB2312"/>
          <w:color w:val="auto"/>
          <w:kern w:val="0"/>
          <w:sz w:val="32"/>
          <w:szCs w:val="32"/>
        </w:rPr>
      </w:pPr>
      <w:r>
        <w:rPr>
          <w:rFonts w:hint="eastAsia" w:ascii="仿宋_GB2312" w:hAnsi="Tahoma" w:eastAsia="仿宋_GB2312" w:cs="仿宋_GB2312"/>
          <w:color w:val="auto"/>
          <w:kern w:val="0"/>
          <w:sz w:val="32"/>
          <w:szCs w:val="32"/>
        </w:rPr>
        <w:t xml:space="preserve">                    202</w:t>
      </w:r>
      <w:r>
        <w:rPr>
          <w:rFonts w:hint="eastAsia" w:ascii="仿宋_GB2312" w:hAnsi="Tahoma" w:eastAsia="仿宋_GB2312" w:cs="仿宋_GB2312"/>
          <w:color w:val="auto"/>
          <w:kern w:val="0"/>
          <w:sz w:val="32"/>
          <w:szCs w:val="32"/>
          <w:lang w:val="en-US" w:eastAsia="zh-CN"/>
        </w:rPr>
        <w:t>2</w:t>
      </w:r>
      <w:r>
        <w:rPr>
          <w:rFonts w:hint="eastAsia" w:ascii="仿宋_GB2312" w:hAnsi="Tahoma" w:eastAsia="仿宋_GB2312" w:cs="仿宋_GB2312"/>
          <w:color w:val="auto"/>
          <w:kern w:val="0"/>
          <w:sz w:val="32"/>
          <w:szCs w:val="32"/>
        </w:rPr>
        <w:t>年</w:t>
      </w:r>
      <w:r>
        <w:rPr>
          <w:rFonts w:hint="eastAsia" w:ascii="仿宋_GB2312" w:hAnsi="Tahoma" w:eastAsia="仿宋_GB2312" w:cs="仿宋_GB2312"/>
          <w:color w:val="auto"/>
          <w:kern w:val="0"/>
          <w:sz w:val="32"/>
          <w:szCs w:val="32"/>
          <w:lang w:val="en-US" w:eastAsia="zh-CN"/>
        </w:rPr>
        <w:t>11</w:t>
      </w:r>
      <w:r>
        <w:rPr>
          <w:rFonts w:hint="eastAsia" w:ascii="仿宋_GB2312" w:hAnsi="Tahoma" w:eastAsia="仿宋_GB2312" w:cs="仿宋_GB2312"/>
          <w:color w:val="auto"/>
          <w:kern w:val="0"/>
          <w:sz w:val="32"/>
          <w:szCs w:val="32"/>
        </w:rPr>
        <w:t>月</w:t>
      </w:r>
      <w:r>
        <w:rPr>
          <w:rFonts w:hint="eastAsia" w:ascii="仿宋_GB2312" w:hAnsi="Tahoma" w:eastAsia="仿宋_GB2312" w:cs="仿宋_GB2312"/>
          <w:color w:val="auto"/>
          <w:kern w:val="0"/>
          <w:sz w:val="32"/>
          <w:szCs w:val="32"/>
          <w:lang w:val="en-US" w:eastAsia="zh-CN"/>
        </w:rPr>
        <w:t>22</w:t>
      </w:r>
      <w:r>
        <w:rPr>
          <w:rFonts w:hint="eastAsia" w:ascii="仿宋_GB2312" w:hAnsi="Tahoma" w:eastAsia="仿宋_GB2312" w:cs="仿宋_GB2312"/>
          <w:color w:val="auto"/>
          <w:kern w:val="0"/>
          <w:sz w:val="32"/>
          <w:szCs w:val="32"/>
        </w:rPr>
        <w:t>日</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ascii="仿宋_GB2312" w:hAnsi="Tahoma" w:eastAsia="仿宋_GB2312" w:cs="仿宋_GB2312"/>
          <w:color w:val="auto"/>
          <w:sz w:val="32"/>
          <w:szCs w:val="32"/>
        </w:rPr>
      </w:pPr>
    </w:p>
    <w:sectPr>
      <w:footerReference r:id="rId3" w:type="default"/>
      <w:pgSz w:w="11906" w:h="16838"/>
      <w:pgMar w:top="2268" w:right="1531" w:bottom="1701" w:left="1531" w:header="851" w:footer="992" w:gutter="0"/>
      <w:cols w:space="0" w:num="1"/>
      <w:docGrid w:type="lines" w:linePitch="2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44"/>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DB"/>
    <w:rsid w:val="0000534B"/>
    <w:rsid w:val="00006ADE"/>
    <w:rsid w:val="00045D14"/>
    <w:rsid w:val="00054129"/>
    <w:rsid w:val="000677CE"/>
    <w:rsid w:val="00082BBA"/>
    <w:rsid w:val="000C2F33"/>
    <w:rsid w:val="000C703A"/>
    <w:rsid w:val="00113507"/>
    <w:rsid w:val="001361ED"/>
    <w:rsid w:val="00157957"/>
    <w:rsid w:val="001617C7"/>
    <w:rsid w:val="00163F9B"/>
    <w:rsid w:val="00166389"/>
    <w:rsid w:val="001671B2"/>
    <w:rsid w:val="00182931"/>
    <w:rsid w:val="0018447E"/>
    <w:rsid w:val="00195FB5"/>
    <w:rsid w:val="00196EFF"/>
    <w:rsid w:val="00196F35"/>
    <w:rsid w:val="001A0E11"/>
    <w:rsid w:val="001A4F86"/>
    <w:rsid w:val="001D623A"/>
    <w:rsid w:val="001D6DCC"/>
    <w:rsid w:val="001E0C7D"/>
    <w:rsid w:val="001E1B14"/>
    <w:rsid w:val="001F0B28"/>
    <w:rsid w:val="001F320E"/>
    <w:rsid w:val="00222526"/>
    <w:rsid w:val="002417D2"/>
    <w:rsid w:val="00244D08"/>
    <w:rsid w:val="0025528D"/>
    <w:rsid w:val="00261272"/>
    <w:rsid w:val="002669BB"/>
    <w:rsid w:val="00272D13"/>
    <w:rsid w:val="00276904"/>
    <w:rsid w:val="002857BB"/>
    <w:rsid w:val="002D0CEA"/>
    <w:rsid w:val="002D2FCB"/>
    <w:rsid w:val="002D45BD"/>
    <w:rsid w:val="002E37E4"/>
    <w:rsid w:val="00305D28"/>
    <w:rsid w:val="003077D2"/>
    <w:rsid w:val="0034140A"/>
    <w:rsid w:val="00342AAC"/>
    <w:rsid w:val="00367983"/>
    <w:rsid w:val="00373DFB"/>
    <w:rsid w:val="00384ED7"/>
    <w:rsid w:val="0038692E"/>
    <w:rsid w:val="003A3D47"/>
    <w:rsid w:val="003B4B58"/>
    <w:rsid w:val="003C1731"/>
    <w:rsid w:val="003D6364"/>
    <w:rsid w:val="003F2B55"/>
    <w:rsid w:val="003F5690"/>
    <w:rsid w:val="00416912"/>
    <w:rsid w:val="004201D4"/>
    <w:rsid w:val="004227CF"/>
    <w:rsid w:val="00445FC0"/>
    <w:rsid w:val="00450BB7"/>
    <w:rsid w:val="00460DB6"/>
    <w:rsid w:val="00463918"/>
    <w:rsid w:val="00473D7C"/>
    <w:rsid w:val="00483D80"/>
    <w:rsid w:val="00484410"/>
    <w:rsid w:val="0049411B"/>
    <w:rsid w:val="00496EE2"/>
    <w:rsid w:val="0049724D"/>
    <w:rsid w:val="004A348D"/>
    <w:rsid w:val="004A5B21"/>
    <w:rsid w:val="004A61B9"/>
    <w:rsid w:val="004B6DFD"/>
    <w:rsid w:val="004C0DBC"/>
    <w:rsid w:val="004C3ABB"/>
    <w:rsid w:val="004C4346"/>
    <w:rsid w:val="004C55EB"/>
    <w:rsid w:val="004D05F6"/>
    <w:rsid w:val="004D19B7"/>
    <w:rsid w:val="004F2955"/>
    <w:rsid w:val="004F3184"/>
    <w:rsid w:val="004F3EBC"/>
    <w:rsid w:val="00506513"/>
    <w:rsid w:val="00514E42"/>
    <w:rsid w:val="00521CF3"/>
    <w:rsid w:val="00554F3F"/>
    <w:rsid w:val="00567653"/>
    <w:rsid w:val="0057091E"/>
    <w:rsid w:val="00575ED8"/>
    <w:rsid w:val="005766F8"/>
    <w:rsid w:val="00593B13"/>
    <w:rsid w:val="005978F8"/>
    <w:rsid w:val="005A0396"/>
    <w:rsid w:val="005C1E2B"/>
    <w:rsid w:val="005C4B74"/>
    <w:rsid w:val="005C7171"/>
    <w:rsid w:val="005E739A"/>
    <w:rsid w:val="005F0931"/>
    <w:rsid w:val="0060244C"/>
    <w:rsid w:val="00616AA9"/>
    <w:rsid w:val="006217A7"/>
    <w:rsid w:val="0062203C"/>
    <w:rsid w:val="00625D2F"/>
    <w:rsid w:val="0063128A"/>
    <w:rsid w:val="0063472E"/>
    <w:rsid w:val="00646577"/>
    <w:rsid w:val="00650A32"/>
    <w:rsid w:val="0065127F"/>
    <w:rsid w:val="00661431"/>
    <w:rsid w:val="00672A4B"/>
    <w:rsid w:val="00682ADF"/>
    <w:rsid w:val="006A3B9B"/>
    <w:rsid w:val="006B25DF"/>
    <w:rsid w:val="006E0282"/>
    <w:rsid w:val="00730A55"/>
    <w:rsid w:val="00747A08"/>
    <w:rsid w:val="0075590C"/>
    <w:rsid w:val="00761F6F"/>
    <w:rsid w:val="007830C9"/>
    <w:rsid w:val="007839CA"/>
    <w:rsid w:val="007A56DF"/>
    <w:rsid w:val="007D29AD"/>
    <w:rsid w:val="007D29F7"/>
    <w:rsid w:val="007D518D"/>
    <w:rsid w:val="007D6700"/>
    <w:rsid w:val="007D709B"/>
    <w:rsid w:val="007F0DD4"/>
    <w:rsid w:val="0082629B"/>
    <w:rsid w:val="00852B18"/>
    <w:rsid w:val="00860B3E"/>
    <w:rsid w:val="0086138F"/>
    <w:rsid w:val="00877A22"/>
    <w:rsid w:val="008A4105"/>
    <w:rsid w:val="008A58C2"/>
    <w:rsid w:val="008A7FBD"/>
    <w:rsid w:val="008D0E88"/>
    <w:rsid w:val="008D469A"/>
    <w:rsid w:val="008D796E"/>
    <w:rsid w:val="008E10A5"/>
    <w:rsid w:val="008E7530"/>
    <w:rsid w:val="008F0604"/>
    <w:rsid w:val="008F3743"/>
    <w:rsid w:val="00913B31"/>
    <w:rsid w:val="00915A1B"/>
    <w:rsid w:val="00917C45"/>
    <w:rsid w:val="009221CF"/>
    <w:rsid w:val="00982F40"/>
    <w:rsid w:val="00991428"/>
    <w:rsid w:val="0099278B"/>
    <w:rsid w:val="009946C9"/>
    <w:rsid w:val="009B5348"/>
    <w:rsid w:val="009B7269"/>
    <w:rsid w:val="009C3449"/>
    <w:rsid w:val="009C6C44"/>
    <w:rsid w:val="009D72D5"/>
    <w:rsid w:val="009D7D02"/>
    <w:rsid w:val="00A04757"/>
    <w:rsid w:val="00A1168A"/>
    <w:rsid w:val="00A11866"/>
    <w:rsid w:val="00A4629E"/>
    <w:rsid w:val="00A7508E"/>
    <w:rsid w:val="00AB22F8"/>
    <w:rsid w:val="00AB7B04"/>
    <w:rsid w:val="00AE2925"/>
    <w:rsid w:val="00AE334B"/>
    <w:rsid w:val="00AE347B"/>
    <w:rsid w:val="00AE54D8"/>
    <w:rsid w:val="00AF34FC"/>
    <w:rsid w:val="00B13B42"/>
    <w:rsid w:val="00B17064"/>
    <w:rsid w:val="00B200D6"/>
    <w:rsid w:val="00B32A5A"/>
    <w:rsid w:val="00B409AE"/>
    <w:rsid w:val="00B411CB"/>
    <w:rsid w:val="00B43135"/>
    <w:rsid w:val="00B62601"/>
    <w:rsid w:val="00B64019"/>
    <w:rsid w:val="00B93E54"/>
    <w:rsid w:val="00B94806"/>
    <w:rsid w:val="00BB17FE"/>
    <w:rsid w:val="00BB2D7E"/>
    <w:rsid w:val="00BB3D56"/>
    <w:rsid w:val="00BB62E2"/>
    <w:rsid w:val="00BB7A41"/>
    <w:rsid w:val="00BD6617"/>
    <w:rsid w:val="00BD6B53"/>
    <w:rsid w:val="00BF5591"/>
    <w:rsid w:val="00C37E4E"/>
    <w:rsid w:val="00C43B64"/>
    <w:rsid w:val="00C60A49"/>
    <w:rsid w:val="00C634B6"/>
    <w:rsid w:val="00C821A3"/>
    <w:rsid w:val="00C966C9"/>
    <w:rsid w:val="00C96A33"/>
    <w:rsid w:val="00CC5372"/>
    <w:rsid w:val="00CD4F19"/>
    <w:rsid w:val="00CE055C"/>
    <w:rsid w:val="00CE210C"/>
    <w:rsid w:val="00CF19B9"/>
    <w:rsid w:val="00D053F5"/>
    <w:rsid w:val="00D066EC"/>
    <w:rsid w:val="00D142E9"/>
    <w:rsid w:val="00D2444C"/>
    <w:rsid w:val="00D27C24"/>
    <w:rsid w:val="00D31617"/>
    <w:rsid w:val="00D35746"/>
    <w:rsid w:val="00D4527C"/>
    <w:rsid w:val="00D54703"/>
    <w:rsid w:val="00D71497"/>
    <w:rsid w:val="00D80368"/>
    <w:rsid w:val="00D8599E"/>
    <w:rsid w:val="00D85EEA"/>
    <w:rsid w:val="00DA64D3"/>
    <w:rsid w:val="00DC2E37"/>
    <w:rsid w:val="00DD2857"/>
    <w:rsid w:val="00DE24DB"/>
    <w:rsid w:val="00E02620"/>
    <w:rsid w:val="00E03788"/>
    <w:rsid w:val="00E062B1"/>
    <w:rsid w:val="00E07B0E"/>
    <w:rsid w:val="00E2161B"/>
    <w:rsid w:val="00E24DFB"/>
    <w:rsid w:val="00E3012E"/>
    <w:rsid w:val="00E314F4"/>
    <w:rsid w:val="00E32A77"/>
    <w:rsid w:val="00E43A74"/>
    <w:rsid w:val="00E4563B"/>
    <w:rsid w:val="00E5301A"/>
    <w:rsid w:val="00E615ED"/>
    <w:rsid w:val="00E631C3"/>
    <w:rsid w:val="00EA3B5F"/>
    <w:rsid w:val="00EB4B18"/>
    <w:rsid w:val="00EC3A7F"/>
    <w:rsid w:val="00EE32D9"/>
    <w:rsid w:val="00EE3BF6"/>
    <w:rsid w:val="00EE74FE"/>
    <w:rsid w:val="00F02CDF"/>
    <w:rsid w:val="00F05DF5"/>
    <w:rsid w:val="00F07117"/>
    <w:rsid w:val="00F07EAC"/>
    <w:rsid w:val="00F14AD3"/>
    <w:rsid w:val="00F200B7"/>
    <w:rsid w:val="00F37C28"/>
    <w:rsid w:val="00F40CCB"/>
    <w:rsid w:val="00F46376"/>
    <w:rsid w:val="00F47826"/>
    <w:rsid w:val="00F57FD5"/>
    <w:rsid w:val="00F72B56"/>
    <w:rsid w:val="00F730D5"/>
    <w:rsid w:val="00FA3CBE"/>
    <w:rsid w:val="00FD3455"/>
    <w:rsid w:val="00FD78C8"/>
    <w:rsid w:val="00FE2725"/>
    <w:rsid w:val="00FF54FC"/>
    <w:rsid w:val="01F25B31"/>
    <w:rsid w:val="03F561F2"/>
    <w:rsid w:val="068464EA"/>
    <w:rsid w:val="069E3723"/>
    <w:rsid w:val="089F6368"/>
    <w:rsid w:val="0A530533"/>
    <w:rsid w:val="0D9C44D5"/>
    <w:rsid w:val="11A401C2"/>
    <w:rsid w:val="11AB2F3D"/>
    <w:rsid w:val="127B5962"/>
    <w:rsid w:val="18015BF6"/>
    <w:rsid w:val="19154A98"/>
    <w:rsid w:val="19EA15A0"/>
    <w:rsid w:val="1AD3658E"/>
    <w:rsid w:val="1D2F7D60"/>
    <w:rsid w:val="22D92BE0"/>
    <w:rsid w:val="2406736A"/>
    <w:rsid w:val="241D08A6"/>
    <w:rsid w:val="268F3C4F"/>
    <w:rsid w:val="27BF46F2"/>
    <w:rsid w:val="29FB771C"/>
    <w:rsid w:val="2B2B7E37"/>
    <w:rsid w:val="2B324FFC"/>
    <w:rsid w:val="2F1B147C"/>
    <w:rsid w:val="2F624260"/>
    <w:rsid w:val="39387579"/>
    <w:rsid w:val="3BA0363C"/>
    <w:rsid w:val="3BDC3EDC"/>
    <w:rsid w:val="3C207D16"/>
    <w:rsid w:val="3DEE2005"/>
    <w:rsid w:val="40FD376C"/>
    <w:rsid w:val="42E64824"/>
    <w:rsid w:val="4499341E"/>
    <w:rsid w:val="485A0FB4"/>
    <w:rsid w:val="4ADE30EC"/>
    <w:rsid w:val="4BF026C4"/>
    <w:rsid w:val="4DB971B3"/>
    <w:rsid w:val="4EF5384B"/>
    <w:rsid w:val="4FC647BB"/>
    <w:rsid w:val="504A7B23"/>
    <w:rsid w:val="54217922"/>
    <w:rsid w:val="54372D9B"/>
    <w:rsid w:val="561E7F83"/>
    <w:rsid w:val="56C97316"/>
    <w:rsid w:val="5B547CE6"/>
    <w:rsid w:val="5BF7485B"/>
    <w:rsid w:val="5BF973B3"/>
    <w:rsid w:val="5BFC63A5"/>
    <w:rsid w:val="61EA34C7"/>
    <w:rsid w:val="61EC52A6"/>
    <w:rsid w:val="63957DF6"/>
    <w:rsid w:val="65572609"/>
    <w:rsid w:val="65B55E88"/>
    <w:rsid w:val="69091761"/>
    <w:rsid w:val="6CD835B4"/>
    <w:rsid w:val="6E1D528B"/>
    <w:rsid w:val="6F6C2D8D"/>
    <w:rsid w:val="71532E8A"/>
    <w:rsid w:val="7251025F"/>
    <w:rsid w:val="74F91B5F"/>
    <w:rsid w:val="75212C37"/>
    <w:rsid w:val="752E5510"/>
    <w:rsid w:val="75B35F7F"/>
    <w:rsid w:val="78E246BC"/>
    <w:rsid w:val="78FA36B4"/>
    <w:rsid w:val="790C7B61"/>
    <w:rsid w:val="798A12AD"/>
    <w:rsid w:val="79E47587"/>
    <w:rsid w:val="79FF46FA"/>
    <w:rsid w:val="7C0A3DE4"/>
    <w:rsid w:val="A7FF43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widowControl w:val="0"/>
      <w:spacing w:before="100" w:beforeAutospacing="1" w:after="100" w:afterAutospacing="1"/>
      <w:ind w:left="0" w:right="0"/>
      <w:jc w:val="left"/>
      <w:outlineLvl w:val="0"/>
    </w:pPr>
    <w:rPr>
      <w:rFonts w:ascii="宋体" w:hAnsi="宋体" w:eastAsia="宋体" w:cs="宋体"/>
      <w:b/>
      <w:bCs/>
      <w:kern w:val="44"/>
      <w:sz w:val="48"/>
      <w:szCs w:val="48"/>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99"/>
    <w:rPr>
      <w:rFonts w:ascii="Times New Roman" w:hAnsi="Times New Roman"/>
    </w:rPr>
  </w:style>
  <w:style w:type="paragraph" w:styleId="4">
    <w:name w:val="Body Text Indent"/>
    <w:basedOn w:val="1"/>
    <w:qFormat/>
    <w:uiPriority w:val="0"/>
    <w:pPr>
      <w:spacing w:after="120"/>
      <w:ind w:left="420" w:leftChars="200"/>
    </w:p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0"/>
    <w:pPr>
      <w:ind w:firstLine="420" w:firstLineChars="200"/>
    </w:pPr>
    <w:rPr>
      <w:rFonts w:ascii="宋体" w:hAnsi="宋体" w:cs="宋体"/>
      <w:kern w:val="0"/>
      <w:sz w:val="24"/>
      <w:szCs w:val="24"/>
    </w:rPr>
  </w:style>
  <w:style w:type="character" w:customStyle="1" w:styleId="12">
    <w:name w:val="正文文本 Char"/>
    <w:link w:val="2"/>
    <w:semiHidden/>
    <w:qFormat/>
    <w:locked/>
    <w:uiPriority w:val="99"/>
    <w:rPr>
      <w:rFonts w:cs="Times New Roman"/>
      <w:sz w:val="24"/>
      <w:szCs w:val="24"/>
    </w:rPr>
  </w:style>
  <w:style w:type="character" w:customStyle="1" w:styleId="13">
    <w:name w:val="批注框文本 Char"/>
    <w:link w:val="5"/>
    <w:semiHidden/>
    <w:qFormat/>
    <w:locked/>
    <w:uiPriority w:val="99"/>
    <w:rPr>
      <w:rFonts w:ascii="Calibri" w:hAnsi="Calibri" w:eastAsia="宋体" w:cs="Times New Roman"/>
      <w:sz w:val="18"/>
      <w:szCs w:val="18"/>
    </w:rPr>
  </w:style>
  <w:style w:type="character" w:customStyle="1" w:styleId="14">
    <w:name w:val="页脚 Char"/>
    <w:link w:val="6"/>
    <w:qFormat/>
    <w:locked/>
    <w:uiPriority w:val="99"/>
    <w:rPr>
      <w:rFonts w:cs="Times New Roman"/>
      <w:sz w:val="18"/>
      <w:szCs w:val="18"/>
    </w:rPr>
  </w:style>
  <w:style w:type="character" w:customStyle="1" w:styleId="15">
    <w:name w:val="页眉 Char"/>
    <w:link w:val="7"/>
    <w:qFormat/>
    <w:locked/>
    <w:uiPriority w:val="99"/>
    <w:rPr>
      <w:rFonts w:cs="Times New Roman"/>
      <w:sz w:val="18"/>
      <w:szCs w:val="18"/>
    </w:rPr>
  </w:style>
  <w:style w:type="paragraph" w:styleId="16">
    <w:name w:val="List Paragraph"/>
    <w:basedOn w:val="1"/>
    <w:qFormat/>
    <w:uiPriority w:val="99"/>
    <w:pPr>
      <w:ind w:firstLine="420" w:firstLineChars="200"/>
    </w:pPr>
  </w:style>
  <w:style w:type="paragraph" w:customStyle="1" w:styleId="17">
    <w:name w:val="Char Char"/>
    <w:basedOn w:val="1"/>
    <w:qFormat/>
    <w:uiPriority w:val="99"/>
    <w:pPr>
      <w:widowControl/>
      <w:spacing w:after="160" w:line="240" w:lineRule="exact"/>
      <w:jc w:val="left"/>
    </w:pPr>
    <w:rPr>
      <w:rFonts w:ascii="Times New Roman" w:hAnsi="Times New Roma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620</Words>
  <Characters>3539</Characters>
  <Lines>29</Lines>
  <Paragraphs>8</Paragraphs>
  <TotalTime>18</TotalTime>
  <ScaleCrop>false</ScaleCrop>
  <LinksUpToDate>false</LinksUpToDate>
  <CharactersWithSpaces>4151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2020-12-10T12:38:00Z</dcterms:created>
  <dc:creator>微软用户</dc:creator>
  <cp:lastModifiedBy>fjk-fjkx</cp:lastModifiedBy>
  <cp:lastPrinted>2021-11-25T11:16:00Z</cp:lastPrinted>
  <dcterms:modified xsi:type="dcterms:W3CDTF">2022-12-23T07:52:14Z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9CE79310B6374CBD8EC27B988591F3B5</vt:lpwstr>
  </property>
</Properties>
</file>