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720"/>
        <w:rPr>
          <w:rFonts w:hint="eastAsia" w:ascii="黑体"/>
          <w:color w:val="000000"/>
          <w:sz w:val="32"/>
        </w:rPr>
      </w:pPr>
    </w:p>
    <w:p>
      <w:pPr>
        <w:spacing w:line="560" w:lineRule="exact"/>
        <w:ind w:firstLine="720"/>
        <w:rPr>
          <w:rFonts w:hint="eastAsia" w:ascii="黑体"/>
          <w:color w:val="000000"/>
          <w:sz w:val="32"/>
        </w:rPr>
      </w:pPr>
    </w:p>
    <w:p>
      <w:pPr>
        <w:spacing w:line="720" w:lineRule="auto"/>
        <w:jc w:val="center"/>
        <w:outlineLvl w:val="0"/>
        <w:rPr>
          <w:rFonts w:ascii="黑体" w:eastAsia="方正小标宋简体"/>
          <w:b/>
          <w:color w:val="FF0000"/>
          <w:w w:val="60"/>
          <w:sz w:val="100"/>
          <w:szCs w:val="100"/>
        </w:rPr>
      </w:pPr>
      <w:r>
        <w:rPr>
          <w:rFonts w:hint="eastAsia" w:ascii="黑体" w:eastAsia="方正小标宋简体"/>
          <w:b/>
          <w:color w:val="FF0000"/>
          <w:w w:val="57"/>
          <w:sz w:val="100"/>
          <w:szCs w:val="100"/>
        </w:rPr>
        <w:t>中国人民银行邢台市中心支行文件</w:t>
      </w:r>
    </w:p>
    <w:p>
      <w:pPr>
        <w:jc w:val="center"/>
        <w:rPr>
          <w:rFonts w:hint="eastAsia"/>
          <w:color w:val="000000"/>
          <w:sz w:val="32"/>
        </w:rPr>
      </w:pPr>
    </w:p>
    <w:p>
      <w:pPr>
        <w:jc w:val="center"/>
        <w:rPr>
          <w:rFonts w:hint="eastAsia"/>
          <w:color w:val="000000"/>
          <w:sz w:val="32"/>
        </w:rPr>
      </w:pPr>
    </w:p>
    <w:p>
      <w:pPr>
        <w:spacing w:line="400" w:lineRule="exact"/>
        <w:jc w:val="right"/>
        <w:rPr>
          <w:rFonts w:hint="eastAsia" w:ascii="仿宋_GB2312" w:eastAsia="仿宋_GB2312"/>
          <w:color w:val="000000"/>
          <w:sz w:val="32"/>
          <w:szCs w:val="32"/>
          <w:lang w:eastAsia="zh-CN"/>
        </w:rPr>
      </w:pPr>
      <w:r>
        <w:rPr>
          <w:rFonts w:hint="eastAsia" w:ascii="仿宋_GB2312" w:eastAsia="仿宋_GB2312"/>
          <w:color w:val="000000"/>
          <w:sz w:val="32"/>
          <w:szCs w:val="32"/>
        </w:rPr>
        <w:t>是否同意公开：</w:t>
      </w:r>
      <w:r>
        <w:rPr>
          <w:rFonts w:hint="eastAsia" w:ascii="仿宋_GB2312" w:eastAsia="仿宋_GB2312"/>
          <w:color w:val="000000"/>
          <w:sz w:val="32"/>
          <w:szCs w:val="32"/>
          <w:lang w:eastAsia="zh-CN"/>
        </w:rPr>
        <w:t>是</w:t>
      </w:r>
    </w:p>
    <w:p>
      <w:pPr>
        <w:spacing w:line="400" w:lineRule="exact"/>
        <w:jc w:val="right"/>
        <w:rPr>
          <w:rFonts w:hint="eastAsia" w:eastAsia="仿宋_GB2312"/>
          <w:color w:val="000000"/>
          <w:sz w:val="32"/>
        </w:rPr>
      </w:pPr>
      <w:r>
        <w:rPr>
          <w:rFonts w:hint="eastAsia" w:ascii="仿宋_GB2312" w:eastAsia="仿宋_GB2312"/>
          <w:color w:val="000000"/>
          <w:sz w:val="32"/>
          <w:szCs w:val="32"/>
        </w:rPr>
        <w:t>邢银建议字〔202</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〕第</w:t>
      </w:r>
      <w:r>
        <w:rPr>
          <w:rFonts w:hint="eastAsia" w:ascii="仿宋_GB2312" w:eastAsia="仿宋_GB2312"/>
          <w:color w:val="000000"/>
          <w:sz w:val="32"/>
          <w:szCs w:val="32"/>
          <w:lang w:val="en-US" w:eastAsia="zh-CN"/>
        </w:rPr>
        <w:t>3</w:t>
      </w:r>
      <w:r>
        <w:rPr>
          <w:rFonts w:hint="eastAsia" w:ascii="仿宋_GB2312" w:eastAsia="仿宋_GB2312"/>
          <w:color w:val="000000"/>
          <w:sz w:val="32"/>
          <w:szCs w:val="32"/>
        </w:rPr>
        <w:t>号</w:t>
      </w:r>
    </w:p>
    <w:p>
      <w:pPr>
        <w:jc w:val="center"/>
        <w:rPr>
          <w:rFonts w:hint="eastAsia" w:ascii="仿宋_GB2312" w:eastAsia="仿宋_GB2312"/>
          <w:color w:val="000000"/>
          <w:sz w:val="32"/>
          <w:szCs w:val="32"/>
        </w:rPr>
      </w:pPr>
      <w:r>
        <w:rPr>
          <w:rFonts w:ascii="仿宋_GB2312" w:hAnsi="Times New Roman" w:eastAsia="仿宋_GB2312" w:cs="Times New Roman"/>
          <w:color w:val="000000"/>
          <w:kern w:val="2"/>
          <w:sz w:val="20"/>
          <w:szCs w:val="24"/>
          <w:lang w:val="en-US" w:eastAsia="zh-CN" w:bidi="ar-SA"/>
        </w:rPr>
        <w:pict>
          <v:line id="Line 14" o:spid="_x0000_s1026" o:spt="20" style="position:absolute;left:0pt;flip:y;margin-left:0pt;margin-top:1.6pt;height:0.05pt;width:454pt;z-index:251659264;mso-width-relative:page;mso-height-relative:page;" fillcolor="#FFFFFF" filled="f" o:preferrelative="t" stroked="t" coordsize="21600,21600">
            <v:path arrowok="t"/>
            <v:fill on="f" color2="#FFFFFF" focussize="0,0"/>
            <v:stroke weight="1.41732283464567pt" color="#FF0000" color2="#FFFFFF" miterlimit="2"/>
            <v:imagedata gain="65536f" blacklevel="0f" gamma="0" o:title=""/>
            <o:lock v:ext="edit" position="f" selection="f" grouping="f" rotation="f" cropping="f" text="f" aspectratio="f"/>
          </v:line>
        </w:pict>
      </w:r>
    </w:p>
    <w:p>
      <w:pPr>
        <w:widowControl w:val="0"/>
        <w:wordWrap/>
        <w:adjustRightInd/>
        <w:snapToGrid/>
        <w:spacing w:before="0" w:after="0" w:line="660" w:lineRule="exact"/>
        <w:ind w:left="0" w:leftChars="0" w:right="0" w:firstLine="0" w:firstLineChars="0"/>
        <w:jc w:val="both"/>
        <w:textAlignment w:val="auto"/>
        <w:outlineLvl w:val="9"/>
        <w:rPr>
          <w:rFonts w:ascii="方正小标宋简体" w:eastAsia="方正小标宋简体"/>
          <w:b w:val="0"/>
          <w:bCs/>
          <w:sz w:val="44"/>
          <w:szCs w:val="44"/>
        </w:rPr>
      </w:pPr>
      <w:r>
        <w:rPr>
          <w:rFonts w:hint="eastAsia" w:ascii="方正小标宋简体" w:eastAsia="方正小标宋简体"/>
          <w:b w:val="0"/>
          <w:bCs/>
          <w:sz w:val="44"/>
          <w:szCs w:val="44"/>
          <w:lang w:val="en-US" w:eastAsia="zh-CN"/>
        </w:rPr>
        <w:t xml:space="preserve">      </w:t>
      </w:r>
      <w:r>
        <w:rPr>
          <w:rFonts w:hint="eastAsia" w:ascii="方正小标宋简体" w:eastAsia="方正小标宋简体"/>
          <w:b w:val="0"/>
          <w:bCs/>
          <w:sz w:val="44"/>
          <w:szCs w:val="44"/>
        </w:rPr>
        <w:t>对邢台市第十六届人民代表大会</w:t>
      </w:r>
    </w:p>
    <w:p>
      <w:pPr>
        <w:widowControl w:val="0"/>
        <w:wordWrap/>
        <w:adjustRightInd/>
        <w:snapToGrid/>
        <w:spacing w:before="0" w:after="0" w:line="660" w:lineRule="exact"/>
        <w:ind w:left="0" w:leftChars="0" w:right="0" w:firstLine="0" w:firstLineChars="0"/>
        <w:jc w:val="center"/>
        <w:textAlignment w:val="auto"/>
        <w:outlineLvl w:val="9"/>
        <w:rPr>
          <w:rFonts w:ascii="方正小标宋简体" w:eastAsia="方正小标宋简体"/>
          <w:b w:val="0"/>
          <w:bCs/>
          <w:sz w:val="44"/>
          <w:szCs w:val="44"/>
        </w:rPr>
      </w:pPr>
      <w:r>
        <w:rPr>
          <w:rFonts w:hint="eastAsia" w:ascii="方正小标宋简体" w:eastAsia="方正小标宋简体"/>
          <w:b w:val="0"/>
          <w:bCs/>
          <w:sz w:val="44"/>
          <w:szCs w:val="44"/>
        </w:rPr>
        <w:t>第二次会议第328号建议的</w:t>
      </w:r>
      <w:r>
        <w:rPr>
          <w:rFonts w:hint="eastAsia" w:ascii="方正小标宋简体" w:eastAsia="方正小标宋简体"/>
          <w:b w:val="0"/>
          <w:bCs/>
          <w:sz w:val="44"/>
          <w:szCs w:val="44"/>
          <w:lang w:eastAsia="zh-CN"/>
        </w:rPr>
        <w:t>答复</w:t>
      </w:r>
    </w:p>
    <w:p>
      <w:pPr>
        <w:spacing w:line="520" w:lineRule="exact"/>
        <w:rPr>
          <w:rFonts w:ascii="方正小标宋简体" w:eastAsia="方正小标宋简体"/>
          <w:sz w:val="32"/>
          <w:szCs w:val="32"/>
        </w:rPr>
      </w:pPr>
    </w:p>
    <w:p>
      <w:pPr>
        <w:widowControl w:val="0"/>
        <w:wordWrap/>
        <w:adjustRightInd/>
        <w:snapToGrid/>
        <w:spacing w:before="0" w:after="0" w:line="500" w:lineRule="exact"/>
        <w:ind w:left="0" w:leftChars="0" w:right="0"/>
        <w:textAlignment w:val="auto"/>
        <w:outlineLvl w:val="9"/>
        <w:rPr>
          <w:rFonts w:ascii="仿宋_GB2312" w:eastAsia="仿宋_GB2312"/>
          <w:sz w:val="32"/>
          <w:szCs w:val="32"/>
        </w:rPr>
      </w:pPr>
      <w:r>
        <w:rPr>
          <w:rFonts w:hint="eastAsia" w:ascii="仿宋_GB2312" w:eastAsia="仿宋_GB2312"/>
          <w:sz w:val="32"/>
          <w:szCs w:val="32"/>
        </w:rPr>
        <w:t>冯亮代表：</w:t>
      </w:r>
    </w:p>
    <w:p>
      <w:pPr>
        <w:widowControl w:val="0"/>
        <w:wordWrap/>
        <w:adjustRightInd/>
        <w:snapToGrid/>
        <w:spacing w:before="0" w:after="0" w:line="500" w:lineRule="exact"/>
        <w:ind w:left="0" w:leftChars="0" w:right="0" w:firstLine="640" w:firstLineChars="200"/>
        <w:textAlignment w:val="auto"/>
        <w:outlineLvl w:val="9"/>
        <w:rPr>
          <w:rFonts w:ascii="仿宋_GB2312" w:eastAsia="仿宋_GB2312"/>
          <w:sz w:val="32"/>
          <w:szCs w:val="32"/>
        </w:rPr>
      </w:pPr>
      <w:r>
        <w:rPr>
          <w:rFonts w:hint="eastAsia" w:ascii="仿宋_GB2312" w:eastAsia="仿宋_GB2312"/>
          <w:sz w:val="32"/>
          <w:szCs w:val="32"/>
          <w:lang w:eastAsia="zh-CN"/>
        </w:rPr>
        <w:t>您</w:t>
      </w:r>
      <w:r>
        <w:rPr>
          <w:rFonts w:hint="eastAsia" w:ascii="仿宋_GB2312" w:eastAsia="仿宋_GB2312"/>
          <w:sz w:val="32"/>
          <w:szCs w:val="32"/>
        </w:rPr>
        <w:t>提出的《</w:t>
      </w:r>
      <w:r>
        <w:rPr>
          <w:rFonts w:hint="eastAsia" w:ascii="仿宋_GB2312" w:hAnsi="宋体" w:eastAsia="仿宋_GB2312"/>
          <w:sz w:val="32"/>
          <w:szCs w:val="32"/>
        </w:rPr>
        <w:t>关于加强扶持中小企业，协助企业渡困的建议</w:t>
      </w:r>
      <w:r>
        <w:rPr>
          <w:rFonts w:hint="eastAsia" w:ascii="仿宋_GB2312" w:eastAsia="仿宋_GB2312"/>
          <w:sz w:val="32"/>
          <w:szCs w:val="32"/>
        </w:rPr>
        <w:t>》（〔2022〕第328号）的建议收悉，我中心支行高度重视，认真组织相关部门针对建议提出的问题进行了研究，现将会办意见答复如下：</w:t>
      </w:r>
    </w:p>
    <w:p>
      <w:pPr>
        <w:widowControl w:val="0"/>
        <w:wordWrap/>
        <w:adjustRightInd/>
        <w:snapToGrid/>
        <w:spacing w:before="0" w:after="0" w:line="500" w:lineRule="exact"/>
        <w:ind w:left="0" w:leftChars="0" w:right="0" w:firstLine="640" w:firstLineChars="200"/>
        <w:textAlignment w:val="auto"/>
        <w:outlineLvl w:val="9"/>
        <w:rPr>
          <w:rFonts w:ascii="仿宋_GB2312" w:hAnsi="仿宋_GB2312" w:eastAsia="仿宋_GB2312"/>
          <w:sz w:val="32"/>
          <w:lang w:val="zh-CN"/>
        </w:rPr>
      </w:pPr>
      <w:r>
        <w:rPr>
          <w:rFonts w:hint="eastAsia" w:ascii="仿宋_GB2312" w:hAnsi="仿宋_GB2312" w:eastAsia="仿宋_GB2312"/>
          <w:sz w:val="32"/>
          <w:lang w:val="zh-CN"/>
        </w:rPr>
        <w:t>中小微企业是国民经济发展的生力军，是我国经济发展的活力所在，是我国经济体系中最具创新活力的“经济细胞”，在稳定增长、扩大就业、促进创新、繁荣市场和满足人民群众需求等方面，发挥着极为重要的作用。支持实体经济尤其是中小微企业发展是金融系统义不容辞的责任，人民银行邢台市中心支行坚决贯彻落实党中央、国务院关于做好</w:t>
      </w:r>
      <w:r>
        <w:rPr>
          <w:rFonts w:ascii="仿宋_GB2312" w:hAnsi="仿宋_GB2312" w:eastAsia="仿宋_GB2312"/>
          <w:sz w:val="32"/>
          <w:lang w:val="zh-CN"/>
        </w:rPr>
        <w:t>“</w:t>
      </w:r>
      <w:r>
        <w:rPr>
          <w:rFonts w:hint="eastAsia" w:ascii="仿宋_GB2312" w:hAnsi="仿宋_GB2312" w:eastAsia="仿宋_GB2312"/>
          <w:sz w:val="32"/>
          <w:lang w:val="zh-CN"/>
        </w:rPr>
        <w:t>六稳</w:t>
      </w:r>
      <w:r>
        <w:rPr>
          <w:rFonts w:ascii="仿宋_GB2312" w:hAnsi="仿宋_GB2312" w:eastAsia="仿宋_GB2312"/>
          <w:sz w:val="32"/>
          <w:lang w:val="zh-CN"/>
        </w:rPr>
        <w:t>”“</w:t>
      </w:r>
      <w:r>
        <w:rPr>
          <w:rFonts w:hint="eastAsia" w:ascii="仿宋_GB2312" w:hAnsi="仿宋_GB2312" w:eastAsia="仿宋_GB2312"/>
          <w:sz w:val="32"/>
          <w:lang w:val="zh-CN"/>
        </w:rPr>
        <w:t>六保</w:t>
      </w:r>
      <w:r>
        <w:rPr>
          <w:rFonts w:ascii="仿宋_GB2312" w:hAnsi="仿宋_GB2312" w:eastAsia="仿宋_GB2312"/>
          <w:sz w:val="32"/>
          <w:lang w:val="zh-CN"/>
        </w:rPr>
        <w:t>”</w:t>
      </w:r>
      <w:r>
        <w:rPr>
          <w:rFonts w:hint="eastAsia" w:ascii="仿宋_GB2312" w:hAnsi="仿宋_GB2312" w:eastAsia="仿宋_GB2312"/>
          <w:sz w:val="32"/>
          <w:lang w:val="zh-CN"/>
        </w:rPr>
        <w:t xml:space="preserve">工作决策部署，按照市委市政府和上级行工作要求，精准施策、持续发力，多措并举，引导金融机构加大对中小微企业的支持力度，切实缓解市场主体融资难融资贵问题。 </w:t>
      </w:r>
    </w:p>
    <w:p>
      <w:pPr>
        <w:widowControl w:val="0"/>
        <w:wordWrap/>
        <w:adjustRightInd/>
        <w:snapToGrid/>
        <w:spacing w:before="0" w:after="0" w:line="500" w:lineRule="exact"/>
        <w:ind w:left="0" w:leftChars="0" w:right="0" w:firstLine="640" w:firstLineChars="200"/>
        <w:textAlignment w:val="auto"/>
        <w:outlineLvl w:val="9"/>
        <w:rPr>
          <w:rFonts w:ascii="仿宋_GB2312" w:hAnsi="仿宋_GB2312" w:eastAsia="仿宋_GB2312"/>
          <w:color w:val="000000"/>
          <w:sz w:val="32"/>
          <w:lang w:val="zh-CN"/>
        </w:rPr>
      </w:pPr>
      <w:r>
        <w:rPr>
          <w:rFonts w:hint="eastAsia" w:ascii="仿宋_GB2312" w:hAnsi="仿宋_GB2312" w:eastAsia="仿宋_GB2312"/>
          <w:b w:val="0"/>
          <w:bCs/>
          <w:sz w:val="32"/>
          <w:lang w:val="zh-CN"/>
        </w:rPr>
        <w:t>一是强化政策引领，信贷投放实现稳增长。</w:t>
      </w:r>
      <w:r>
        <w:rPr>
          <w:rFonts w:hint="eastAsia" w:ascii="仿宋_GB2312" w:hAnsi="仿宋_GB2312" w:eastAsia="仿宋_GB2312"/>
          <w:sz w:val="32"/>
          <w:lang w:val="zh-CN"/>
        </w:rPr>
        <w:t>制定《2021年邢台市金融支持稳企业保就业工作方案》《邢台市“贷动小生意 服务大民生”金融支持个体工商户专项行动实施方案》，牵头起草《邢台市人民政府办公室关于促进邢台市银行业高质量发展的意见》，落实《中国人民银行关于深入开展中小微企业金融服务能力提升工程的通知》，持续抓好金融支持稳企业保就业政策落实落地，</w:t>
      </w:r>
      <w:r>
        <w:rPr>
          <w:rFonts w:hint="eastAsia" w:ascii="仿宋_GB2312" w:hAnsi="仿宋_GB2312" w:eastAsia="仿宋_GB2312"/>
          <w:color w:val="000000"/>
          <w:sz w:val="32"/>
          <w:lang w:val="zh-CN"/>
        </w:rPr>
        <w:t>引导全市金融机构将更多信贷资源投向民营、中小微等重点领域。截至</w:t>
      </w:r>
      <w:r>
        <w:rPr>
          <w:rFonts w:ascii="仿宋_GB2312" w:hAnsi="仿宋_GB2312" w:eastAsia="仿宋_GB2312"/>
          <w:color w:val="000000"/>
          <w:sz w:val="32"/>
          <w:lang w:val="zh-CN"/>
        </w:rPr>
        <w:t>2021</w:t>
      </w:r>
      <w:r>
        <w:rPr>
          <w:rFonts w:hint="eastAsia" w:ascii="仿宋_GB2312" w:hAnsi="仿宋_GB2312" w:eastAsia="仿宋_GB2312"/>
          <w:color w:val="000000"/>
          <w:sz w:val="32"/>
          <w:lang w:val="zh-CN"/>
        </w:rPr>
        <w:t>年底，全市普惠小微贷款余额</w:t>
      </w:r>
      <w:r>
        <w:rPr>
          <w:rFonts w:ascii="仿宋_GB2312" w:hAnsi="仿宋_GB2312" w:eastAsia="仿宋_GB2312"/>
          <w:color w:val="000000"/>
          <w:sz w:val="32"/>
          <w:lang w:val="zh-CN"/>
        </w:rPr>
        <w:t>586.44</w:t>
      </w:r>
      <w:r>
        <w:rPr>
          <w:rFonts w:hint="eastAsia" w:ascii="仿宋_GB2312" w:hAnsi="仿宋_GB2312" w:eastAsia="仿宋_GB2312"/>
          <w:color w:val="000000"/>
          <w:sz w:val="32"/>
          <w:lang w:val="zh-CN"/>
        </w:rPr>
        <w:t>亿元，同比增长</w:t>
      </w:r>
      <w:r>
        <w:rPr>
          <w:rFonts w:ascii="仿宋_GB2312" w:hAnsi="仿宋_GB2312" w:eastAsia="仿宋_GB2312"/>
          <w:color w:val="000000"/>
          <w:sz w:val="32"/>
          <w:lang w:val="zh-CN"/>
        </w:rPr>
        <w:t>38.69%</w:t>
      </w:r>
      <w:r>
        <w:rPr>
          <w:rFonts w:hint="eastAsia" w:ascii="仿宋_GB2312" w:hAnsi="仿宋_GB2312" w:eastAsia="仿宋_GB2312"/>
          <w:color w:val="000000"/>
          <w:sz w:val="32"/>
          <w:lang w:val="zh-CN"/>
        </w:rPr>
        <w:t>，支持</w:t>
      </w:r>
      <w:r>
        <w:rPr>
          <w:rFonts w:ascii="仿宋_GB2312" w:hAnsi="仿宋_GB2312" w:eastAsia="仿宋_GB2312"/>
          <w:color w:val="000000"/>
          <w:sz w:val="32"/>
          <w:lang w:val="zh-CN"/>
        </w:rPr>
        <w:t>46054</w:t>
      </w:r>
      <w:r>
        <w:rPr>
          <w:rFonts w:hint="eastAsia" w:ascii="仿宋_GB2312" w:hAnsi="仿宋_GB2312" w:eastAsia="仿宋_GB2312"/>
          <w:color w:val="000000"/>
          <w:sz w:val="32"/>
          <w:lang w:val="zh-CN"/>
        </w:rPr>
        <w:t>户经营主体，同比增加</w:t>
      </w:r>
      <w:r>
        <w:rPr>
          <w:rFonts w:ascii="仿宋_GB2312" w:hAnsi="仿宋_GB2312" w:eastAsia="仿宋_GB2312"/>
          <w:color w:val="000000"/>
          <w:sz w:val="32"/>
          <w:lang w:val="zh-CN"/>
        </w:rPr>
        <w:t>8894</w:t>
      </w:r>
      <w:r>
        <w:rPr>
          <w:rFonts w:hint="eastAsia" w:ascii="仿宋_GB2312" w:hAnsi="仿宋_GB2312" w:eastAsia="仿宋_GB2312"/>
          <w:color w:val="000000"/>
          <w:sz w:val="32"/>
          <w:lang w:val="zh-CN"/>
        </w:rPr>
        <w:t>户，其中信用贷款余额</w:t>
      </w:r>
      <w:r>
        <w:rPr>
          <w:rFonts w:ascii="仿宋_GB2312" w:hAnsi="仿宋_GB2312" w:eastAsia="仿宋_GB2312"/>
          <w:color w:val="000000"/>
          <w:sz w:val="32"/>
          <w:lang w:val="zh-CN"/>
        </w:rPr>
        <w:t>107.20</w:t>
      </w:r>
      <w:r>
        <w:rPr>
          <w:rFonts w:hint="eastAsia" w:ascii="仿宋_GB2312" w:hAnsi="仿宋_GB2312" w:eastAsia="仿宋_GB2312"/>
          <w:color w:val="000000"/>
          <w:sz w:val="32"/>
          <w:lang w:val="zh-CN"/>
        </w:rPr>
        <w:t>亿元，同比增长</w:t>
      </w:r>
      <w:r>
        <w:rPr>
          <w:rFonts w:ascii="仿宋_GB2312" w:hAnsi="仿宋_GB2312" w:eastAsia="仿宋_GB2312"/>
          <w:color w:val="000000"/>
          <w:sz w:val="32"/>
          <w:lang w:val="zh-CN"/>
        </w:rPr>
        <w:t>104.1%</w:t>
      </w:r>
      <w:r>
        <w:rPr>
          <w:rFonts w:hint="eastAsia" w:ascii="仿宋_GB2312" w:hAnsi="仿宋_GB2312" w:eastAsia="仿宋_GB2312"/>
          <w:color w:val="000000"/>
          <w:sz w:val="32"/>
          <w:lang w:val="zh-CN"/>
        </w:rPr>
        <w:t>。</w:t>
      </w:r>
    </w:p>
    <w:p>
      <w:pPr>
        <w:widowControl w:val="0"/>
        <w:wordWrap/>
        <w:adjustRightInd/>
        <w:snapToGrid/>
        <w:spacing w:before="0" w:after="0" w:line="500" w:lineRule="exact"/>
        <w:ind w:left="0" w:leftChars="0" w:right="0" w:firstLine="640" w:firstLineChars="200"/>
        <w:textAlignment w:val="auto"/>
        <w:outlineLvl w:val="9"/>
        <w:rPr>
          <w:rFonts w:ascii="仿宋_GB2312" w:hAnsi="楷体_GB2312" w:eastAsia="仿宋_GB2312" w:cs="楷体_GB2312"/>
          <w:sz w:val="32"/>
          <w:szCs w:val="32"/>
        </w:rPr>
      </w:pPr>
      <w:r>
        <w:rPr>
          <w:rFonts w:hint="eastAsia" w:ascii="仿宋_GB2312" w:hAnsi="楷体_GB2312" w:eastAsia="仿宋_GB2312" w:cs="楷体_GB2312"/>
          <w:b w:val="0"/>
          <w:bCs/>
          <w:sz w:val="32"/>
          <w:szCs w:val="32"/>
        </w:rPr>
        <w:t>二是发挥货币政策工具作用，增强金融服务实体经济能力。</w:t>
      </w:r>
      <w:r>
        <w:rPr>
          <w:rFonts w:hint="eastAsia" w:ascii="仿宋_GB2312" w:eastAsia="仿宋_GB2312"/>
          <w:bCs/>
          <w:sz w:val="32"/>
          <w:szCs w:val="32"/>
        </w:rPr>
        <w:t>持续推进支小再贷款、再贴现投放。</w:t>
      </w:r>
      <w:r>
        <w:rPr>
          <w:rFonts w:hint="eastAsia" w:ascii="仿宋_GB2312" w:hAnsi="黑体" w:eastAsia="仿宋_GB2312"/>
          <w:sz w:val="32"/>
          <w:szCs w:val="32"/>
        </w:rPr>
        <w:t>制定《关于进一步加强再贷款工具投放和质押品管理的通知》，</w:t>
      </w:r>
      <w:r>
        <w:rPr>
          <w:rFonts w:hint="eastAsia" w:ascii="仿宋_GB2312" w:eastAsia="仿宋_GB2312"/>
          <w:sz w:val="32"/>
          <w:szCs w:val="32"/>
        </w:rPr>
        <w:t>明确</w:t>
      </w:r>
      <w:r>
        <w:rPr>
          <w:rFonts w:hint="eastAsia" w:ascii="仿宋_GB2312" w:hAnsi="仿宋_GB2312" w:eastAsia="仿宋_GB2312" w:cs="Tahoma"/>
          <w:color w:val="000000"/>
          <w:sz w:val="32"/>
          <w:szCs w:val="32"/>
        </w:rPr>
        <w:t>各县（市）具体投放目标，确保政策红利及时精准直达市场主体。</w:t>
      </w:r>
      <w:r>
        <w:rPr>
          <w:rFonts w:hint="eastAsia" w:ascii="仿宋_GB2312" w:eastAsia="仿宋_GB2312"/>
          <w:sz w:val="32"/>
          <w:szCs w:val="32"/>
        </w:rPr>
        <w:t>2021年累计向28家地方法人金融机构发放再贷款41.88亿元，其中支小再贷款23.18亿元，支农再贷款9.64亿元，办理扶贫再贷款展期9.06亿元，累计办理再贴现32.59亿元，有效引导金融机构为小微企业提供优惠资金，纾解融资难题。为2199家普惠小微企业办理延期偿还贷款本金83.43亿元，发放激励资金8343.6万元，</w:t>
      </w:r>
      <w:r>
        <w:rPr>
          <w:rFonts w:hint="eastAsia" w:ascii="仿宋_GB2312" w:eastAsia="仿宋_GB2312"/>
          <w:sz w:val="32"/>
          <w:szCs w:val="32"/>
          <w:lang w:val="zh-CN"/>
        </w:rPr>
        <w:t>为</w:t>
      </w:r>
      <w:r>
        <w:rPr>
          <w:rFonts w:hint="eastAsia" w:ascii="仿宋_GB2312" w:eastAsia="仿宋_GB2312"/>
          <w:sz w:val="32"/>
          <w:szCs w:val="32"/>
        </w:rPr>
        <w:t>4737</w:t>
      </w:r>
      <w:r>
        <w:rPr>
          <w:rFonts w:hint="eastAsia" w:ascii="仿宋_GB2312" w:eastAsia="仿宋_GB2312"/>
          <w:sz w:val="32"/>
          <w:szCs w:val="32"/>
          <w:lang w:val="zh-CN"/>
        </w:rPr>
        <w:t>家普惠小微企业发放纯信用贷款</w:t>
      </w:r>
      <w:r>
        <w:rPr>
          <w:rFonts w:hint="eastAsia" w:ascii="仿宋_GB2312" w:eastAsia="仿宋_GB2312"/>
          <w:sz w:val="32"/>
          <w:szCs w:val="32"/>
        </w:rPr>
        <w:t>20.19</w:t>
      </w:r>
      <w:r>
        <w:rPr>
          <w:rFonts w:hint="eastAsia" w:ascii="仿宋_GB2312" w:eastAsia="仿宋_GB2312"/>
          <w:sz w:val="32"/>
          <w:szCs w:val="32"/>
          <w:lang w:val="zh-CN"/>
        </w:rPr>
        <w:t>亿元，</w:t>
      </w:r>
      <w:r>
        <w:rPr>
          <w:rFonts w:hint="eastAsia" w:ascii="仿宋_GB2312" w:eastAsia="仿宋_GB2312"/>
          <w:sz w:val="32"/>
          <w:szCs w:val="32"/>
        </w:rPr>
        <w:t>发放信用贷款支持计划8.08亿元。</w:t>
      </w:r>
      <w:r>
        <w:rPr>
          <w:rFonts w:hint="eastAsia" w:ascii="仿宋_GB2312" w:hAnsi="楷体_GB2312" w:eastAsia="仿宋_GB2312" w:cs="楷体_GB2312"/>
          <w:sz w:val="32"/>
          <w:szCs w:val="32"/>
        </w:rPr>
        <w:t>切实缓解了企业面临的资金短缺问题，为稳住市场主体提供了有力的金融支持。</w:t>
      </w:r>
    </w:p>
    <w:p>
      <w:pPr>
        <w:widowControl w:val="0"/>
        <w:wordWrap/>
        <w:adjustRightInd/>
        <w:snapToGrid/>
        <w:spacing w:before="0" w:after="0" w:line="500" w:lineRule="exact"/>
        <w:ind w:left="0" w:leftChars="0" w:right="0" w:firstLine="645"/>
        <w:textAlignment w:val="auto"/>
        <w:outlineLvl w:val="9"/>
        <w:rPr>
          <w:rFonts w:ascii="仿宋_GB2312" w:eastAsia="仿宋_GB2312"/>
          <w:sz w:val="32"/>
          <w:szCs w:val="32"/>
        </w:rPr>
      </w:pPr>
      <w:r>
        <w:rPr>
          <w:rFonts w:hint="eastAsia" w:ascii="仿宋_GB2312" w:eastAsia="仿宋_GB2312"/>
          <w:b w:val="0"/>
          <w:bCs w:val="0"/>
          <w:sz w:val="32"/>
          <w:szCs w:val="32"/>
          <w:lang w:val="zh-CN"/>
        </w:rPr>
        <w:t>三是</w:t>
      </w:r>
      <w:r>
        <w:rPr>
          <w:rFonts w:hint="eastAsia" w:ascii="仿宋_GB2312" w:eastAsia="仿宋_GB2312"/>
          <w:b w:val="0"/>
          <w:bCs w:val="0"/>
          <w:sz w:val="32"/>
          <w:szCs w:val="32"/>
        </w:rPr>
        <w:t>加强银企对接，破解融资难题。</w:t>
      </w:r>
      <w:r>
        <w:rPr>
          <w:rFonts w:hint="eastAsia" w:ascii="仿宋_GB2312" w:eastAsia="仿宋_GB2312"/>
          <w:sz w:val="32"/>
          <w:szCs w:val="32"/>
          <w:lang w:val="zh-CN"/>
        </w:rPr>
        <w:t>深入开展中小微企业金融服务能力提升工程、“贷动小生意 服务大民生”金融支持个体工商户发展专项行动，制定行动实施方案，召开推进会议，最大限度满足个体工商户等重点群体融资需求，加大信用贷款投放力度。</w:t>
      </w:r>
      <w:r>
        <w:rPr>
          <w:rFonts w:hint="eastAsia" w:ascii="仿宋_GB2312" w:eastAsia="仿宋_GB2312"/>
          <w:sz w:val="32"/>
          <w:szCs w:val="32"/>
        </w:rPr>
        <w:t>持续发挥邢台市民营小微企业首贷续贷中心服务职能，推动金融服务小微企业提质增效。2021年，首贷续贷服务中心累计接待小微企业融资咨询860次，共310家小微企业达成融资意向，金额累计超4.5亿元。以企业基本户开户行为主办行，组织全市金融机构深入开展银企对接活动，实现银企对接增量扩面。截至2021年12月末，全市金融机构累计对接企业16万余家。联合地方金融监管局，开办全省首家“金融云课堂”线上宣讲金融惠企政策，向全市700余家小微企业主、个体工商户推送政策要点，扩大政策覆盖面和知晓度。</w:t>
      </w:r>
    </w:p>
    <w:p>
      <w:pPr>
        <w:widowControl w:val="0"/>
        <w:wordWrap/>
        <w:adjustRightInd/>
        <w:snapToGrid/>
        <w:spacing w:before="0" w:after="0" w:line="500" w:lineRule="exact"/>
        <w:ind w:left="0" w:leftChars="0" w:right="0" w:firstLine="627" w:firstLineChars="196"/>
        <w:jc w:val="left"/>
        <w:textAlignment w:val="auto"/>
        <w:outlineLvl w:val="9"/>
        <w:rPr>
          <w:rFonts w:ascii="仿宋_GB2312" w:eastAsia="仿宋_GB2312"/>
          <w:sz w:val="32"/>
          <w:szCs w:val="32"/>
        </w:rPr>
      </w:pPr>
      <w:r>
        <w:rPr>
          <w:rFonts w:hint="eastAsia" w:ascii="仿宋_GB2312" w:hAnsi="楷体_GB2312" w:eastAsia="仿宋_GB2312" w:cs="楷体_GB2312"/>
          <w:b w:val="0"/>
          <w:bCs/>
          <w:sz w:val="32"/>
          <w:szCs w:val="32"/>
        </w:rPr>
        <w:t>四是持续推动贷款利率下行，企业融资成本明显降低。</w:t>
      </w:r>
      <w:r>
        <w:rPr>
          <w:rFonts w:hint="eastAsia" w:ascii="仿宋_GB2312" w:hAnsi="仿宋_GB2312" w:eastAsia="仿宋_GB2312" w:cs="仿宋_GB2312"/>
          <w:kern w:val="0"/>
          <w:sz w:val="32"/>
          <w:szCs w:val="32"/>
        </w:rPr>
        <w:t>2021年金融机构新发放企业贷款加权平均利率5.84%，较上年同期下降0.24个百分点，其中普惠小微贷款加权平均利率6.2%，较上年同期下降0.94个百分点。</w:t>
      </w:r>
      <w:r>
        <w:rPr>
          <w:rFonts w:hint="eastAsia" w:ascii="仿宋_GB2312" w:hAnsi="仿宋_GB2312" w:eastAsia="仿宋_GB2312" w:cs="仿宋_GB2312"/>
          <w:color w:val="000000"/>
          <w:sz w:val="32"/>
          <w:szCs w:val="32"/>
        </w:rPr>
        <w:t>利率市场改革潜力不断释放，企业综合融资成本显著降低。</w:t>
      </w:r>
    </w:p>
    <w:p>
      <w:pPr>
        <w:widowControl w:val="0"/>
        <w:wordWrap/>
        <w:adjustRightInd/>
        <w:snapToGrid/>
        <w:spacing w:before="0" w:after="0" w:line="500" w:lineRule="exact"/>
        <w:ind w:left="0" w:leftChars="0" w:right="0" w:firstLine="645"/>
        <w:textAlignment w:val="auto"/>
        <w:outlineLvl w:val="9"/>
        <w:rPr>
          <w:rFonts w:ascii="仿宋_GB2312" w:hAnsi="仿宋" w:eastAsia="仿宋_GB2312" w:cs="仿宋"/>
          <w:sz w:val="32"/>
          <w:szCs w:val="32"/>
        </w:rPr>
      </w:pPr>
      <w:r>
        <w:rPr>
          <w:rFonts w:hint="eastAsia" w:ascii="仿宋_GB2312" w:hAnsi="仿宋" w:eastAsia="仿宋_GB2312" w:cs="仿宋"/>
          <w:b w:val="0"/>
          <w:bCs/>
          <w:sz w:val="32"/>
          <w:szCs w:val="32"/>
        </w:rPr>
        <w:t>五是积极引导辖内金融机构加大产品创新力度</w:t>
      </w:r>
      <w:r>
        <w:rPr>
          <w:rFonts w:hint="eastAsia" w:ascii="仿宋_GB2312" w:hAnsi="仿宋" w:eastAsia="仿宋_GB2312" w:cs="仿宋"/>
          <w:b w:val="0"/>
          <w:bCs/>
          <w:sz w:val="32"/>
          <w:szCs w:val="32"/>
          <w:lang w:val="en-US" w:eastAsia="zh-CN"/>
        </w:rPr>
        <w:t>。</w:t>
      </w:r>
      <w:r>
        <w:rPr>
          <w:rFonts w:hint="eastAsia" w:ascii="仿宋_GB2312" w:hAnsi="仿宋" w:eastAsia="仿宋_GB2312" w:cs="仿宋"/>
          <w:sz w:val="32"/>
          <w:szCs w:val="32"/>
        </w:rPr>
        <w:t>转变经营理念，精准对接中小微企业等群体的融资需求</w:t>
      </w:r>
      <w:r>
        <w:rPr>
          <w:rFonts w:hint="eastAsia" w:ascii="仿宋_GB2312" w:hAnsi="仿宋" w:eastAsia="仿宋_GB2312" w:cs="仿宋"/>
          <w:bCs/>
          <w:sz w:val="32"/>
          <w:szCs w:val="32"/>
        </w:rPr>
        <w:t>。例如</w:t>
      </w:r>
      <w:r>
        <w:rPr>
          <w:rFonts w:hint="eastAsia" w:ascii="仿宋_GB2312" w:hAnsi="仿宋" w:eastAsia="仿宋_GB2312" w:cs="仿宋"/>
          <w:sz w:val="32"/>
          <w:szCs w:val="32"/>
        </w:rPr>
        <w:t>任县农商行小贷中心积极引入第三方公司，合作推出面向小微企业的“和合e贷”信用贷款产品，取得较好成效；南宫联社积极建设新型小贷中心，以解决小微企业融资问题为己任，创新推出“金凤e贷”相关业务，为小微企业提供特色产品和优质服务，积极助力小微企业发展；建设银行邢台分行</w:t>
      </w:r>
      <w:r>
        <w:rPr>
          <w:rFonts w:hint="eastAsia" w:ascii="仿宋_GB2312" w:eastAsia="仿宋_GB2312"/>
          <w:sz w:val="32"/>
          <w:szCs w:val="32"/>
        </w:rPr>
        <w:t>针对小微企业融资特点，运用大数据、互联网、云计算等新兴技术，创新服务普惠金融的“五化”模式，通过大力推广“惠懂你”小微企业融资服务平台，有效解决小微企业融资难、融资贵、融资慢。</w:t>
      </w:r>
    </w:p>
    <w:p>
      <w:pPr>
        <w:widowControl w:val="0"/>
        <w:wordWrap/>
        <w:adjustRightInd/>
        <w:snapToGrid/>
        <w:spacing w:before="0" w:after="0" w:line="500" w:lineRule="exact"/>
        <w:ind w:left="0" w:leftChars="0" w:right="0" w:firstLine="645"/>
        <w:textAlignment w:val="auto"/>
        <w:outlineLvl w:val="9"/>
        <w:rPr>
          <w:rFonts w:hint="eastAsia" w:ascii="仿宋_GB2312" w:eastAsia="仿宋_GB2312"/>
          <w:sz w:val="32"/>
          <w:szCs w:val="32"/>
        </w:rPr>
      </w:pPr>
      <w:r>
        <w:rPr>
          <w:rFonts w:hint="eastAsia" w:ascii="仿宋_GB2312" w:eastAsia="仿宋_GB2312"/>
          <w:sz w:val="32"/>
          <w:szCs w:val="32"/>
        </w:rPr>
        <w:t>下一步，我中心支行将继续按照市委市政府及上级行相关工作要求，一是坚持稳健的货币政策更加灵活精准、合理适度，做好两项直达货币政策工具转换和接续工作，</w:t>
      </w:r>
      <w:r>
        <w:rPr>
          <w:rFonts w:hint="eastAsia" w:ascii="仿宋_GB2312" w:hAnsi="仿宋_GB2312" w:eastAsia="仿宋_GB2312" w:cs="仿宋_GB2312"/>
          <w:color w:val="000000"/>
          <w:sz w:val="32"/>
          <w:szCs w:val="32"/>
        </w:rPr>
        <w:t>充分发挥再贷款、再贴现等货币政策工具引导作用，发挥支小再贷款的积极作用，用好普惠小微贷款支持工具，进一步加大对中小微企业的支持力度。</w:t>
      </w:r>
      <w:r>
        <w:rPr>
          <w:rFonts w:hint="eastAsia" w:ascii="仿宋_GB2312" w:eastAsia="仿宋_GB2312"/>
          <w:sz w:val="32"/>
          <w:szCs w:val="32"/>
        </w:rPr>
        <w:t>二是落实《关于做好疫情防控和经济社会发展金融服务的通知》，加大宣传和推进各项金融支持实体经济发展的信贷政策，与相关部门积极协调配合，加强银企对接力度。持续发挥邢台市民营小微企业首贷续贷服务中心职能，推动金融服务中小微企业提质增效。三是继续开展“带动小生意 服务大民生”金融支持个体工商户专项行动，落实 “行长走基层”、“金融活水润万企”活动，发挥金融资源优势，引导金融机构下沉服务，深化银企精准对接，满足中小微企业金融需求。</w:t>
      </w:r>
    </w:p>
    <w:p>
      <w:pPr>
        <w:widowControl w:val="0"/>
        <w:wordWrap/>
        <w:adjustRightInd/>
        <w:snapToGrid/>
        <w:spacing w:before="0" w:after="0" w:line="500" w:lineRule="exact"/>
        <w:ind w:left="0" w:leftChars="0" w:right="0" w:firstLine="645"/>
        <w:textAlignment w:val="auto"/>
        <w:outlineLvl w:val="9"/>
        <w:rPr>
          <w:rFonts w:hint="eastAsia" w:ascii="仿宋_GB2312" w:eastAsia="仿宋_GB2312"/>
          <w:sz w:val="32"/>
          <w:szCs w:val="32"/>
        </w:rPr>
      </w:pPr>
    </w:p>
    <w:p>
      <w:pPr>
        <w:widowControl w:val="0"/>
        <w:wordWrap/>
        <w:adjustRightInd/>
        <w:snapToGrid/>
        <w:spacing w:before="0" w:after="0" w:line="500" w:lineRule="exact"/>
        <w:ind w:left="0" w:leftChars="0" w:right="0" w:firstLine="480" w:firstLineChars="150"/>
        <w:jc w:val="right"/>
        <w:textAlignment w:val="auto"/>
        <w:outlineLvl w:val="9"/>
        <w:rPr>
          <w:rFonts w:ascii="仿宋_GB2312" w:eastAsia="仿宋_GB2312"/>
          <w:sz w:val="32"/>
          <w:szCs w:val="32"/>
        </w:rPr>
      </w:pPr>
      <w:r>
        <w:rPr>
          <w:rFonts w:hint="eastAsia" w:ascii="仿宋_GB2312" w:eastAsia="仿宋_GB2312"/>
          <w:sz w:val="32"/>
          <w:szCs w:val="32"/>
        </w:rPr>
        <w:t>中国人民银行邢台市中心支行</w:t>
      </w:r>
    </w:p>
    <w:p>
      <w:pPr>
        <w:widowControl w:val="0"/>
        <w:wordWrap/>
        <w:adjustRightInd/>
        <w:snapToGrid/>
        <w:spacing w:before="0" w:after="0" w:line="500" w:lineRule="exact"/>
        <w:ind w:left="0" w:leftChars="0" w:right="0" w:firstLine="3520" w:firstLineChars="1100"/>
        <w:jc w:val="center"/>
        <w:textAlignment w:val="auto"/>
        <w:outlineLvl w:val="9"/>
        <w:rPr>
          <w:rFonts w:ascii="仿宋_GB2312" w:eastAsia="仿宋_GB2312"/>
          <w:sz w:val="32"/>
          <w:szCs w:val="32"/>
        </w:rPr>
      </w:pPr>
      <w:r>
        <w:rPr>
          <w:rFonts w:hint="eastAsia" w:ascii="仿宋_GB2312" w:eastAsia="仿宋_GB2312"/>
          <w:sz w:val="32"/>
          <w:szCs w:val="32"/>
        </w:rPr>
        <w:t xml:space="preserve">       2022</w:t>
      </w:r>
      <w:r>
        <w:rPr>
          <w:rFonts w:hint="eastAsia" w:ascii="仿宋_GB2312" w:hAnsi="仿宋_GB2312" w:eastAsia="仿宋_GB2312" w:cs="仿宋_GB2312"/>
          <w:sz w:val="32"/>
          <w:szCs w:val="32"/>
        </w:rPr>
        <w:t>年</w:t>
      </w:r>
      <w:r>
        <w:rPr>
          <w:rFonts w:hint="eastAsia" w:ascii="仿宋_GB2312" w:eastAsia="仿宋_GB2312"/>
          <w:sz w:val="32"/>
          <w:szCs w:val="32"/>
        </w:rPr>
        <w:t>4月26日</w:t>
      </w:r>
    </w:p>
    <w:p>
      <w:pPr>
        <w:widowControl w:val="0"/>
        <w:wordWrap/>
        <w:adjustRightInd/>
        <w:snapToGrid/>
        <w:spacing w:before="0" w:after="0" w:line="540" w:lineRule="exact"/>
        <w:ind w:left="0" w:leftChars="0" w:right="0" w:firstLine="480" w:firstLineChars="150"/>
        <w:textAlignment w:val="auto"/>
        <w:outlineLvl w:val="9"/>
        <w:rPr>
          <w:rFonts w:ascii="仿宋_GB2312" w:eastAsia="仿宋_GB2312"/>
          <w:sz w:val="32"/>
          <w:szCs w:val="32"/>
        </w:rPr>
      </w:pPr>
    </w:p>
    <w:p>
      <w:pPr>
        <w:widowControl w:val="0"/>
        <w:wordWrap/>
        <w:adjustRightInd/>
        <w:snapToGrid/>
        <w:spacing w:before="0" w:after="0" w:line="540" w:lineRule="exact"/>
        <w:ind w:right="0"/>
        <w:textAlignment w:val="auto"/>
        <w:outlineLvl w:val="9"/>
        <w:rPr>
          <w:rFonts w:hint="eastAsia" w:ascii="仿宋_GB2312" w:eastAsia="仿宋_GB2312"/>
          <w:sz w:val="32"/>
          <w:szCs w:val="32"/>
        </w:rPr>
      </w:pPr>
    </w:p>
    <w:p>
      <w:pPr>
        <w:ind w:firstLine="640"/>
      </w:pPr>
      <w:bookmarkStart w:id="0" w:name="_GoBack"/>
      <w:bookmarkEnd w:id="0"/>
    </w:p>
    <w:sectPr>
      <w:pgSz w:w="11906" w:h="16838"/>
      <w:pgMar w:top="2155" w:right="1531" w:bottom="170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方正小标宋简体">
    <w:altName w:val="微软雅黑"/>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DA5ZDBhOWVmZmZmYWJhN2I2OWRlZmVlZjdkYmJjZTIifQ=="/>
  </w:docVars>
  <w:rsids>
    <w:rsidRoot w:val="00172A27"/>
    <w:rsid w:val="4FE24FDB"/>
    <w:rsid w:val="5D3F13BF"/>
    <w:rsid w:val="7DBF229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0"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
    <w:qFormat/>
    <w:uiPriority w:val="0"/>
    <w:pPr>
      <w:keepNext/>
      <w:keepLines/>
      <w:spacing w:before="340" w:after="330" w:line="578" w:lineRule="auto"/>
      <w:outlineLvl w:val="0"/>
    </w:pPr>
    <w:rPr>
      <w:bCs/>
      <w:kern w:val="44"/>
      <w:szCs w:val="44"/>
    </w:rPr>
  </w:style>
  <w:style w:type="paragraph" w:styleId="3">
    <w:name w:val="heading 2"/>
    <w:basedOn w:val="1"/>
    <w:next w:val="1"/>
    <w:link w:val="15"/>
    <w:unhideWhenUsed/>
    <w:qFormat/>
    <w:uiPriority w:val="9"/>
    <w:pPr>
      <w:keepNext/>
      <w:keepLines/>
      <w:outlineLvl w:val="1"/>
    </w:pPr>
    <w:rPr>
      <w:rFonts w:ascii="Cambria" w:hAnsi="Cambria" w:cs="黑体"/>
      <w:b/>
      <w:bCs/>
      <w:szCs w:val="32"/>
    </w:rPr>
  </w:style>
  <w:style w:type="character" w:default="1" w:styleId="8">
    <w:name w:val="Default Paragraph Font"/>
    <w:unhideWhenUsed/>
    <w:qFormat/>
    <w:uiPriority w:val="1"/>
  </w:style>
  <w:style w:type="table" w:default="1" w:styleId="7">
    <w:name w:val="Normal Table"/>
    <w:unhideWhenUsed/>
    <w:qFormat/>
    <w:uiPriority w:val="0"/>
    <w:tblPr>
      <w:tblCellMar>
        <w:top w:w="0" w:type="dxa"/>
        <w:left w:w="108" w:type="dxa"/>
        <w:bottom w:w="0" w:type="dxa"/>
        <w:right w:w="108" w:type="dxa"/>
      </w:tblCellMar>
    </w:tblPr>
  </w:style>
  <w:style w:type="paragraph" w:styleId="4">
    <w:name w:val="footer"/>
    <w:basedOn w:val="1"/>
    <w:link w:val="17"/>
    <w:unhideWhenUsed/>
    <w:qFormat/>
    <w:uiPriority w:val="99"/>
    <w:pPr>
      <w:tabs>
        <w:tab w:val="center" w:pos="4153"/>
        <w:tab w:val="right" w:pos="8306"/>
      </w:tabs>
      <w:snapToGrid w:val="0"/>
      <w:jc w:val="left"/>
    </w:pPr>
    <w:rPr>
      <w:sz w:val="18"/>
      <w:szCs w:val="18"/>
    </w:rPr>
  </w:style>
  <w:style w:type="paragraph" w:styleId="5">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itle"/>
    <w:basedOn w:val="1"/>
    <w:next w:val="1"/>
    <w:link w:val="13"/>
    <w:qFormat/>
    <w:uiPriority w:val="0"/>
    <w:pPr>
      <w:spacing w:before="240" w:after="60"/>
      <w:jc w:val="center"/>
      <w:outlineLvl w:val="0"/>
    </w:pPr>
    <w:rPr>
      <w:rFonts w:ascii="Cambria" w:hAnsi="Cambria" w:eastAsia="方正小标宋简体" w:cs="黑体"/>
      <w:b/>
      <w:bCs/>
      <w:sz w:val="44"/>
      <w:szCs w:val="32"/>
    </w:rPr>
  </w:style>
  <w:style w:type="character" w:styleId="9">
    <w:name w:val="Strong"/>
    <w:basedOn w:val="8"/>
    <w:qFormat/>
    <w:uiPriority w:val="0"/>
    <w:rPr>
      <w:rFonts w:eastAsia="仿宋_GB2312"/>
      <w:b/>
      <w:bCs/>
      <w:sz w:val="32"/>
    </w:rPr>
  </w:style>
  <w:style w:type="character" w:styleId="10">
    <w:name w:val="page number"/>
    <w:basedOn w:val="8"/>
    <w:unhideWhenUsed/>
    <w:qFormat/>
    <w:uiPriority w:val="0"/>
  </w:style>
  <w:style w:type="character" w:styleId="11">
    <w:name w:val="Emphasis"/>
    <w:qFormat/>
    <w:uiPriority w:val="0"/>
    <w:rPr>
      <w:rFonts w:eastAsia="楷体_GB2312"/>
      <w:b/>
      <w:iCs/>
      <w:sz w:val="32"/>
    </w:rPr>
  </w:style>
  <w:style w:type="paragraph" w:customStyle="1" w:styleId="12">
    <w:name w:val="No Spacing"/>
    <w:qFormat/>
    <w:uiPriority w:val="1"/>
    <w:pPr>
      <w:widowControl w:val="0"/>
      <w:jc w:val="both"/>
    </w:pPr>
    <w:rPr>
      <w:rFonts w:ascii="Calibri" w:hAnsi="Calibri" w:eastAsia="黑体" w:cs="黑体"/>
      <w:kern w:val="2"/>
      <w:sz w:val="30"/>
      <w:szCs w:val="22"/>
      <w:lang w:val="en-US" w:eastAsia="zh-CN" w:bidi="ar-SA"/>
    </w:rPr>
  </w:style>
  <w:style w:type="character" w:customStyle="1" w:styleId="13">
    <w:name w:val="标题 Char"/>
    <w:basedOn w:val="8"/>
    <w:link w:val="6"/>
    <w:qFormat/>
    <w:uiPriority w:val="0"/>
    <w:rPr>
      <w:rFonts w:ascii="Cambria" w:hAnsi="Cambria" w:eastAsia="方正小标宋简体" w:cs="黑体"/>
      <w:b/>
      <w:bCs/>
      <w:kern w:val="2"/>
      <w:sz w:val="44"/>
      <w:szCs w:val="32"/>
    </w:rPr>
  </w:style>
  <w:style w:type="character" w:customStyle="1" w:styleId="14">
    <w:name w:val="标题 1 Char"/>
    <w:basedOn w:val="8"/>
    <w:link w:val="2"/>
    <w:qFormat/>
    <w:uiPriority w:val="0"/>
    <w:rPr>
      <w:rFonts w:eastAsia="黑体"/>
      <w:bCs/>
      <w:kern w:val="44"/>
      <w:sz w:val="32"/>
      <w:szCs w:val="44"/>
    </w:rPr>
  </w:style>
  <w:style w:type="character" w:customStyle="1" w:styleId="15">
    <w:name w:val="标题 2 Char"/>
    <w:basedOn w:val="8"/>
    <w:link w:val="3"/>
    <w:qFormat/>
    <w:uiPriority w:val="9"/>
    <w:rPr>
      <w:rFonts w:ascii="Cambria" w:hAnsi="Cambria" w:eastAsia="黑体" w:cs="黑体"/>
      <w:b/>
      <w:bCs/>
      <w:sz w:val="30"/>
      <w:szCs w:val="32"/>
    </w:rPr>
  </w:style>
  <w:style w:type="character" w:customStyle="1" w:styleId="16">
    <w:name w:val="页眉 Char Char"/>
    <w:basedOn w:val="8"/>
    <w:link w:val="5"/>
    <w:qFormat/>
    <w:uiPriority w:val="99"/>
    <w:rPr>
      <w:rFonts w:ascii="Times New Roman" w:hAnsi="Times New Roman" w:eastAsia="宋体" w:cs="Times New Roman"/>
      <w:sz w:val="18"/>
      <w:szCs w:val="18"/>
    </w:rPr>
  </w:style>
  <w:style w:type="character" w:customStyle="1" w:styleId="17">
    <w:name w:val="页脚 Char Char"/>
    <w:basedOn w:val="8"/>
    <w:link w:val="4"/>
    <w:qFormat/>
    <w:uiPriority w:val="99"/>
    <w:rPr>
      <w:rFonts w:ascii="Times New Roman" w:hAnsi="Times New Roman" w:eastAsia="宋体" w:cs="Times New Roman"/>
      <w:sz w:val="18"/>
      <w:szCs w:val="18"/>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theme/theme1.xml" Type="http://schemas.openxmlformats.org/officeDocument/2006/relationships/theme"/><Relationship Id="rId4" Target="../customXml/item1.xml" Type="http://schemas.openxmlformats.org/officeDocument/2006/relationships/customXml"/><Relationship Id="rId5"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4</Pages>
  <Words>2075</Words>
  <Characters>2204</Characters>
  <Lines>15</Lines>
  <Paragraphs>4</Paragraphs>
  <TotalTime>0</TotalTime>
  <ScaleCrop>false</ScaleCrop>
  <LinksUpToDate>false</LinksUpToDate>
  <CharactersWithSpaces>2227</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2022-03-25T08:26:00Z</dcterms:created>
  <dc:creator>杜静花</dc:creator>
  <cp:lastModifiedBy>李佳</cp:lastModifiedBy>
  <cp:lastPrinted>2022-06-02T07:50:00Z</cp:lastPrinted>
  <dcterms:modified xsi:type="dcterms:W3CDTF">2023-01-06T09:40:47Z</dcterms:modified>
  <dc:title>是否同意公开：否</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3EAA0B5B897E47BEAADEA19A39388F87</vt:lpwstr>
  </property>
</Properties>
</file>