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邢东新区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消防救援大队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新区大队担负着全区企事业单位的消防监督检查和安全保卫任务，依据消防法律法规及行政规章规定，对辖区不履行或不严格按照规定履行消防安全工作职责的行为提出整改意见，并视情予以处理。大队的主要职责有：公众聚集场所使用或开业前以及大型群众性活动举办前的消防安全检查；消防安全监督检查和投诉举报事项监督检查；消防产品监督检查。根据《中华人民共和国政府信息公开条例》要求，认真组织实施政府信息公开，截止2022年底，邢东新区消防大队办理1起公众聚集场所使用或开业前以及大型群众性活动举办前的消防安全检查，行政处罚11起，行政强制1起，根据相关要求办理案件需要在7天内将被受理单位信息公示在社会信用信息共享平台，由于新区大队统一社会信用代码于今年8月份办理完成，8月份之前无法使用社会信用信息共享平台，8月份前办理的处罚案件已于年底集中补充公示。</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（一）加强主动公开</w:t>
      </w:r>
      <w:r>
        <w:rPr>
          <w:rFonts w:hint="eastAsia" w:ascii="仿宋_GB2312" w:hAnsi="仿宋_GB2312" w:eastAsia="仿宋_GB2312" w:cs="仿宋_GB2312"/>
          <w:b w:val="0"/>
          <w:bCs w:val="0"/>
          <w:sz w:val="32"/>
          <w:szCs w:val="32"/>
          <w:highlight w:val="none"/>
          <w:lang w:val="en-US" w:eastAsia="zh-CN"/>
        </w:rPr>
        <w:t>信息</w:t>
      </w:r>
      <w:r>
        <w:rPr>
          <w:rFonts w:hint="eastAsia" w:ascii="仿宋_GB2312" w:hAnsi="仿宋_GB2312" w:eastAsia="仿宋_GB2312" w:cs="仿宋_GB2312"/>
          <w:b w:val="0"/>
          <w:bCs w:val="0"/>
          <w:sz w:val="32"/>
          <w:szCs w:val="32"/>
          <w:highlight w:val="none"/>
          <w:lang w:eastAsia="zh-CN"/>
        </w:rPr>
        <w:t>。我大队按照“公正、公平、便民”原则，积极主动地做好政府信息公开工作，涉及需要社会公众广泛知晓或者参与，本单位工作要点、行政许可、行政处罚信用</w:t>
      </w:r>
      <w:r>
        <w:rPr>
          <w:rFonts w:hint="eastAsia" w:ascii="仿宋_GB2312" w:hAnsi="仿宋_GB2312" w:eastAsia="仿宋_GB2312" w:cs="仿宋_GB2312"/>
          <w:b w:val="0"/>
          <w:bCs w:val="0"/>
          <w:sz w:val="32"/>
          <w:szCs w:val="32"/>
          <w:highlight w:val="none"/>
          <w:lang w:val="en-US" w:eastAsia="zh-CN"/>
        </w:rPr>
        <w:t>信息</w:t>
      </w:r>
      <w:r>
        <w:rPr>
          <w:rFonts w:hint="eastAsia" w:ascii="仿宋_GB2312" w:hAnsi="仿宋_GB2312" w:eastAsia="仿宋_GB2312" w:cs="仿宋_GB2312"/>
          <w:b w:val="0"/>
          <w:bCs w:val="0"/>
          <w:sz w:val="32"/>
          <w:szCs w:val="32"/>
          <w:highlight w:val="none"/>
          <w:lang w:eastAsia="zh-CN"/>
        </w:rPr>
        <w:t>等内容都进行了主动公开。</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（二）规范依</w:t>
      </w:r>
      <w:r>
        <w:rPr>
          <w:rFonts w:hint="eastAsia" w:ascii="仿宋_GB2312" w:hAnsi="仿宋_GB2312" w:eastAsia="仿宋_GB2312" w:cs="仿宋_GB2312"/>
          <w:b w:val="0"/>
          <w:bCs w:val="0"/>
          <w:sz w:val="32"/>
          <w:szCs w:val="32"/>
          <w:highlight w:val="none"/>
          <w:lang w:val="en-US" w:eastAsia="zh-CN"/>
        </w:rPr>
        <w:t>法</w:t>
      </w:r>
      <w:r>
        <w:rPr>
          <w:rFonts w:hint="eastAsia" w:ascii="仿宋_GB2312" w:hAnsi="仿宋_GB2312" w:eastAsia="仿宋_GB2312" w:cs="仿宋_GB2312"/>
          <w:b w:val="0"/>
          <w:bCs w:val="0"/>
          <w:sz w:val="32"/>
          <w:szCs w:val="32"/>
          <w:highlight w:val="none"/>
          <w:lang w:eastAsia="zh-CN"/>
        </w:rPr>
        <w:t>申请公开。2022年度</w:t>
      </w:r>
      <w:r>
        <w:rPr>
          <w:rFonts w:hint="eastAsia" w:ascii="仿宋_GB2312" w:hAnsi="仿宋_GB2312" w:eastAsia="仿宋_GB2312" w:cs="仿宋_GB2312"/>
          <w:b w:val="0"/>
          <w:bCs w:val="0"/>
          <w:sz w:val="32"/>
          <w:szCs w:val="32"/>
          <w:highlight w:val="none"/>
          <w:lang w:val="en-US" w:eastAsia="zh-CN"/>
        </w:rPr>
        <w:t>我大队</w:t>
      </w:r>
      <w:r>
        <w:rPr>
          <w:rFonts w:hint="eastAsia" w:ascii="仿宋_GB2312" w:hAnsi="仿宋_GB2312" w:eastAsia="仿宋_GB2312" w:cs="仿宋_GB2312"/>
          <w:b w:val="0"/>
          <w:bCs w:val="0"/>
          <w:sz w:val="32"/>
          <w:szCs w:val="32"/>
          <w:highlight w:val="none"/>
          <w:lang w:eastAsia="zh-CN"/>
        </w:rPr>
        <w:t>未收到依申请公开的申请件，全年未发生因政府信息公开引起的复议和行政诉讼，有效维护了政府形象，提升了政府公信力、社会凝聚力。</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（三）严格政府信息管理。积极贯彻落实政府信息公开条例，</w:t>
      </w:r>
      <w:r>
        <w:rPr>
          <w:rFonts w:ascii="仿宋_GB2312" w:hAnsi="仿宋_GB2312" w:eastAsia="仿宋_GB2312" w:cs="仿宋_GB2312"/>
          <w:i w:val="0"/>
          <w:iCs w:val="0"/>
          <w:caps w:val="0"/>
          <w:color w:val="333333"/>
          <w:spacing w:val="0"/>
          <w:sz w:val="32"/>
          <w:szCs w:val="32"/>
          <w:shd w:val="clear" w:fill="FFFFFF"/>
        </w:rPr>
        <w:t>按照“先审查、后公开”和“一事一审”原则，未经审查和批准不得对外发布政府信息</w:t>
      </w:r>
      <w:r>
        <w:rPr>
          <w:rFonts w:hint="eastAsia" w:ascii="仿宋_GB2312" w:hAnsi="仿宋_GB2312" w:eastAsia="仿宋_GB2312" w:cs="仿宋_GB2312"/>
          <w:i w:val="0"/>
          <w:iCs w:val="0"/>
          <w:caps w:val="0"/>
          <w:color w:val="333333"/>
          <w:spacing w:val="0"/>
          <w:sz w:val="32"/>
          <w:szCs w:val="32"/>
          <w:shd w:val="clear" w:fill="FFFFFF"/>
          <w:lang w:eastAsia="zh-CN"/>
        </w:rPr>
        <w:t>，对规定不能公开的信息坚决做到不公开，</w:t>
      </w:r>
      <w:r>
        <w:rPr>
          <w:rFonts w:hint="eastAsia" w:ascii="仿宋_GB2312" w:hAnsi="仿宋_GB2312" w:eastAsia="仿宋_GB2312" w:cs="仿宋_GB2312"/>
          <w:i w:val="0"/>
          <w:iCs w:val="0"/>
          <w:caps w:val="0"/>
          <w:color w:val="333333"/>
          <w:spacing w:val="0"/>
          <w:sz w:val="32"/>
          <w:szCs w:val="32"/>
          <w:shd w:val="clear" w:fill="FFFFFF"/>
          <w:lang w:val="en-US" w:eastAsia="zh-CN"/>
        </w:rPr>
        <w:t>全年未</w:t>
      </w:r>
      <w:r>
        <w:rPr>
          <w:rFonts w:hint="eastAsia" w:ascii="仿宋_GB2312" w:hAnsi="仿宋_GB2312" w:eastAsia="仿宋_GB2312" w:cs="仿宋_GB2312"/>
          <w:i w:val="0"/>
          <w:iCs w:val="0"/>
          <w:caps w:val="0"/>
          <w:color w:val="333333"/>
          <w:spacing w:val="0"/>
          <w:sz w:val="32"/>
          <w:szCs w:val="32"/>
          <w:shd w:val="clear" w:fill="FFFFFF"/>
          <w:lang w:eastAsia="zh-CN"/>
        </w:rPr>
        <w:t>发生一起泄密事件</w:t>
      </w:r>
      <w:bookmarkStart w:id="0" w:name="_GoBack"/>
      <w:bookmarkEnd w:id="0"/>
      <w:r>
        <w:rPr>
          <w:rFonts w:hint="eastAsia" w:ascii="仿宋_GB2312" w:hAnsi="仿宋_GB2312" w:eastAsia="仿宋_GB2312" w:cs="仿宋_GB2312"/>
          <w:b w:val="0"/>
          <w:bCs w:val="0"/>
          <w:sz w:val="32"/>
          <w:szCs w:val="32"/>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eastAsia="宋体"/>
          <w:highlight w:val="none"/>
        </w:rPr>
      </w:pPr>
      <w:r>
        <w:rPr>
          <w:rFonts w:hint="eastAsia" w:ascii="仿宋_GB2312" w:hAnsi="仿宋_GB2312" w:eastAsia="仿宋_GB2312" w:cs="仿宋_GB2312"/>
          <w:b w:val="0"/>
          <w:bCs w:val="0"/>
          <w:sz w:val="32"/>
          <w:szCs w:val="32"/>
          <w:highlight w:val="none"/>
          <w:lang w:eastAsia="zh-CN"/>
        </w:rPr>
        <w:t>（四）推进政府信息公开平台建设。</w:t>
      </w:r>
      <w:r>
        <w:rPr>
          <w:rFonts w:hint="eastAsia" w:ascii="仿宋_GB2312" w:hAnsi="仿宋_GB2312" w:eastAsia="仿宋_GB2312" w:cs="仿宋_GB2312"/>
          <w:b w:val="0"/>
          <w:bCs w:val="0"/>
          <w:sz w:val="32"/>
          <w:szCs w:val="32"/>
          <w:highlight w:val="none"/>
          <w:lang w:val="en-US" w:eastAsia="zh-CN"/>
        </w:rPr>
        <w:t>严格按照</w:t>
      </w:r>
      <w:r>
        <w:rPr>
          <w:rFonts w:ascii="仿宋_GB2312" w:hAnsi="微软雅黑" w:eastAsia="仿宋_GB2312" w:cs="仿宋_GB2312"/>
          <w:i w:val="0"/>
          <w:iCs w:val="0"/>
          <w:color w:val="333333"/>
          <w:spacing w:val="0"/>
          <w:sz w:val="31"/>
          <w:szCs w:val="31"/>
          <w:u w:val="none"/>
          <w:bdr w:val="none" w:color="auto" w:sz="0" w:space="0"/>
          <w:shd w:val="clear" w:fill="FFFFFF"/>
        </w:rPr>
        <w:t>政府信息公开目录</w:t>
      </w:r>
      <w:r>
        <w:rPr>
          <w:rFonts w:hint="eastAsia" w:ascii="仿宋_GB2312" w:hAnsi="微软雅黑" w:eastAsia="仿宋_GB2312" w:cs="仿宋_GB2312"/>
          <w:i w:val="0"/>
          <w:iCs w:val="0"/>
          <w:color w:val="333333"/>
          <w:spacing w:val="0"/>
          <w:sz w:val="31"/>
          <w:szCs w:val="31"/>
          <w:u w:val="none"/>
          <w:bdr w:val="none" w:color="auto" w:sz="0" w:space="0"/>
          <w:shd w:val="clear" w:fill="FFFFFF"/>
          <w:lang w:val="en-US" w:eastAsia="zh-CN"/>
        </w:rPr>
        <w:t>要求</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我大队</w:t>
      </w:r>
      <w:r>
        <w:rPr>
          <w:rFonts w:hint="eastAsia" w:ascii="仿宋_GB2312" w:hAnsi="仿宋_GB2312" w:eastAsia="仿宋_GB2312" w:cs="仿宋_GB2312"/>
          <w:b w:val="0"/>
          <w:bCs w:val="0"/>
          <w:sz w:val="32"/>
          <w:szCs w:val="32"/>
          <w:highlight w:val="none"/>
          <w:lang w:eastAsia="zh-CN"/>
        </w:rPr>
        <w:t>及时在</w:t>
      </w:r>
      <w:r>
        <w:rPr>
          <w:rFonts w:hint="eastAsia" w:ascii="仿宋_GB2312" w:hAnsi="仿宋_GB2312" w:eastAsia="仿宋_GB2312" w:cs="仿宋_GB2312"/>
          <w:b w:val="0"/>
          <w:bCs w:val="0"/>
          <w:sz w:val="32"/>
          <w:szCs w:val="32"/>
          <w:highlight w:val="none"/>
          <w:lang w:val="en-US" w:eastAsia="zh-CN"/>
        </w:rPr>
        <w:t>政府</w:t>
      </w:r>
      <w:r>
        <w:rPr>
          <w:rFonts w:hint="eastAsia" w:ascii="仿宋_GB2312" w:hAnsi="仿宋_GB2312" w:eastAsia="仿宋_GB2312" w:cs="仿宋_GB2312"/>
          <w:b w:val="0"/>
          <w:bCs w:val="0"/>
          <w:sz w:val="32"/>
          <w:szCs w:val="32"/>
          <w:highlight w:val="none"/>
          <w:lang w:eastAsia="zh-CN"/>
        </w:rPr>
        <w:t>网站、</w:t>
      </w:r>
      <w:r>
        <w:rPr>
          <w:rFonts w:hint="eastAsia" w:ascii="仿宋_GB2312" w:hAnsi="仿宋_GB2312" w:eastAsia="仿宋_GB2312" w:cs="仿宋_GB2312"/>
          <w:b w:val="0"/>
          <w:bCs w:val="0"/>
          <w:sz w:val="32"/>
          <w:szCs w:val="32"/>
          <w:highlight w:val="none"/>
          <w:lang w:val="en-US" w:eastAsia="zh-CN"/>
        </w:rPr>
        <w:t>信用双公示平台</w:t>
      </w:r>
      <w:r>
        <w:rPr>
          <w:rFonts w:hint="eastAsia" w:ascii="仿宋_GB2312" w:hAnsi="仿宋_GB2312" w:eastAsia="仿宋_GB2312" w:cs="仿宋_GB2312"/>
          <w:b w:val="0"/>
          <w:bCs w:val="0"/>
          <w:sz w:val="32"/>
          <w:szCs w:val="32"/>
          <w:highlight w:val="none"/>
          <w:lang w:eastAsia="zh-CN"/>
        </w:rPr>
        <w:t>等公开行政许可、行政处罚等信用信息。</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（五）强化监督保障。大队高度重视政务信息公开工作，明确要求将政府信息公开工作纳入了日常重要工作议程，全面梳理了消防工作需公开的政务信息，</w:t>
      </w:r>
      <w:r>
        <w:rPr>
          <w:rFonts w:hint="eastAsia" w:ascii="仿宋_GB2312" w:hAnsi="仿宋_GB2312" w:eastAsia="仿宋_GB2312" w:cs="仿宋_GB2312"/>
          <w:b w:val="0"/>
          <w:bCs w:val="0"/>
          <w:sz w:val="32"/>
          <w:szCs w:val="32"/>
          <w:highlight w:val="none"/>
          <w:lang w:val="en-US" w:eastAsia="zh-CN"/>
        </w:rPr>
        <w:t>安排专人负责该项工作，不断完善领导负总责，经办人员具体负责的工作责任制，强化工作责任，将责任明确到人，做到一级抓一级，层层抓落实，确保</w:t>
      </w:r>
      <w:r>
        <w:rPr>
          <w:rFonts w:hint="eastAsia" w:ascii="仿宋_GB2312" w:hAnsi="仿宋_GB2312" w:eastAsia="仿宋_GB2312" w:cs="仿宋_GB2312"/>
          <w:b w:val="0"/>
          <w:bCs w:val="0"/>
          <w:sz w:val="32"/>
          <w:szCs w:val="32"/>
          <w:highlight w:val="none"/>
          <w:lang w:eastAsia="zh-CN"/>
        </w:rPr>
        <w:t>政务信息公开工作进一步规范化、制度化。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本年处理决定数理</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本年处理决定数理</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11</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1</w:t>
            </w:r>
          </w:p>
        </w:tc>
      </w:tr>
      <w:tr>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textAlignment w:val="auto"/>
              <w:rPr>
                <w:rFonts w:hint="default" w:eastAsia="宋体"/>
                <w:lang w:val="en-US" w:eastAsia="zh-CN"/>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宋体" w:eastAsia="宋体"/>
                <w:sz w:val="24"/>
                <w:szCs w:val="24"/>
                <w:lang w:val="en-US" w:eastAsia="zh-CN"/>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leftChars="0" w:right="0" w:rightChars="0"/>
              <w:jc w:val="center"/>
              <w:textAlignment w:val="auto"/>
              <w:rPr>
                <w:rFonts w:hint="eastAsia" w:asciiTheme="minorEastAsia" w:hAnsiTheme="minorEastAsia" w:eastAsiaTheme="minorEastAsia" w:cstheme="minorEastAsia"/>
                <w:sz w:val="24"/>
                <w:szCs w:val="24"/>
                <w:lang w:val="en-US" w:eastAsia="zh-CN"/>
              </w:rPr>
            </w:pPr>
            <w:r>
              <w:rPr>
                <w:rFonts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1、政务公开意识薄弱，导致部分处罚未能及时公开。</w:t>
      </w:r>
    </w:p>
    <w:p>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2、业务能力不足，流程掌握不熟练</w:t>
      </w:r>
      <w:r>
        <w:rPr>
          <w:rFonts w:hint="eastAsia" w:ascii="仿宋_GB2312" w:hAnsi="仿宋_GB2312" w:eastAsia="仿宋_GB2312" w:cs="仿宋_GB2312"/>
          <w:sz w:val="32"/>
          <w:szCs w:val="32"/>
        </w:rPr>
        <w:t>。</w:t>
      </w:r>
    </w:p>
    <w:p>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下一阶段，我大队将</w:t>
      </w:r>
      <w:r>
        <w:rPr>
          <w:rFonts w:hint="eastAsia" w:ascii="仿宋_GB2312" w:hAnsi="仿宋_GB2312" w:eastAsia="仿宋_GB2312" w:cs="仿宋_GB2312"/>
          <w:sz w:val="32"/>
          <w:szCs w:val="32"/>
        </w:rPr>
        <w:t>安排专人负责政务公开工作，</w:t>
      </w:r>
      <w:r>
        <w:rPr>
          <w:rFonts w:hint="eastAsia" w:ascii="仿宋_GB2312" w:hAnsi="仿宋_GB2312" w:eastAsia="仿宋_GB2312" w:cs="仿宋_GB2312"/>
          <w:sz w:val="32"/>
          <w:szCs w:val="32"/>
          <w:lang w:val="en-US" w:eastAsia="zh-CN"/>
        </w:rPr>
        <w:t>开展业务培训，增强业务水平</w:t>
      </w:r>
      <w:r>
        <w:rPr>
          <w:rFonts w:hint="eastAsia" w:ascii="仿宋_GB2312" w:hAnsi="仿宋_GB2312" w:eastAsia="仿宋_GB2312" w:cs="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4"/>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邢东新区消防救援大队</w:t>
      </w:r>
      <w:r>
        <w:rPr>
          <w:rFonts w:hint="eastAsia" w:ascii="仿宋_GB2312" w:hAnsi="仿宋_GB2312" w:eastAsia="仿宋_GB2312" w:cs="仿宋_GB2312"/>
          <w:sz w:val="32"/>
          <w:szCs w:val="32"/>
        </w:rPr>
        <w:t>未收取信息处理费。</w:t>
      </w:r>
      <w:r>
        <w:rPr>
          <w:rFonts w:hint="eastAsia" w:ascii="微软雅黑" w:hAnsi="微软雅黑" w:eastAsia="微软雅黑" w:cs="微软雅黑"/>
          <w:b w:val="0"/>
          <w:color w:val="333333"/>
          <w:sz w:val="22"/>
          <w:szCs w:val="2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68EF79-6407-4A16-88F3-7E3BCD7DA6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8D0C65-C21B-4E19-9410-6B49D9902FC5}"/>
  </w:font>
  <w:font w:name="仿宋_GB2312">
    <w:panose1 w:val="02010609030101010101"/>
    <w:charset w:val="86"/>
    <w:family w:val="auto"/>
    <w:pitch w:val="default"/>
    <w:sig w:usb0="00000001" w:usb1="080E0000" w:usb2="00000000" w:usb3="00000000" w:csb0="00040000" w:csb1="00000000"/>
    <w:embedRegular r:id="rId3" w:fontKey="{7616545F-3252-46B8-B09E-761FDA6F47BF}"/>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05623E8E-4FA3-4339-A832-88226FF86B38}"/>
  </w:font>
  <w:font w:name="楷体_GB2312">
    <w:panose1 w:val="02010609030101010101"/>
    <w:charset w:val="86"/>
    <w:family w:val="auto"/>
    <w:pitch w:val="default"/>
    <w:sig w:usb0="00000001" w:usb1="080E0000" w:usb2="00000000" w:usb3="00000000" w:csb0="00040000" w:csb1="00000000"/>
    <w:embedRegular r:id="rId5" w:fontKey="{87007B49-3E7C-4697-9150-23C5FE2D4F22}"/>
  </w:font>
  <w:font w:name="楷体">
    <w:panose1 w:val="02010609060101010101"/>
    <w:charset w:val="86"/>
    <w:family w:val="auto"/>
    <w:pitch w:val="default"/>
    <w:sig w:usb0="800002BF" w:usb1="38CF7CFA" w:usb2="00000016" w:usb3="00000000" w:csb0="00040001" w:csb1="00000000"/>
    <w:embedRegular r:id="rId6" w:fontKey="{0CF20913-2DAF-489D-AC39-50AB83FA4C9B}"/>
  </w:font>
  <w:font w:name="微软雅黑">
    <w:panose1 w:val="020B0503020204020204"/>
    <w:charset w:val="86"/>
    <w:family w:val="auto"/>
    <w:pitch w:val="default"/>
    <w:sig w:usb0="80000287" w:usb1="2ACF3C50" w:usb2="00000016" w:usb3="00000000" w:csb0="0004001F" w:csb1="00000000"/>
    <w:embedRegular r:id="rId7" w:fontKey="{A491254E-00F1-4A39-AB30-F569B7B7134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jRlNjg1NjQ5Mzg1NWQ2NmE3OWNlMzA5M2YzY2IifQ=="/>
  </w:docVars>
  <w:rsids>
    <w:rsidRoot w:val="15C578C3"/>
    <w:rsid w:val="030B1E85"/>
    <w:rsid w:val="03951BD4"/>
    <w:rsid w:val="04380733"/>
    <w:rsid w:val="046855E1"/>
    <w:rsid w:val="077D7A80"/>
    <w:rsid w:val="0A5533E9"/>
    <w:rsid w:val="15C578C3"/>
    <w:rsid w:val="21FC7C31"/>
    <w:rsid w:val="25B737CE"/>
    <w:rsid w:val="29F44FA0"/>
    <w:rsid w:val="35CF5B56"/>
    <w:rsid w:val="3ACB5377"/>
    <w:rsid w:val="3C884423"/>
    <w:rsid w:val="4D8B54B8"/>
    <w:rsid w:val="5CD27C33"/>
    <w:rsid w:val="6506649E"/>
    <w:rsid w:val="65954057"/>
    <w:rsid w:val="668034CF"/>
    <w:rsid w:val="6D8D1731"/>
    <w:rsid w:val="6EF52D5E"/>
    <w:rsid w:val="72080CB8"/>
    <w:rsid w:val="74C46894"/>
    <w:rsid w:val="7B1264E9"/>
    <w:rsid w:val="7C976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 w:type="character" w:styleId="8">
    <w:name w:val="FollowedHyperlink"/>
    <w:basedOn w:val="7"/>
    <w:uiPriority w:val="0"/>
    <w:rPr>
      <w:rFonts w:hint="eastAsia" w:ascii="微软雅黑" w:hAnsi="微软雅黑" w:eastAsia="微软雅黑" w:cs="微软雅黑"/>
      <w:color w:val="800080"/>
      <w:u w:val="none"/>
      <w:bdr w:val="none" w:color="auto" w:sz="0" w:space="0"/>
    </w:rPr>
  </w:style>
  <w:style w:type="character" w:styleId="9">
    <w:name w:val="Emphasis"/>
    <w:basedOn w:val="7"/>
    <w:qFormat/>
    <w:uiPriority w:val="0"/>
    <w:rPr>
      <w:rFonts w:hint="eastAsia" w:ascii="微软雅黑" w:hAnsi="微软雅黑" w:eastAsia="微软雅黑" w:cs="微软雅黑"/>
      <w:u w:val="none"/>
      <w:bdr w:val="none" w:color="auto" w:sz="0" w:space="0"/>
    </w:rPr>
  </w:style>
  <w:style w:type="character" w:styleId="10">
    <w:name w:val="Hyperlink"/>
    <w:basedOn w:val="7"/>
    <w:uiPriority w:val="0"/>
    <w:rPr>
      <w:rFonts w:hint="eastAsia" w:ascii="微软雅黑" w:hAnsi="微软雅黑" w:eastAsia="微软雅黑" w:cs="微软雅黑"/>
      <w:color w:val="0000FF"/>
      <w:u w:val="none"/>
      <w:bdr w:val="none" w:color="auto" w:sz="0" w:space="0"/>
    </w:rPr>
  </w:style>
  <w:style w:type="paragraph" w:customStyle="1" w:styleId="11">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2">
    <w:name w:val="curr2"/>
    <w:basedOn w:val="7"/>
    <w:uiPriority w:val="0"/>
    <w:rPr>
      <w:color w:val="FFFFFF"/>
      <w:shd w:val="clear" w:fill="C50000"/>
    </w:rPr>
  </w:style>
  <w:style w:type="character" w:customStyle="1" w:styleId="13">
    <w:name w:val="hover10"/>
    <w:basedOn w:val="7"/>
    <w:uiPriority w:val="0"/>
    <w:rPr>
      <w:color w:val="C5000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1532</Words>
  <Characters>1564</Characters>
  <Lines>0</Lines>
  <Paragraphs>0</Paragraphs>
  <TotalTime>2</TotalTime>
  <ScaleCrop>false</ScaleCrop>
  <LinksUpToDate>false</LinksUpToDate>
  <CharactersWithSpaces>1732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2022-01-13T08:31:00Z</cp:lastPrinted>
  <dcterms:modified xsi:type="dcterms:W3CDTF">2023-01-30T01:45:38Z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D1DFB73C3CB24F2F9BB88EE6419C89D6</vt:lpwstr>
  </property>
</Properties>
</file>