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仿宋_GB2312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仿宋_GB2312"/>
          <w:sz w:val="44"/>
          <w:szCs w:val="44"/>
        </w:rPr>
        <w:t>邢台市</w:t>
      </w:r>
      <w:r>
        <w:rPr>
          <w:rFonts w:hint="eastAsia" w:ascii="方正小标宋简体" w:hAnsi="宋体" w:eastAsia="方正小标宋简体" w:cs="仿宋_GB2312"/>
          <w:sz w:val="44"/>
          <w:szCs w:val="44"/>
          <w:lang w:eastAsia="zh-CN"/>
        </w:rPr>
        <w:t>文化广电和旅游局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宋体" w:eastAsia="方正小标宋简体"/>
          <w:sz w:val="44"/>
          <w:szCs w:val="44"/>
        </w:rPr>
        <w:t>年政府信息公开工作年度报告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  <w:t>年1月1日至12月31日。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 w:bidi="ar"/>
        </w:rPr>
        <w:t>（一）主动公开力度不断加大。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按照市政府办公室工作要求，增强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我局官方网站及微信、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抖音、快手短视频、头条号、百家号等新媒体平台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公开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力度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以来，邢台市文化广电和旅游局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在市政府信息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公开平台共主动公开政府信息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222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条，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官方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网站发布政府信息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条，通过微信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发布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1140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通过抖音发布信息85条，通过快手短视频发布信息63条，通过头条号发布信息96条，通过百家号发布信息717条，共计发布2437条信息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未发生信息公开失泄密事件。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政策宣传解读工作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/>
        </w:rPr>
        <w:t>质量不断提升，充分利用</w:t>
      </w:r>
      <w:r>
        <w:rPr>
          <w:rFonts w:hint="eastAsia" w:eastAsia="仿宋_GB2312"/>
          <w:color w:val="000000"/>
          <w:sz w:val="32"/>
          <w:szCs w:val="32"/>
          <w:lang w:bidi="ar"/>
        </w:rPr>
        <w:t>新闻发布、媒体采</w:t>
      </w:r>
      <w:r>
        <w:rPr>
          <w:rFonts w:hint="eastAsia" w:ascii="Times New Roman" w:hAnsi="Times New Roman" w:eastAsia="仿宋_GB2312"/>
          <w:sz w:val="32"/>
          <w:szCs w:val="32"/>
        </w:rPr>
        <w:t>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/>
        </w:rPr>
        <w:t>形式解读政策文件，提升了政府政策的传播力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和影响力。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 w:bidi="ar"/>
        </w:rPr>
        <w:t>（二）政府信息依申请公开工作更加规范。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根据《政府信息公开条例》要求，邢台市文化广电和旅游局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进一步健全了依申请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公开工作制度，</w:t>
      </w:r>
      <w:r>
        <w:rPr>
          <w:rFonts w:hint="eastAsia" w:ascii="仿宋_GB2312" w:eastAsia="仿宋_GB2312"/>
          <w:sz w:val="32"/>
          <w:szCs w:val="32"/>
        </w:rPr>
        <w:t>完善</w:t>
      </w:r>
      <w:r>
        <w:rPr>
          <w:rFonts w:hint="eastAsia" w:ascii="仿宋_GB2312" w:eastAsia="仿宋_GB2312"/>
          <w:sz w:val="32"/>
          <w:szCs w:val="32"/>
          <w:lang w:eastAsia="zh-CN"/>
        </w:rPr>
        <w:t>了</w:t>
      </w:r>
      <w:r>
        <w:rPr>
          <w:rFonts w:hint="eastAsia" w:ascii="仿宋_GB2312" w:eastAsia="仿宋_GB2312"/>
          <w:sz w:val="32"/>
          <w:szCs w:val="32"/>
        </w:rPr>
        <w:t>相关工作流程，取得了明显成效。2022年我局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有2件</w:t>
      </w:r>
      <w:r>
        <w:rPr>
          <w:rFonts w:hint="eastAsia" w:ascii="仿宋_GB2312" w:eastAsia="仿宋_GB2312"/>
          <w:sz w:val="32"/>
          <w:szCs w:val="32"/>
        </w:rPr>
        <w:t>依申请政府信息公开，未发生因信息公开引起的行政复议和行政诉讼。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 w:bidi="ar"/>
        </w:rPr>
        <w:t>（三）政府信息管理更加严格。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印发了《关于进一步规范市政府文件信息公开审查工作的通知》，将公文属性源头认定和发布审查嵌入发文流程，有效解决政府文件公开不到位问题。为明确工作职责，将公开工作落实到位，我局研究制定了加强政府信息公开工作的实施方案，明确规分类、编辑、上报和归档；局办公室负责对政府信息公开情况进行协调、督办、审核、通报，保证政府信息公开工作科学高效，避免了职责不清、衔接脱节等问题。为确保该项工作高效运行，我局安排了专门负责政府信息公开的工作人员，并给予有力的办公和经费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 w:bidi="ar"/>
        </w:rPr>
        <w:t>（四）政府信息公开平台建设工作日益完善。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邢台市文化广电和旅游局</w:t>
      </w:r>
      <w:r>
        <w:rPr>
          <w:rFonts w:hint="eastAsia" w:ascii="Times New Roman" w:hAnsi="Times New Roman" w:eastAsia="仿宋_GB2312"/>
          <w:sz w:val="32"/>
          <w:szCs w:val="32"/>
        </w:rPr>
        <w:t>按照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国务院办公厅政务公开办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进一步统一规范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部门网站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栏目设置，优化完善功能，加强政府信息管理，提升主动公开实效。主动通过政务新媒体等渠道加强信息传播，开设了“邢台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文旅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”的微信公众号、抖音、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快手、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今日头条等新媒体平台，方便群众查阅。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 w:bidi="ar"/>
        </w:rPr>
        <w:t>（五）监督保障持续加强。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邢台市文化广电和旅游局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高度</w:t>
      </w:r>
      <w:r>
        <w:rPr>
          <w:rFonts w:hint="eastAsia" w:ascii="仿宋_GB2312" w:eastAsia="仿宋_GB2312"/>
          <w:color w:val="000000"/>
          <w:sz w:val="32"/>
          <w:szCs w:val="32"/>
          <w:lang w:eastAsia="zh-CN" w:bidi="ar"/>
        </w:rPr>
        <w:t>重视政务公开工作，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严格落实市政府信息公开工作的部署，按照信息公开保密审查、源头管理、发布审核机制，明确政务公开信息的发布员、审核员，加强日常读网工作，发现问题及时整改。组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织开展了形式多样的政务公开培训，促进了政务公开工作队伍业务能力进一步提升。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right="0" w:rightChars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主动公开政府信息情况</w:t>
      </w:r>
    </w:p>
    <w:tbl>
      <w:tblPr>
        <w:tblStyle w:val="7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685"/>
        <w:gridCol w:w="1545"/>
        <w:gridCol w:w="17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发件数</w:t>
            </w: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废止件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right="0" w:rightChars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收到和处理政府信息公开申请情况</w:t>
      </w:r>
    </w:p>
    <w:tbl>
      <w:tblPr>
        <w:tblStyle w:val="7"/>
        <w:tblW w:w="86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474"/>
        <w:gridCol w:w="425"/>
        <w:gridCol w:w="640"/>
        <w:gridCol w:w="735"/>
        <w:gridCol w:w="855"/>
        <w:gridCol w:w="960"/>
        <w:gridCol w:w="600"/>
        <w:gridCol w:w="51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4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2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4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79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1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4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1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4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4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3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4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right="0" w:rightChars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政府信息公开行政复议、行政诉讼情况</w:t>
      </w:r>
    </w:p>
    <w:tbl>
      <w:tblPr>
        <w:tblStyle w:val="7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邢台市文化广电和旅游局在政府信息公开工作中存在的主要问题是：</w:t>
      </w:r>
      <w:r>
        <w:rPr>
          <w:rFonts w:ascii="仿宋_GB2312" w:hAnsi="宋体" w:eastAsia="仿宋_GB2312" w:cs="宋体"/>
          <w:kern w:val="0"/>
          <w:sz w:val="32"/>
          <w:szCs w:val="32"/>
        </w:rPr>
        <w:t>监督机制还有待于进一步健全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ascii="仿宋_GB2312" w:hAnsi="宋体" w:eastAsia="仿宋_GB2312" w:cs="宋体"/>
          <w:kern w:val="0"/>
          <w:sz w:val="32"/>
          <w:szCs w:val="32"/>
        </w:rPr>
        <w:t>被动接受上级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督查</w:t>
      </w:r>
      <w:r>
        <w:rPr>
          <w:rFonts w:ascii="仿宋_GB2312" w:hAnsi="宋体" w:eastAsia="仿宋_GB2312" w:cs="宋体"/>
          <w:kern w:val="0"/>
          <w:sz w:val="32"/>
          <w:szCs w:val="32"/>
        </w:rPr>
        <w:t>检查的多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ascii="仿宋_GB2312" w:hAnsi="宋体" w:eastAsia="仿宋_GB2312" w:cs="宋体"/>
          <w:kern w:val="0"/>
          <w:sz w:val="32"/>
          <w:szCs w:val="32"/>
        </w:rPr>
        <w:t>自觉进行自查的少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ascii="仿宋_GB2312" w:hAnsi="宋体" w:eastAsia="仿宋_GB2312" w:cs="宋体"/>
          <w:kern w:val="0"/>
          <w:sz w:val="32"/>
          <w:szCs w:val="32"/>
        </w:rPr>
        <w:t>监督力度还有待进一步加强。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pacing w:val="-4"/>
          <w:sz w:val="32"/>
          <w:szCs w:val="32"/>
        </w:rPr>
        <w:t>年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以来</w:t>
      </w:r>
      <w:r>
        <w:rPr>
          <w:rFonts w:hint="eastAsia" w:ascii="仿宋_GB2312" w:eastAsia="仿宋_GB2312"/>
          <w:spacing w:val="-4"/>
          <w:sz w:val="32"/>
          <w:szCs w:val="32"/>
        </w:rPr>
        <w:t>，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邢台市文化广电和旅游局</w:t>
      </w:r>
      <w:r>
        <w:rPr>
          <w:rFonts w:hint="eastAsia" w:ascii="仿宋_GB2312" w:eastAsia="仿宋_GB2312"/>
          <w:sz w:val="32"/>
          <w:szCs w:val="32"/>
          <w:lang w:eastAsia="zh-CN"/>
        </w:rPr>
        <w:t>认真落实</w:t>
      </w:r>
      <w:r>
        <w:rPr>
          <w:rFonts w:hint="eastAsia" w:ascii="仿宋_GB2312" w:eastAsia="仿宋_GB2312"/>
          <w:sz w:val="32"/>
          <w:szCs w:val="32"/>
        </w:rPr>
        <w:t>中央、省的部署要求，紧紧围绕市委、市政府中心工作，进一步</w:t>
      </w:r>
      <w:r>
        <w:rPr>
          <w:rFonts w:hint="eastAsia" w:ascii="仿宋_GB2312" w:eastAsia="仿宋_GB2312"/>
          <w:sz w:val="32"/>
          <w:szCs w:val="32"/>
          <w:lang w:eastAsia="zh-CN"/>
        </w:rPr>
        <w:t>提升</w:t>
      </w:r>
      <w:r>
        <w:rPr>
          <w:rFonts w:hint="eastAsia" w:ascii="仿宋_GB2312" w:eastAsia="仿宋_GB2312"/>
          <w:sz w:val="32"/>
          <w:szCs w:val="32"/>
        </w:rPr>
        <w:t>政务公开工作</w:t>
      </w:r>
      <w:r>
        <w:rPr>
          <w:rFonts w:hint="eastAsia" w:ascii="仿宋_GB2312" w:eastAsia="仿宋_GB2312"/>
          <w:sz w:val="32"/>
          <w:szCs w:val="32"/>
          <w:lang w:eastAsia="zh-CN"/>
        </w:rPr>
        <w:t>水平，在坚定不移推动邢台高质量赶超发展，全面建设经济强市、美丽邢台中更好发挥作用。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eastAsia="仿宋_GB2312"/>
          <w:color w:val="000000"/>
          <w:sz w:val="32"/>
          <w:szCs w:val="32"/>
          <w:lang w:bidi="ar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 w:bidi="ar"/>
        </w:rPr>
        <w:t>（一）着力推进政务公开标准化规范化。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lang w:val="en-US" w:eastAsia="zh-CN" w:bidi="ar"/>
        </w:rPr>
        <w:t>一是</w:t>
      </w:r>
      <w:r>
        <w:rPr>
          <w:rFonts w:hint="eastAsia" w:ascii="Times New Roman" w:hAnsi="Times New Roman" w:eastAsia="仿宋_GB2312"/>
          <w:sz w:val="32"/>
          <w:szCs w:val="32"/>
        </w:rPr>
        <w:t>规范依申请公开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。全面落实《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政府信息公开条例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》要求，</w:t>
      </w:r>
      <w:r>
        <w:rPr>
          <w:rFonts w:hint="eastAsia" w:ascii="Times New Roman" w:hAnsi="Times New Roman" w:eastAsia="仿宋_GB2312"/>
          <w:sz w:val="32"/>
          <w:szCs w:val="32"/>
        </w:rPr>
        <w:t>加强信息公开审查，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进一步完善制度流程，</w:t>
      </w:r>
      <w:r>
        <w:rPr>
          <w:rFonts w:hint="eastAsia" w:ascii="Times New Roman" w:hAnsi="Times New Roman" w:eastAsia="仿宋_GB2312"/>
          <w:sz w:val="32"/>
          <w:szCs w:val="32"/>
        </w:rPr>
        <w:t>不断</w:t>
      </w:r>
      <w:r>
        <w:rPr>
          <w:rFonts w:ascii="Times New Roman" w:hAnsi="Times New Roman" w:eastAsia="仿宋_GB2312"/>
          <w:sz w:val="32"/>
          <w:szCs w:val="32"/>
        </w:rPr>
        <w:t>提高答复</w:t>
      </w:r>
      <w:r>
        <w:rPr>
          <w:rFonts w:hint="eastAsia" w:ascii="Times New Roman" w:hAnsi="Times New Roman" w:eastAsia="仿宋_GB2312"/>
          <w:sz w:val="32"/>
          <w:szCs w:val="32"/>
        </w:rPr>
        <w:t>的</w:t>
      </w:r>
      <w:r>
        <w:rPr>
          <w:rFonts w:ascii="Times New Roman" w:hAnsi="Times New Roman" w:eastAsia="仿宋_GB2312"/>
          <w:sz w:val="32"/>
          <w:szCs w:val="32"/>
        </w:rPr>
        <w:t>专业化、法治化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水平，防范政治风险和法律风险。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推进政务公开标准化规范化工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作。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邢台市文化广电和旅游局将进一步推进政务公开标准化规范化工作，确保有序推进、取得实效。进一</w:t>
      </w:r>
      <w:r>
        <w:rPr>
          <w:rFonts w:hint="eastAsia" w:eastAsia="仿宋_GB2312"/>
          <w:color w:val="000000"/>
          <w:sz w:val="32"/>
          <w:szCs w:val="32"/>
          <w:lang w:eastAsia="zh-CN" w:bidi="ar"/>
        </w:rPr>
        <w:t>步</w:t>
      </w:r>
      <w:r>
        <w:rPr>
          <w:rFonts w:hint="eastAsia" w:eastAsia="仿宋_GB2312"/>
          <w:color w:val="000000"/>
          <w:sz w:val="32"/>
          <w:szCs w:val="32"/>
          <w:lang w:bidi="ar"/>
        </w:rPr>
        <w:t>强化组织领导、积极探索创新、及时总结经验、对标改进，完善机制，积极推进政务公开</w:t>
      </w:r>
      <w:r>
        <w:rPr>
          <w:rFonts w:hint="eastAsia" w:eastAsia="仿宋_GB2312"/>
          <w:color w:val="000000"/>
          <w:sz w:val="32"/>
          <w:szCs w:val="32"/>
          <w:lang w:eastAsia="zh-CN" w:bidi="ar"/>
        </w:rPr>
        <w:t>工作</w:t>
      </w:r>
      <w:r>
        <w:rPr>
          <w:rFonts w:hint="eastAsia" w:eastAsia="仿宋_GB2312"/>
          <w:color w:val="00000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 w:bidi="ar"/>
        </w:rPr>
        <w:t>（二）着力加强政务公开平台建设。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规范信息公开平台。</w:t>
      </w:r>
      <w:r>
        <w:rPr>
          <w:rFonts w:hint="eastAsia" w:ascii="Times New Roman" w:hAnsi="Times New Roman" w:eastAsia="仿宋_GB2312"/>
          <w:sz w:val="32"/>
          <w:szCs w:val="32"/>
        </w:rPr>
        <w:t>按照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国务院办公厅政务公开办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进一步统一规范政府信息公开平台设置，优化完善功能，加强政府信息管理，提升主动公开实效。</w:t>
      </w:r>
      <w:r>
        <w:rPr>
          <w:rFonts w:hint="eastAsia" w:ascii="Times New Roman" w:hAnsi="Times New Roman" w:eastAsia="仿宋_GB2312"/>
          <w:sz w:val="32"/>
          <w:szCs w:val="32"/>
        </w:rPr>
        <w:t>做好政务新媒体的运维管理，健全制度规范，强化发布责任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 w:bidi="ar"/>
        </w:rPr>
        <w:t>（三）着力提升政务公开工作能力。</w:t>
      </w:r>
      <w:r>
        <w:rPr>
          <w:rFonts w:hint="eastAsia" w:eastAsia="仿宋_GB2312"/>
          <w:b/>
          <w:bCs/>
          <w:color w:val="000000"/>
          <w:sz w:val="32"/>
          <w:szCs w:val="32"/>
          <w:lang w:eastAsia="zh-CN" w:bidi="ar"/>
        </w:rPr>
        <w:t>一是</w:t>
      </w:r>
      <w:r>
        <w:rPr>
          <w:rFonts w:hint="eastAsia" w:eastAsia="仿宋_GB2312"/>
          <w:color w:val="000000"/>
          <w:sz w:val="32"/>
          <w:szCs w:val="32"/>
          <w:lang w:bidi="ar"/>
        </w:rPr>
        <w:t>抓好政策宣传解读</w:t>
      </w:r>
      <w:r>
        <w:rPr>
          <w:rFonts w:hint="eastAsia" w:eastAsia="仿宋_GB2312"/>
          <w:color w:val="000000"/>
          <w:sz w:val="32"/>
          <w:szCs w:val="32"/>
          <w:lang w:eastAsia="zh-CN" w:bidi="ar"/>
        </w:rPr>
        <w:t>工作</w:t>
      </w:r>
      <w:r>
        <w:rPr>
          <w:rFonts w:hint="eastAsia" w:eastAsia="仿宋_GB2312"/>
          <w:color w:val="000000"/>
          <w:sz w:val="32"/>
          <w:szCs w:val="32"/>
          <w:lang w:bidi="ar"/>
        </w:rPr>
        <w:t>。按照“谁起草、谁执行、谁解读”的原则，在制定政策措施时同步制定解读方案，</w:t>
      </w:r>
      <w:r>
        <w:rPr>
          <w:rFonts w:hint="eastAsia" w:eastAsia="仿宋_GB2312"/>
          <w:color w:val="000000"/>
          <w:sz w:val="32"/>
          <w:szCs w:val="32"/>
          <w:lang w:eastAsia="zh-CN" w:bidi="ar"/>
        </w:rPr>
        <w:t>及时跟进解读</w:t>
      </w:r>
      <w:r>
        <w:rPr>
          <w:rFonts w:hint="eastAsia" w:ascii="Times New Roman" w:hAnsi="Times New Roman" w:eastAsia="仿宋_GB2312"/>
          <w:sz w:val="32"/>
          <w:szCs w:val="32"/>
        </w:rPr>
        <w:t>，主动引导预期，帮助市场主体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和群众</w:t>
      </w:r>
      <w:r>
        <w:rPr>
          <w:rFonts w:hint="eastAsia" w:ascii="Times New Roman" w:hAnsi="Times New Roman" w:eastAsia="仿宋_GB2312"/>
          <w:sz w:val="32"/>
          <w:szCs w:val="32"/>
        </w:rPr>
        <w:t>准确把握政策精神。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进一步开展好学习培训，全面提升政务公开工作队伍的能力和水平。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eastAsia="仿宋_GB2312"/>
          <w:spacing w:val="-4"/>
          <w:sz w:val="32"/>
          <w:szCs w:val="32"/>
        </w:rPr>
        <w:t>加大监督考核力度。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邢台市文化广电和旅游局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将按照常态化监管要求开展季度和年度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政务公开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考核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工作</w:t>
      </w:r>
      <w:r>
        <w:rPr>
          <w:rFonts w:hint="eastAsia" w:ascii="仿宋_GB2312" w:eastAsia="仿宋_GB2312"/>
          <w:sz w:val="32"/>
          <w:szCs w:val="32"/>
        </w:rPr>
        <w:t>，加大督促落实力度。同时，强化激励约束，建立监督检查情况定期通报制度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六、其他需要报告的事项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Calibri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认真贯彻执行国务院办公厅《政府信息公开信息处理费管理办法》和《关于政府信息公开处理费管理有关事项的通知》。2022年邢台市文化广电和旅游局未收取信息处理费。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Calibri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Calibri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480" w:firstLineChars="1400"/>
        <w:textAlignment w:val="auto"/>
        <w:rPr>
          <w:rFonts w:hint="eastAsia" w:ascii="仿宋_GB2312" w:hAnsi="Calibri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邢台市文化广电和旅游局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120" w:firstLineChars="1600"/>
        <w:textAlignment w:val="auto"/>
        <w:rPr>
          <w:rFonts w:hint="eastAsia" w:ascii="仿宋_GB2312" w:hAnsi="Calibri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2023年1月28日</w:t>
      </w:r>
    </w:p>
    <w:sectPr>
      <w:footerReference r:id="rId3" w:type="default"/>
      <w:pgSz w:w="11906" w:h="16838"/>
      <w:pgMar w:top="2154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578C3"/>
    <w:rsid w:val="05621BBC"/>
    <w:rsid w:val="057D1532"/>
    <w:rsid w:val="061418D0"/>
    <w:rsid w:val="08CA19C0"/>
    <w:rsid w:val="09070A64"/>
    <w:rsid w:val="098F0417"/>
    <w:rsid w:val="09E4598F"/>
    <w:rsid w:val="0C2D6A26"/>
    <w:rsid w:val="0CF31977"/>
    <w:rsid w:val="0D3F1986"/>
    <w:rsid w:val="102C1998"/>
    <w:rsid w:val="110A5472"/>
    <w:rsid w:val="15C578C3"/>
    <w:rsid w:val="15FC3C06"/>
    <w:rsid w:val="163B4E33"/>
    <w:rsid w:val="19ED19AD"/>
    <w:rsid w:val="1D63196F"/>
    <w:rsid w:val="1F6A4D61"/>
    <w:rsid w:val="206B5A97"/>
    <w:rsid w:val="24F90616"/>
    <w:rsid w:val="26755380"/>
    <w:rsid w:val="26EB47C2"/>
    <w:rsid w:val="288C40F2"/>
    <w:rsid w:val="2C9C2BA0"/>
    <w:rsid w:val="2EA175F0"/>
    <w:rsid w:val="30E8007F"/>
    <w:rsid w:val="37106360"/>
    <w:rsid w:val="39CB483A"/>
    <w:rsid w:val="39DA7132"/>
    <w:rsid w:val="3AF03454"/>
    <w:rsid w:val="421A0282"/>
    <w:rsid w:val="442150EC"/>
    <w:rsid w:val="44FD50F3"/>
    <w:rsid w:val="45943CD8"/>
    <w:rsid w:val="460D6ACC"/>
    <w:rsid w:val="47CB7609"/>
    <w:rsid w:val="49A422A0"/>
    <w:rsid w:val="4C4F46E1"/>
    <w:rsid w:val="52410AA9"/>
    <w:rsid w:val="54792C5A"/>
    <w:rsid w:val="55FA1B7C"/>
    <w:rsid w:val="5AAD1075"/>
    <w:rsid w:val="5CAF6F93"/>
    <w:rsid w:val="5D8E026D"/>
    <w:rsid w:val="5ED54BE8"/>
    <w:rsid w:val="5F60272F"/>
    <w:rsid w:val="606D50A8"/>
    <w:rsid w:val="61934A9D"/>
    <w:rsid w:val="67373B9B"/>
    <w:rsid w:val="686F5574"/>
    <w:rsid w:val="6BEB700F"/>
    <w:rsid w:val="6EEA1479"/>
    <w:rsid w:val="73AE3624"/>
    <w:rsid w:val="771D0B94"/>
    <w:rsid w:val="77EE436A"/>
    <w:rsid w:val="7A120799"/>
    <w:rsid w:val="7A6151BF"/>
    <w:rsid w:val="7A892E94"/>
    <w:rsid w:val="7B086252"/>
    <w:rsid w:val="7C045AFD"/>
    <w:rsid w:val="7E9E0D18"/>
    <w:rsid w:val="7F11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line="480" w:lineRule="auto"/>
      <w:ind w:firstLine="643" w:firstLineChars="200"/>
    </w:pPr>
    <w:rPr>
      <w:rFonts w:ascii="宋体" w:hAnsi="宋体"/>
      <w:b/>
      <w:sz w:val="24"/>
      <w:szCs w:val="3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2021-01-08T11:25:00Z</dcterms:created>
  <dc:creator>Administrator</dc:creator>
  <cp:lastModifiedBy>Administrator</cp:lastModifiedBy>
  <cp:lastPrinted>2021-01-22T08:28:00Z</cp:lastPrinted>
  <dcterms:modified xsi:type="dcterms:W3CDTF">2023-02-03T12:37:37Z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