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5" w:beforeAutospacing="0" w:after="75" w:afterAutospacing="0" w:line="580" w:lineRule="exact"/>
        <w:ind w:left="0" w:right="0"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邢台市住房公积金管理中心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5" w:beforeAutospacing="0" w:after="75" w:afterAutospacing="0" w:line="580" w:lineRule="exact"/>
        <w:ind w:left="0" w:right="0"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150" w:afterAutospacing="0" w:line="58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年1月1日至12月31日。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150" w:afterAutospacing="0" w:line="58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年，我中心认真开展政府信息公开工作，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按照国家、省、市信息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开工作部署，不断拓展公开内容、创新公开形式、完善公开制度、强化公开监督，取得了较好成效。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主动公开情况。2022年，通过门户网站发布政策类文件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件。通过“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邢台公积金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”微信公众号发布信息共计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65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Cs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（二）依申请公开情况。2022年，</w:t>
      </w:r>
      <w:r>
        <w:rPr>
          <w:rFonts w:hint="eastAsia" w:ascii="仿宋" w:hAnsi="仿宋" w:eastAsia="仿宋" w:cs="仿宋"/>
          <w:bCs/>
          <w:kern w:val="1"/>
          <w:sz w:val="32"/>
          <w:szCs w:val="32"/>
          <w:lang w:val="en-US" w:eastAsia="zh-CN"/>
        </w:rPr>
        <w:t>我中心在部门网站开设依申请公开栏目，开设网络、信函、当面申请等渠道，并保证各渠道畅通。我中心2022年未收到依申请公开的情况。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（三）政府信息管理。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严格按照《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关于修订〈拟发公文信息公开（保密）审查表〉的通知》《关于进一步规范市政府文件信息公开审查工作的通知》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要求及时公开了政府信息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及时修订公开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部门权责清单、动态更新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政务服务事项办事指南。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（四）政府信息公开平台建设。加强门户网站建设，进一步优化栏目设置，集中宣传各项政策举措，全年网站访问量逾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198138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次。发挥新媒体优势，加强两微平台与新闻媒体合作，就全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市公积金工作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开展多种形式立体、交互式传播。多渠道开展宣传解读，参加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行风热线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4场，联合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邢台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广播电视台就重点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公积金政策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社会关注事项谋划推出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80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期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《公积金之声》专题栏目宣传内容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并以文字、音频、视频等形式在相关新媒体同步发布宣传，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相关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收听率、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阅读量逾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37万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次。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强化政务新媒体运维管理，“邢台公积金”微博、微信传播力、引导力、影响力、公信力不断升级。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加强对政务新媒体发布监管，通过发布流程审查，开展自查、巡查等形式对新媒体进行监测，有效防止出现信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息发布错误等行为。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（五）监督保障。将国家、省年度政务公开工作要点逐项细化分解，明确责任分工，加强督导落实。开展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中心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政府信息公开业务专题培训，组织全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中心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参加全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政府信息公开法律知识学习问答，着力提升政务公开业务能力和水平。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/>
        <w:snapToGrid/>
        <w:spacing w:before="300" w:beforeAutospacing="0" w:after="150" w:afterAutospacing="0" w:line="660" w:lineRule="exact"/>
        <w:ind w:left="0" w:right="0" w:firstLine="6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5"/>
        <w:tblW w:w="87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9"/>
        <w:gridCol w:w="2265"/>
        <w:gridCol w:w="1980"/>
        <w:gridCol w:w="2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7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信息内容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本年制发件数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本年废止件数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规</w:t>
            </w:r>
            <w:r>
              <w:rPr>
                <w:rFonts w:hint="eastAsia" w:ascii="宋体" w:hAnsi="宋体" w:eastAsia="宋体" w:cs="宋体"/>
                <w:sz w:val="27"/>
                <w:szCs w:val="27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7"/>
                <w:szCs w:val="27"/>
              </w:rPr>
              <w:t>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规范性文件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信息内容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上一年项目数量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本年增/减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行政许可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7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信息内容</w:t>
            </w:r>
          </w:p>
        </w:tc>
        <w:tc>
          <w:tcPr>
            <w:tcW w:w="65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行政处罚</w:t>
            </w:r>
          </w:p>
        </w:tc>
        <w:tc>
          <w:tcPr>
            <w:tcW w:w="65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行政强制</w:t>
            </w:r>
          </w:p>
        </w:tc>
        <w:tc>
          <w:tcPr>
            <w:tcW w:w="65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信息内容</w:t>
            </w:r>
          </w:p>
        </w:tc>
        <w:tc>
          <w:tcPr>
            <w:tcW w:w="65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55" w:hRule="atLeast"/>
        </w:trPr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行政事业性收费</w:t>
            </w:r>
          </w:p>
        </w:tc>
        <w:tc>
          <w:tcPr>
            <w:tcW w:w="65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300" w:beforeAutospacing="0" w:after="150" w:afterAutospacing="0" w:line="368" w:lineRule="atLeast"/>
        <w:ind w:left="0" w:right="0" w:firstLine="6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5"/>
        <w:tblW w:w="87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8"/>
        <w:gridCol w:w="961"/>
        <w:gridCol w:w="2910"/>
        <w:gridCol w:w="441"/>
        <w:gridCol w:w="480"/>
        <w:gridCol w:w="525"/>
        <w:gridCol w:w="762"/>
        <w:gridCol w:w="775"/>
        <w:gridCol w:w="607"/>
        <w:gridCol w:w="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19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（本列数据的勾稽关系为：第一项加第二项之和，等于第三项加第四项之和）</w:t>
            </w:r>
          </w:p>
        </w:tc>
        <w:tc>
          <w:tcPr>
            <w:tcW w:w="407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1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自然人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法人或其他组织</w:t>
            </w:r>
          </w:p>
        </w:tc>
        <w:tc>
          <w:tcPr>
            <w:tcW w:w="48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1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商业企业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科研机构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社会公益组织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法律服务机构</w:t>
            </w:r>
          </w:p>
        </w:tc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其他</w:t>
            </w:r>
          </w:p>
        </w:tc>
        <w:tc>
          <w:tcPr>
            <w:tcW w:w="4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一、本年新收政府信息公开申请数量</w:t>
            </w:r>
          </w:p>
        </w:tc>
        <w:tc>
          <w:tcPr>
            <w:tcW w:w="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47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二、上年结转政府信息公开申请数量</w:t>
            </w:r>
          </w:p>
        </w:tc>
        <w:tc>
          <w:tcPr>
            <w:tcW w:w="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三、本年度办理结果</w:t>
            </w:r>
          </w:p>
        </w:tc>
        <w:tc>
          <w:tcPr>
            <w:tcW w:w="38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（一）予以公开</w:t>
            </w:r>
          </w:p>
        </w:tc>
        <w:tc>
          <w:tcPr>
            <w:tcW w:w="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（二）部分公开（区分处理的，只计这一情形，不计其他情形）</w:t>
            </w:r>
          </w:p>
        </w:tc>
        <w:tc>
          <w:tcPr>
            <w:tcW w:w="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（三）不予公开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1.属于国家秘密</w:t>
            </w:r>
          </w:p>
        </w:tc>
        <w:tc>
          <w:tcPr>
            <w:tcW w:w="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2.其他法律行政法规禁止公开</w:t>
            </w:r>
          </w:p>
        </w:tc>
        <w:tc>
          <w:tcPr>
            <w:tcW w:w="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3.危及“三安全一稳定”</w:t>
            </w:r>
          </w:p>
        </w:tc>
        <w:tc>
          <w:tcPr>
            <w:tcW w:w="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4.保护第三方合法权益</w:t>
            </w:r>
          </w:p>
        </w:tc>
        <w:tc>
          <w:tcPr>
            <w:tcW w:w="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5.属于三类内部事务信息</w:t>
            </w:r>
          </w:p>
        </w:tc>
        <w:tc>
          <w:tcPr>
            <w:tcW w:w="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6.属于四类过程性信息</w:t>
            </w:r>
          </w:p>
        </w:tc>
        <w:tc>
          <w:tcPr>
            <w:tcW w:w="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7.属于行政执法案卷</w:t>
            </w:r>
          </w:p>
        </w:tc>
        <w:tc>
          <w:tcPr>
            <w:tcW w:w="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8.属于行政查询事项</w:t>
            </w:r>
          </w:p>
        </w:tc>
        <w:tc>
          <w:tcPr>
            <w:tcW w:w="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（四）无法提供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1.本机关不掌握相关政府信息</w:t>
            </w:r>
          </w:p>
        </w:tc>
        <w:tc>
          <w:tcPr>
            <w:tcW w:w="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2.没有现成信息需要另行制作</w:t>
            </w:r>
          </w:p>
        </w:tc>
        <w:tc>
          <w:tcPr>
            <w:tcW w:w="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5" w:hRule="atLeast"/>
        </w:trPr>
        <w:tc>
          <w:tcPr>
            <w:tcW w:w="8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3.补正后申请内容仍不明确</w:t>
            </w:r>
          </w:p>
        </w:tc>
        <w:tc>
          <w:tcPr>
            <w:tcW w:w="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（五）不予处理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1.信访举报投诉类申请</w:t>
            </w:r>
          </w:p>
        </w:tc>
        <w:tc>
          <w:tcPr>
            <w:tcW w:w="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2.重复申请</w:t>
            </w:r>
          </w:p>
        </w:tc>
        <w:tc>
          <w:tcPr>
            <w:tcW w:w="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3.要求提供公开出版物</w:t>
            </w:r>
          </w:p>
        </w:tc>
        <w:tc>
          <w:tcPr>
            <w:tcW w:w="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4.无正当理由大量反复申请</w:t>
            </w:r>
          </w:p>
        </w:tc>
        <w:tc>
          <w:tcPr>
            <w:tcW w:w="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5.要求行政机关确认或重新出具已获取信息</w:t>
            </w:r>
          </w:p>
        </w:tc>
        <w:tc>
          <w:tcPr>
            <w:tcW w:w="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（六）其他处理</w:t>
            </w: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1.申请人无正当理由逾期不补正、行政机关不再处理其政府信息公开申请</w:t>
            </w:r>
          </w:p>
        </w:tc>
        <w:tc>
          <w:tcPr>
            <w:tcW w:w="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2.申请人逾期未按收费通知要求缴纳费用、行政机关不再处理其政府信息公开申请</w:t>
            </w:r>
          </w:p>
        </w:tc>
        <w:tc>
          <w:tcPr>
            <w:tcW w:w="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3.其他</w:t>
            </w:r>
          </w:p>
        </w:tc>
        <w:tc>
          <w:tcPr>
            <w:tcW w:w="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（七）总计</w:t>
            </w:r>
          </w:p>
        </w:tc>
        <w:tc>
          <w:tcPr>
            <w:tcW w:w="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四、结转下年度继续办理</w:t>
            </w:r>
          </w:p>
        </w:tc>
        <w:tc>
          <w:tcPr>
            <w:tcW w:w="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300" w:beforeAutospacing="0" w:after="150" w:afterAutospacing="0" w:line="368" w:lineRule="atLeast"/>
        <w:ind w:left="0" w:right="0" w:firstLine="6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5"/>
        <w:tblW w:w="88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4"/>
        <w:gridCol w:w="574"/>
        <w:gridCol w:w="574"/>
        <w:gridCol w:w="574"/>
        <w:gridCol w:w="574"/>
        <w:gridCol w:w="598"/>
        <w:gridCol w:w="574"/>
        <w:gridCol w:w="574"/>
        <w:gridCol w:w="574"/>
        <w:gridCol w:w="665"/>
        <w:gridCol w:w="495"/>
        <w:gridCol w:w="574"/>
        <w:gridCol w:w="574"/>
        <w:gridCol w:w="574"/>
        <w:gridCol w:w="7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行政复议</w:t>
            </w:r>
          </w:p>
        </w:tc>
        <w:tc>
          <w:tcPr>
            <w:tcW w:w="593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结果维持</w:t>
            </w:r>
          </w:p>
        </w:tc>
        <w:tc>
          <w:tcPr>
            <w:tcW w:w="57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结果纠正</w:t>
            </w:r>
          </w:p>
        </w:tc>
        <w:tc>
          <w:tcPr>
            <w:tcW w:w="57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其他结果</w:t>
            </w:r>
          </w:p>
        </w:tc>
        <w:tc>
          <w:tcPr>
            <w:tcW w:w="57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尚未审结</w:t>
            </w:r>
          </w:p>
        </w:tc>
        <w:tc>
          <w:tcPr>
            <w:tcW w:w="57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总计</w:t>
            </w:r>
          </w:p>
        </w:tc>
        <w:tc>
          <w:tcPr>
            <w:tcW w:w="29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未经复议直接起诉</w:t>
            </w:r>
          </w:p>
        </w:tc>
        <w:tc>
          <w:tcPr>
            <w:tcW w:w="29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结果维持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结果纠正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其他结果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尚未审结</w:t>
            </w:r>
          </w:p>
        </w:tc>
        <w:tc>
          <w:tcPr>
            <w:tcW w:w="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总计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结果维持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结果纠正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其他结果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尚未审结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8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150" w:afterAutospacing="0" w:line="540" w:lineRule="exact"/>
        <w:ind w:left="0" w:right="0" w:firstLine="6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2022年，我中心政府信息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公开工作有序推进，取得了一定成效，但在政策解读、互动平台建设等方面仍需进一步增强。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，我中心将认真贯彻落实党中央、国务院决策部署，开展以下工作：一是增强服务意识和能力，进一步加强政府信息公开工作力度，及时将群众生活密切相关的政策信息公开到位。二是拓宽思维、创新媒体宣传工作，积极借助互联网政务新媒体，制作发布便于群众理解的文章，做好政策解读工作。三是坚持“以人为本，需求导向”的指导思想，完善网上互动的用户体验，加快答复效率，提高答复质量，及时回应百姓诉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认真贯彻执行国务院办公厅《政府信息公开信息处理费管理办法》和《关于政府信息公开处理费管理有关事项的通知》。2022年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我中心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未收取信息处理费。</w:t>
      </w:r>
    </w:p>
    <w:sectPr>
      <w:pgSz w:w="11906" w:h="16838"/>
      <w:pgMar w:top="215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085203"/>
    <w:multiLevelType w:val="singleLevel"/>
    <w:tmpl w:val="7808520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MTZmN2Y2N2NlMzgwZGFjNTU3MjA0MDNjNDUxOTYifQ=="/>
  </w:docVars>
  <w:rsids>
    <w:rsidRoot w:val="3A313D9D"/>
    <w:rsid w:val="157867C3"/>
    <w:rsid w:val="1A334853"/>
    <w:rsid w:val="1FE97037"/>
    <w:rsid w:val="3A313D9D"/>
    <w:rsid w:val="3EC33E1F"/>
    <w:rsid w:val="6BE7318D"/>
    <w:rsid w:val="6D83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numbering.xml" Type="http://schemas.openxmlformats.org/officeDocument/2006/relationships/numbering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1952</Words>
  <Characters>2004</Characters>
  <Lines>0</Lines>
  <Paragraphs>0</Paragraphs>
  <TotalTime>1</TotalTime>
  <ScaleCrop>false</ScaleCrop>
  <LinksUpToDate>false</LinksUpToDate>
  <CharactersWithSpaces>2007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2022-03-17T06:42:00Z</dcterms:created>
  <dc:creator>Administrator</dc:creator>
  <cp:lastModifiedBy>Windows10</cp:lastModifiedBy>
  <cp:lastPrinted>2023-01-29T03:02:00Z</cp:lastPrinted>
  <dcterms:modified xsi:type="dcterms:W3CDTF">2023-02-07T03:05:09Z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0110F67983F74A02BB96B377DA0AB75F</vt:lpwstr>
  </property>
</Properties>
</file>