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2200" w:firstLineChars="500"/>
        <w:jc w:val="both"/>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邢台市工业和信息化局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2022</w:t>
      </w:r>
      <w:r>
        <w:rPr>
          <w:rFonts w:hint="eastAsia" w:ascii="方正小标宋简体" w:hAnsi="方正小标宋简体" w:eastAsia="方正小标宋简体" w:cs="方正小标宋简体"/>
          <w:b w:val="0"/>
          <w:bCs w:val="0"/>
          <w:sz w:val="44"/>
          <w:szCs w:val="44"/>
        </w:rPr>
        <w:t>年度政府信息公开工作报告</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根据《中华人民共和国政府信息公开条例》（国务院令第492号）、《河北省实施&lt;中华人民共和国政府信息公开条例&gt;办法》等相关规定，</w:t>
      </w:r>
      <w:r>
        <w:rPr>
          <w:rFonts w:hint="eastAsia" w:ascii="仿宋_GB2312" w:hAnsi="仿宋_GB2312" w:eastAsia="仿宋_GB2312" w:cs="仿宋_GB2312"/>
          <w:sz w:val="32"/>
          <w:szCs w:val="32"/>
        </w:rPr>
        <w:t>现发布《邢台市工业和信息化局20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年度政府信息公开工作报告》。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本报告由</w:t>
      </w:r>
      <w:r>
        <w:rPr>
          <w:rFonts w:hint="eastAsia" w:ascii="仿宋_GB2312" w:hAnsi="仿宋_GB2312" w:eastAsia="仿宋_GB2312" w:cs="仿宋_GB2312"/>
          <w:sz w:val="32"/>
          <w:szCs w:val="32"/>
          <w:lang w:eastAsia="zh-CN"/>
        </w:rPr>
        <w:t>总体</w:t>
      </w:r>
      <w:r>
        <w:rPr>
          <w:rFonts w:hint="eastAsia" w:ascii="仿宋_GB2312" w:hAnsi="仿宋_GB2312" w:eastAsia="仿宋_GB2312" w:cs="仿宋_GB2312"/>
          <w:sz w:val="32"/>
          <w:szCs w:val="32"/>
        </w:rPr>
        <w:t>情况、公开政府信息情况、政策解读情况、工作中存在的主要问题和改进措施</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部分组成，本报告中所列数据的统计期限为20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年1月1日至20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年12月31日。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总体</w:t>
      </w:r>
      <w:r>
        <w:rPr>
          <w:rFonts w:hint="eastAsia" w:ascii="黑体" w:hAnsi="黑体" w:eastAsia="黑体" w:cs="黑体"/>
          <w:sz w:val="32"/>
          <w:szCs w:val="32"/>
        </w:rPr>
        <w:t>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我局深入实施《政府信息公开条例》，按照建设法治政府、创新政府、廉洁政府和服务型政府的总体要求，推进重点领域信息公开工作的落实，积极推进依法行政，全面推动政民互动，做好两会建议提案办理结果公开，不断加大政府信息公开力度，政府信息公开工作整体迈上新的台阶；加强信息发布、政策解读工作，强化制度机制和平台建设，不断扩大公开范围、细化公开内容、增强公开实效，切实保障人民群众的知情权和监督权。</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color w:val="auto"/>
          <w:sz w:val="32"/>
          <w:szCs w:val="32"/>
          <w:rtl w:val="0"/>
          <w:lang w:val="en-US" w:eastAsia="zh-CN"/>
        </w:rPr>
      </w:pPr>
      <w:r>
        <w:rPr>
          <w:rFonts w:hint="eastAsia" w:ascii="楷体_GB2312" w:hAnsi="楷体_GB2312" w:eastAsia="楷体_GB2312" w:cs="楷体_GB2312"/>
          <w:i w:val="0"/>
          <w:iCs w:val="0"/>
          <w:sz w:val="32"/>
          <w:szCs w:val="32"/>
          <w:u w:val="none"/>
          <w:shd w:val="clear" w:fill="FFFFFF"/>
          <w:lang w:eastAsia="zh-CN"/>
        </w:rPr>
        <w:t>（一）</w:t>
      </w:r>
      <w:r>
        <w:rPr>
          <w:rFonts w:hint="eastAsia" w:ascii="楷体_GB2312" w:hAnsi="楷体_GB2312" w:eastAsia="楷体_GB2312" w:cs="楷体_GB2312"/>
          <w:i w:val="0"/>
          <w:iCs w:val="0"/>
          <w:sz w:val="32"/>
          <w:szCs w:val="32"/>
          <w:u w:val="none"/>
          <w:shd w:val="clear" w:fill="FFFFFF"/>
        </w:rPr>
        <w:t>加大主动公开力度</w:t>
      </w:r>
      <w:r>
        <w:rPr>
          <w:rFonts w:hint="eastAsia" w:ascii="楷体_GB2312" w:hAnsi="楷体_GB2312" w:eastAsia="楷体_GB2312" w:cs="楷体_GB2312"/>
          <w:i w:val="0"/>
          <w:iCs w:val="0"/>
          <w:sz w:val="32"/>
          <w:szCs w:val="32"/>
          <w:u w:val="none"/>
          <w:shd w:val="clear" w:fill="FFFFFF"/>
          <w:lang w:eastAsia="zh-CN"/>
        </w:rPr>
        <w:t>。</w:t>
      </w:r>
      <w:r>
        <w:rPr>
          <w:rFonts w:hint="eastAsia" w:ascii="仿宋_GB2312" w:hAnsi="仿宋_GB2312" w:eastAsia="仿宋_GB2312" w:cs="仿宋_GB2312"/>
          <w:b/>
          <w:bCs/>
          <w:color w:val="auto"/>
          <w:kern w:val="2"/>
          <w:sz w:val="32"/>
          <w:szCs w:val="32"/>
          <w:lang w:eastAsia="zh-CN"/>
        </w:rPr>
        <w:t>一是</w:t>
      </w:r>
      <w:r>
        <w:rPr>
          <w:rFonts w:hint="eastAsia" w:ascii="仿宋_GB2312" w:hAnsi="仿宋_GB2312" w:eastAsia="仿宋_GB2312" w:cs="仿宋_GB2312"/>
          <w:color w:val="auto"/>
          <w:kern w:val="2"/>
          <w:sz w:val="32"/>
          <w:szCs w:val="32"/>
          <w:lang w:eastAsia="zh-CN"/>
        </w:rPr>
        <w:t>全面实行行政执法公示制度，</w:t>
      </w:r>
      <w:r>
        <w:rPr>
          <w:rFonts w:hint="eastAsia" w:ascii="仿宋_GB2312" w:hAnsi="仿宋_GB2312" w:eastAsia="仿宋_GB2312" w:cs="仿宋_GB2312"/>
          <w:color w:val="auto"/>
          <w:sz w:val="32"/>
          <w:szCs w:val="32"/>
        </w:rPr>
        <w:t>制定了《邢台市民爆行业安全生产隐患排查和执法检查活动实施方案》，开展了民爆行业监管企业、监控化学品生产使用企业行政执法检查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lang w:eastAsia="zh-CN"/>
        </w:rPr>
        <w:t>结合简政放权，及时公开市工信局权责清单，并按要求适时进行动态更新调整。</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color w:val="auto"/>
          <w:sz w:val="32"/>
          <w:szCs w:val="32"/>
          <w:lang w:eastAsia="zh-CN"/>
        </w:rPr>
        <w:t>在市政府门户网站、部门网站设立了预决算工开栏目，按时限要求公开我局预决算信息。</w:t>
      </w:r>
      <w:r>
        <w:rPr>
          <w:rFonts w:hint="eastAsia" w:ascii="仿宋_GB2312" w:hAnsi="仿宋_GB2312" w:eastAsia="仿宋_GB2312" w:cs="仿宋_GB2312"/>
          <w:b/>
          <w:bCs/>
          <w:color w:val="auto"/>
          <w:sz w:val="32"/>
          <w:szCs w:val="32"/>
          <w:lang w:eastAsia="zh-CN"/>
        </w:rPr>
        <w:t>四是</w:t>
      </w:r>
      <w:r>
        <w:rPr>
          <w:rFonts w:hint="eastAsia" w:ascii="仿宋_GB2312" w:hAnsi="仿宋_GB2312" w:eastAsia="仿宋_GB2312" w:cs="仿宋_GB2312"/>
          <w:color w:val="auto"/>
          <w:sz w:val="32"/>
          <w:szCs w:val="32"/>
          <w:lang w:eastAsia="zh-CN"/>
        </w:rPr>
        <w:t>规范组织新闻发布活动，公开和解读有关政策法规、重点活动、重要成果等信息。</w:t>
      </w:r>
      <w:r>
        <w:rPr>
          <w:rFonts w:hint="eastAsia" w:ascii="仿宋_GB2312" w:hAnsi="仿宋_GB2312" w:eastAsia="仿宋_GB2312" w:cs="仿宋_GB2312"/>
          <w:color w:val="auto"/>
          <w:sz w:val="32"/>
          <w:szCs w:val="32"/>
          <w:lang w:val="en-US" w:eastAsia="zh-CN"/>
        </w:rPr>
        <w:t>2023年共开展新闻发布会2次，分别对</w:t>
      </w:r>
      <w:r>
        <w:rPr>
          <w:rFonts w:hint="eastAsia" w:ascii="仿宋_GB2312" w:hAnsi="仿宋_GB2312" w:eastAsia="仿宋_GB2312" w:cs="仿宋_GB2312"/>
          <w:color w:val="auto"/>
          <w:sz w:val="32"/>
          <w:szCs w:val="32"/>
          <w:lang w:eastAsia="zh-CN"/>
        </w:rPr>
        <w:t>《邢台市支持重点产业链高质量发展若干措施（试行）》、</w:t>
      </w:r>
      <w:r>
        <w:rPr>
          <w:rFonts w:hint="eastAsia" w:ascii="仿宋_GB2312" w:hAnsi="仿宋_GB2312" w:eastAsia="仿宋_GB2312" w:cs="仿宋_GB2312"/>
          <w:color w:val="auto"/>
          <w:sz w:val="32"/>
          <w:szCs w:val="32"/>
          <w:lang w:val="en-US" w:eastAsia="zh-CN"/>
        </w:rPr>
        <w:t>《关于稳住全市工业经济大盘的六条政策措施》进行了主题发布。</w:t>
      </w:r>
      <w:r>
        <w:rPr>
          <w:rFonts w:hint="eastAsia" w:ascii="仿宋_GB2312" w:hAnsi="仿宋_GB2312" w:eastAsia="仿宋_GB2312" w:cs="仿宋_GB2312"/>
          <w:b/>
          <w:bCs/>
          <w:color w:val="auto"/>
          <w:sz w:val="32"/>
          <w:szCs w:val="32"/>
          <w:lang w:val="en-US" w:eastAsia="zh-CN"/>
        </w:rPr>
        <w:t>五是</w:t>
      </w:r>
      <w:r>
        <w:rPr>
          <w:rFonts w:hint="eastAsia" w:ascii="仿宋_GB2312" w:hAnsi="仿宋_GB2312" w:eastAsia="仿宋_GB2312" w:cs="仿宋_GB2312"/>
          <w:color w:val="auto"/>
          <w:sz w:val="32"/>
          <w:szCs w:val="32"/>
          <w:rtl w:val="0"/>
          <w:lang w:val="en-US" w:eastAsia="zh-CN"/>
        </w:rPr>
        <w:t>按照时限要求在办理完成本年度人大代表建议和政协提案复文后15日内在局网站和政府信息公开平台上对办理情况进行了公开，</w:t>
      </w:r>
      <w:r>
        <w:rPr>
          <w:rFonts w:hint="eastAsia" w:ascii="仿宋_GB2312" w:hAnsi="仿宋_GB2312" w:eastAsia="仿宋_GB2312" w:cs="仿宋_GB2312"/>
          <w:color w:val="auto"/>
          <w:sz w:val="32"/>
          <w:szCs w:val="32"/>
          <w:rtl w:val="0"/>
          <w:lang w:val="zh-TW" w:eastAsia="zh-TW"/>
        </w:rPr>
        <w:t>自觉接受党内监督、人大监督、民主监督、司法监督</w:t>
      </w:r>
      <w:r>
        <w:rPr>
          <w:rFonts w:hint="eastAsia" w:ascii="仿宋_GB2312" w:hAnsi="仿宋_GB2312" w:eastAsia="仿宋_GB2312" w:cs="仿宋_GB2312"/>
          <w:color w:val="auto"/>
          <w:sz w:val="32"/>
          <w:szCs w:val="32"/>
          <w:rtl w:val="0"/>
          <w:lang w:val="zh-TW" w:eastAsia="zh-CN"/>
        </w:rPr>
        <w:t>。</w:t>
      </w:r>
    </w:p>
    <w:p>
      <w:pPr>
        <w:keepNext w:val="0"/>
        <w:keepLines w:val="0"/>
        <w:pageBreakBefore w:val="0"/>
        <w:widowControl w:val="0"/>
        <w:numPr>
          <w:numId w:val="0"/>
        </w:numPr>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rtl w:val="0"/>
          <w:lang w:val="en-US" w:eastAsia="zh-CN"/>
        </w:rPr>
        <w:t>（二）规范依申请公开办理。</w:t>
      </w:r>
      <w:r>
        <w:rPr>
          <w:rFonts w:hint="eastAsia" w:ascii="仿宋_GB2312" w:hAnsi="仿宋_GB2312" w:eastAsia="仿宋_GB2312" w:cs="仿宋_GB2312"/>
          <w:color w:val="auto"/>
          <w:sz w:val="32"/>
          <w:szCs w:val="32"/>
          <w:rtl w:val="0"/>
          <w:lang w:val="zh-CN" w:eastAsia="zh-CN"/>
        </w:rPr>
        <w:t>认真落实《河北省政府信息公开申请办理规范》，局</w:t>
      </w:r>
      <w:r>
        <w:rPr>
          <w:rFonts w:hint="eastAsia" w:ascii="仿宋_GB2312" w:hAnsi="仿宋_GB2312" w:eastAsia="仿宋_GB2312" w:cs="仿宋_GB2312"/>
          <w:color w:val="auto"/>
          <w:sz w:val="32"/>
          <w:szCs w:val="32"/>
          <w:rtl w:val="0"/>
          <w:lang w:val="zh-TW" w:eastAsia="zh-TW"/>
        </w:rPr>
        <w:t>网站开设</w:t>
      </w:r>
      <w:r>
        <w:rPr>
          <w:rFonts w:hint="eastAsia" w:ascii="仿宋_GB2312" w:hAnsi="仿宋_GB2312" w:eastAsia="仿宋_GB2312" w:cs="仿宋_GB2312"/>
          <w:color w:val="auto"/>
          <w:sz w:val="32"/>
          <w:szCs w:val="32"/>
          <w:rtl w:val="0"/>
          <w:lang w:val="zh-CN" w:eastAsia="zh-CN"/>
        </w:rPr>
        <w:t>了</w:t>
      </w:r>
      <w:r>
        <w:rPr>
          <w:rFonts w:hint="eastAsia" w:ascii="仿宋_GB2312" w:hAnsi="仿宋_GB2312" w:eastAsia="仿宋_GB2312" w:cs="仿宋_GB2312"/>
          <w:color w:val="auto"/>
          <w:sz w:val="32"/>
          <w:szCs w:val="32"/>
          <w:rtl w:val="0"/>
          <w:lang w:val="zh-TW" w:eastAsia="zh-TW"/>
        </w:rPr>
        <w:t>依申请公开栏目</w:t>
      </w:r>
      <w:r>
        <w:rPr>
          <w:rFonts w:hint="eastAsia" w:ascii="仿宋_GB2312" w:hAnsi="仿宋_GB2312" w:eastAsia="仿宋_GB2312" w:cs="仿宋_GB2312"/>
          <w:color w:val="auto"/>
          <w:sz w:val="32"/>
          <w:szCs w:val="32"/>
          <w:rtl w:val="0"/>
          <w:lang w:val="zh-CN" w:eastAsia="zh-CN"/>
        </w:rPr>
        <w:t>及</w:t>
      </w:r>
      <w:r>
        <w:rPr>
          <w:rFonts w:hint="eastAsia" w:ascii="仿宋_GB2312" w:hAnsi="仿宋_GB2312" w:eastAsia="仿宋_GB2312" w:cs="仿宋_GB2312"/>
          <w:color w:val="auto"/>
          <w:sz w:val="32"/>
          <w:szCs w:val="32"/>
          <w:rtl w:val="0"/>
          <w:lang w:val="zh-TW" w:eastAsia="zh-TW"/>
        </w:rPr>
        <w:t>网络、信函、当面申请等渠道，保证各渠道畅通</w:t>
      </w:r>
      <w:r>
        <w:rPr>
          <w:rFonts w:hint="eastAsia" w:ascii="仿宋_GB2312" w:hAnsi="仿宋_GB2312" w:eastAsia="仿宋_GB2312" w:cs="仿宋_GB2312"/>
          <w:color w:val="auto"/>
          <w:sz w:val="32"/>
          <w:szCs w:val="32"/>
          <w:rtl w:val="0"/>
          <w:lang w:val="zh-TW" w:eastAsia="zh-CN"/>
        </w:rPr>
        <w:t>。</w:t>
      </w:r>
    </w:p>
    <w:p>
      <w:pPr>
        <w:keepNext w:val="0"/>
        <w:keepLines w:val="0"/>
        <w:pageBreakBefore w:val="0"/>
        <w:widowControl w:val="0"/>
        <w:numPr>
          <w:numId w:val="0"/>
        </w:numPr>
        <w:kinsoku/>
        <w:wordWrap/>
        <w:overflowPunct/>
        <w:topLinePunct w:val="0"/>
        <w:autoSpaceDE/>
        <w:autoSpaceDN/>
        <w:bidi w:val="0"/>
        <w:adjustRightInd w:val="0"/>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i w:val="0"/>
          <w:iCs w:val="0"/>
          <w:color w:val="auto"/>
          <w:kern w:val="2"/>
          <w:sz w:val="32"/>
          <w:szCs w:val="32"/>
          <w:u w:val="none"/>
          <w:rtl w:val="0"/>
          <w:lang w:val="en-US" w:eastAsia="zh-CN" w:bidi="ar-SA"/>
        </w:rPr>
        <w:t>（三）严格政府信息管理。</w:t>
      </w:r>
      <w:r>
        <w:rPr>
          <w:rFonts w:hint="eastAsia" w:ascii="楷体_GB2312" w:hAnsi="楷体_GB2312" w:eastAsia="楷体_GB2312" w:cs="楷体_GB2312"/>
          <w:b/>
          <w:bCs/>
          <w:i w:val="0"/>
          <w:iCs w:val="0"/>
          <w:color w:val="auto"/>
          <w:kern w:val="2"/>
          <w:sz w:val="32"/>
          <w:szCs w:val="32"/>
          <w:u w:val="none"/>
          <w:rtl w:val="0"/>
          <w:lang w:val="en-US" w:eastAsia="zh-CN" w:bidi="ar-SA"/>
        </w:rPr>
        <w:t>一是</w:t>
      </w:r>
      <w:r>
        <w:rPr>
          <w:rFonts w:hint="eastAsia" w:ascii="仿宋_GB2312" w:hAnsi="仿宋_GB2312" w:eastAsia="仿宋_GB2312" w:cs="仿宋_GB2312"/>
          <w:b w:val="0"/>
          <w:bCs w:val="0"/>
          <w:color w:val="auto"/>
          <w:kern w:val="2"/>
          <w:sz w:val="32"/>
          <w:szCs w:val="32"/>
          <w:lang w:val="en-US" w:eastAsia="zh-CN"/>
        </w:rPr>
        <w:t>将制定的《</w:t>
      </w:r>
      <w:r>
        <w:rPr>
          <w:rFonts w:hint="eastAsia" w:ascii="仿宋_GB2312" w:hAnsi="仿宋_GB2312" w:eastAsia="仿宋_GB2312" w:cs="仿宋_GB2312"/>
          <w:b w:val="0"/>
          <w:bCs w:val="0"/>
          <w:color w:val="auto"/>
          <w:kern w:val="2"/>
          <w:sz w:val="32"/>
          <w:szCs w:val="32"/>
          <w:lang w:eastAsia="zh-CN"/>
        </w:rPr>
        <w:t>邢台市制造业高质量发展“十四五”规划》</w:t>
      </w:r>
      <w:r>
        <w:rPr>
          <w:rFonts w:hint="eastAsia" w:ascii="仿宋_GB2312" w:hAnsi="仿宋_GB2312" w:eastAsia="仿宋_GB2312" w:cs="仿宋_GB2312"/>
          <w:color w:val="auto"/>
          <w:kern w:val="2"/>
          <w:sz w:val="32"/>
          <w:szCs w:val="32"/>
          <w:lang w:eastAsia="zh-CN"/>
        </w:rPr>
        <w:t>在政府网站及部门网站进行了公开更新。同时，设置了政策文件的有效性，并设置了专门栏目和链接集中进行公开。</w:t>
      </w:r>
      <w:r>
        <w:rPr>
          <w:rFonts w:hint="eastAsia" w:ascii="仿宋_GB2312" w:hAnsi="仿宋_GB2312" w:eastAsia="仿宋_GB2312" w:cs="仿宋_GB2312"/>
          <w:b/>
          <w:bCs/>
          <w:color w:val="auto"/>
          <w:sz w:val="32"/>
          <w:szCs w:val="32"/>
          <w:rtl w:val="0"/>
          <w:lang w:val="zh-TW" w:eastAsia="zh-CN"/>
        </w:rPr>
        <w:t>二是</w:t>
      </w:r>
      <w:r>
        <w:rPr>
          <w:rFonts w:hint="eastAsia" w:ascii="仿宋_GB2312" w:hAnsi="仿宋_GB2312" w:eastAsia="仿宋_GB2312" w:cs="仿宋_GB2312"/>
          <w:color w:val="auto"/>
          <w:sz w:val="32"/>
          <w:szCs w:val="32"/>
          <w:lang w:eastAsia="zh-CN"/>
        </w:rPr>
        <w:t>按照国办公开办要求的统一格式在政府网站政府信息公开平台专栏发布了我局工作年度报告，做到了内容完整、格式规范、发布及时。我局今年不涉及行政许可、行政处罚等事项</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color w:val="auto"/>
          <w:sz w:val="32"/>
          <w:szCs w:val="32"/>
          <w:lang w:eastAsia="zh-CN"/>
        </w:rPr>
        <w:t>在局网站公开了</w:t>
      </w:r>
      <w:r>
        <w:rPr>
          <w:rFonts w:hint="eastAsia" w:ascii="仿宋_GB2312" w:hAnsi="仿宋_GB2312" w:eastAsia="仿宋_GB2312" w:cs="仿宋_GB2312"/>
          <w:color w:val="auto"/>
          <w:sz w:val="32"/>
          <w:szCs w:val="32"/>
          <w:lang w:val="en-US" w:eastAsia="zh-CN"/>
        </w:rPr>
        <w:t>2022年国务院政务公开要点中提出的疫情防控等信息情况，确保重点领域信息的公开。</w:t>
      </w:r>
    </w:p>
    <w:p>
      <w:pPr>
        <w:pStyle w:val="5"/>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hint="eastAsia" w:ascii="楷体_GB2312" w:hAnsi="楷体_GB2312" w:eastAsia="楷体_GB2312" w:cs="楷体_GB2312"/>
          <w:i w:val="0"/>
          <w:iCs w:val="0"/>
          <w:color w:val="auto"/>
          <w:kern w:val="2"/>
          <w:sz w:val="32"/>
          <w:szCs w:val="32"/>
          <w:u w:val="none"/>
          <w:rtl w:val="0"/>
          <w:lang w:val="en-US" w:eastAsia="zh-CN" w:bidi="ar-SA"/>
        </w:rPr>
      </w:pPr>
      <w:r>
        <w:rPr>
          <w:rFonts w:hint="eastAsia" w:ascii="楷体_GB2312" w:hAnsi="楷体_GB2312" w:eastAsia="楷体_GB2312" w:cs="楷体_GB2312"/>
          <w:i w:val="0"/>
          <w:iCs w:val="0"/>
          <w:color w:val="auto"/>
          <w:kern w:val="2"/>
          <w:sz w:val="32"/>
          <w:szCs w:val="32"/>
          <w:u w:val="none"/>
          <w:rtl w:val="0"/>
          <w:lang w:val="en-US" w:eastAsia="zh-CN" w:bidi="ar-SA"/>
        </w:rPr>
        <w:t>（四）加强公开平台建设。</w:t>
      </w:r>
      <w:r>
        <w:rPr>
          <w:rFonts w:hint="eastAsia" w:ascii="仿宋_GB2312" w:hAnsi="仿宋_GB2312" w:eastAsia="仿宋_GB2312" w:cs="仿宋_GB2312"/>
          <w:i w:val="0"/>
          <w:iCs w:val="0"/>
          <w:color w:val="auto"/>
          <w:kern w:val="2"/>
          <w:sz w:val="32"/>
          <w:szCs w:val="32"/>
          <w:u w:val="none"/>
          <w:rtl w:val="0"/>
          <w:lang w:val="en-US" w:eastAsia="zh-CN" w:bidi="ar-SA"/>
        </w:rPr>
        <w:t>在局网站首页设置了“政府信息公开”栏目，并采用国办公开版函[2019]61号文件推荐的板面设计要求进行了公开，确保信息权威准确、内容全面。及时更新政务新媒体发布内容，加强省、市新媒体矩阵联动和工作协同，实际转载推荐转发的信息，妥善处置交办的公众留言；积极做好省、市政府微信宣传推广等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olor w:val="auto"/>
          <w:kern w:val="2"/>
          <w:sz w:val="32"/>
          <w:szCs w:val="32"/>
          <w:u w:val="none"/>
          <w:rtl w:val="0"/>
          <w:lang w:val="en-US" w:eastAsia="zh-CN" w:bidi="ar-SA"/>
        </w:rPr>
      </w:pPr>
      <w:r>
        <w:rPr>
          <w:rFonts w:hint="eastAsia" w:ascii="楷体_GB2312" w:hAnsi="楷体_GB2312" w:eastAsia="楷体_GB2312" w:cs="楷体_GB2312"/>
          <w:i w:val="0"/>
          <w:iCs w:val="0"/>
          <w:sz w:val="32"/>
          <w:szCs w:val="32"/>
          <w:u w:val="none"/>
          <w:shd w:val="clear" w:fill="FFFFFF"/>
          <w:lang w:eastAsia="zh-CN"/>
        </w:rPr>
        <w:t>（五）</w:t>
      </w:r>
      <w:r>
        <w:rPr>
          <w:rFonts w:hint="eastAsia" w:ascii="楷体_GB2312" w:hAnsi="楷体_GB2312" w:eastAsia="楷体_GB2312" w:cs="楷体_GB2312"/>
          <w:i w:val="0"/>
          <w:iCs w:val="0"/>
          <w:sz w:val="32"/>
          <w:szCs w:val="32"/>
          <w:u w:val="none"/>
          <w:shd w:val="clear" w:fill="FFFFFF"/>
        </w:rPr>
        <w:t>发挥监督保障作用。</w:t>
      </w:r>
      <w:r>
        <w:rPr>
          <w:rFonts w:hint="eastAsia" w:ascii="仿宋_GB2312" w:hAnsi="仿宋_GB2312" w:eastAsia="仿宋_GB2312" w:cs="仿宋_GB2312"/>
          <w:i w:val="0"/>
          <w:iCs w:val="0"/>
          <w:color w:val="auto"/>
          <w:kern w:val="2"/>
          <w:sz w:val="32"/>
          <w:szCs w:val="32"/>
          <w:u w:val="none"/>
          <w:rtl w:val="0"/>
          <w:lang w:val="en-US" w:eastAsia="zh-CN" w:bidi="ar-SA"/>
        </w:rPr>
        <w:t>我局有对本部门日常读网检查的管理人员，确保信息报送的质量和数量，2022年以来，主动公开政府信息400多条，其中，在政府网站上主动公开的政府信息100余条。组织开展政务新媒体自查和检查，组织政务新媒体工作人员培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olor w:val="auto"/>
          <w:kern w:val="2"/>
          <w:sz w:val="32"/>
          <w:szCs w:val="32"/>
          <w:u w:val="none"/>
          <w:rtl w:val="0"/>
          <w:lang w:val="en-US" w:eastAsia="zh-CN" w:bidi="ar-SA"/>
        </w:rPr>
      </w:pPr>
      <w:r>
        <w:rPr>
          <w:rFonts w:hint="eastAsia" w:ascii="黑体" w:hAnsi="黑体" w:eastAsia="黑体" w:cs="黑体"/>
          <w:sz w:val="32"/>
          <w:szCs w:val="32"/>
          <w:lang w:val="en-US" w:eastAsia="zh-CN"/>
        </w:rPr>
        <w:t>二、主动公开政府信息情况</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0"/>
        <w:gridCol w:w="2066"/>
        <w:gridCol w:w="2066"/>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6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vertAlign w:val="baseline"/>
                <w:lang w:val="en-US" w:eastAsia="zh-CN"/>
              </w:rPr>
            </w:pPr>
            <w:r>
              <w:rPr>
                <w:rFonts w:hint="eastAsia"/>
                <w:vertAlign w:val="baseline"/>
                <w:lang w:val="en-US" w:eastAsia="zh-CN"/>
              </w:rPr>
              <w:t>信息内容</w:t>
            </w:r>
          </w:p>
        </w:tc>
        <w:tc>
          <w:tcPr>
            <w:tcW w:w="114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vertAlign w:val="baseline"/>
                <w:lang w:val="en-US" w:eastAsia="zh-CN"/>
              </w:rPr>
            </w:pPr>
            <w:r>
              <w:rPr>
                <w:rFonts w:hint="eastAsia"/>
                <w:vertAlign w:val="baseline"/>
                <w:lang w:val="en-US" w:eastAsia="zh-CN"/>
              </w:rPr>
              <w:t>本年制发件数</w:t>
            </w:r>
          </w:p>
        </w:tc>
        <w:tc>
          <w:tcPr>
            <w:tcW w:w="114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vertAlign w:val="baseline"/>
                <w:lang w:val="en-US" w:eastAsia="zh-CN"/>
              </w:rPr>
            </w:pPr>
            <w:r>
              <w:rPr>
                <w:rFonts w:hint="eastAsia"/>
                <w:vertAlign w:val="baseline"/>
                <w:lang w:val="en-US" w:eastAsia="zh-CN"/>
              </w:rPr>
              <w:t>本年废纸件数</w:t>
            </w:r>
          </w:p>
        </w:tc>
        <w:tc>
          <w:tcPr>
            <w:tcW w:w="1156"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vertAlign w:val="baseline"/>
                <w:lang w:val="en-US" w:eastAsia="zh-CN"/>
              </w:rPr>
            </w:pPr>
            <w:r>
              <w:rPr>
                <w:rFonts w:hint="eastAsia"/>
                <w:vertAlign w:val="baseline"/>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6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vertAlign w:val="baseline"/>
                <w:lang w:val="en-US" w:eastAsia="zh-CN"/>
              </w:rPr>
            </w:pPr>
            <w:r>
              <w:rPr>
                <w:rFonts w:hint="eastAsia"/>
                <w:vertAlign w:val="baseline"/>
                <w:lang w:val="en-US" w:eastAsia="zh-CN"/>
              </w:rPr>
              <w:t>规章</w:t>
            </w:r>
          </w:p>
        </w:tc>
        <w:tc>
          <w:tcPr>
            <w:tcW w:w="114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vertAlign w:val="baseline"/>
                <w:lang w:val="en-US" w:eastAsia="zh-CN"/>
              </w:rPr>
            </w:pPr>
            <w:r>
              <w:rPr>
                <w:rFonts w:hint="eastAsia"/>
                <w:vertAlign w:val="baseline"/>
                <w:lang w:val="en-US" w:eastAsia="zh-CN"/>
              </w:rPr>
              <w:t>0</w:t>
            </w:r>
          </w:p>
        </w:tc>
        <w:tc>
          <w:tcPr>
            <w:tcW w:w="114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vertAlign w:val="baseline"/>
                <w:lang w:val="en-US" w:eastAsia="zh-CN"/>
              </w:rPr>
            </w:pPr>
            <w:r>
              <w:rPr>
                <w:rFonts w:hint="eastAsia"/>
                <w:vertAlign w:val="baseline"/>
                <w:lang w:val="en-US" w:eastAsia="zh-CN"/>
              </w:rPr>
              <w:t>0</w:t>
            </w:r>
          </w:p>
        </w:tc>
        <w:tc>
          <w:tcPr>
            <w:tcW w:w="1156"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6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vertAlign w:val="baseline"/>
                <w:lang w:val="en-US" w:eastAsia="zh-CN"/>
              </w:rPr>
            </w:pPr>
            <w:r>
              <w:rPr>
                <w:rFonts w:hint="eastAsia"/>
                <w:vertAlign w:val="baseline"/>
                <w:lang w:val="en-US" w:eastAsia="zh-CN"/>
              </w:rPr>
              <w:t>规范性文件</w:t>
            </w:r>
          </w:p>
        </w:tc>
        <w:tc>
          <w:tcPr>
            <w:tcW w:w="114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vertAlign w:val="baseline"/>
                <w:lang w:val="en-US" w:eastAsia="zh-CN"/>
              </w:rPr>
            </w:pPr>
            <w:r>
              <w:rPr>
                <w:rFonts w:hint="eastAsia"/>
                <w:color w:val="auto"/>
                <w:vertAlign w:val="baseline"/>
                <w:lang w:val="en-US" w:eastAsia="zh-CN"/>
              </w:rPr>
              <w:t>1</w:t>
            </w:r>
          </w:p>
        </w:tc>
        <w:tc>
          <w:tcPr>
            <w:tcW w:w="1140"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vertAlign w:val="baseline"/>
                <w:lang w:val="en-US" w:eastAsia="zh-CN"/>
              </w:rPr>
            </w:pPr>
            <w:r>
              <w:rPr>
                <w:rFonts w:hint="eastAsia"/>
                <w:color w:val="auto"/>
                <w:vertAlign w:val="baseline"/>
                <w:lang w:val="en-US" w:eastAsia="zh-CN"/>
              </w:rPr>
              <w:t>1</w:t>
            </w:r>
          </w:p>
        </w:tc>
        <w:tc>
          <w:tcPr>
            <w:tcW w:w="1156"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color w:val="auto"/>
                <w:vertAlign w:val="baseline"/>
                <w:lang w:val="en-US" w:eastAsia="zh-CN"/>
              </w:rPr>
            </w:pPr>
            <w:r>
              <w:rPr>
                <w:rFonts w:hint="eastAsia"/>
                <w:color w:val="auto"/>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vertAlign w:val="baseline"/>
                <w:lang w:val="en-US" w:eastAsia="zh-CN"/>
              </w:rPr>
            </w:pPr>
            <w:r>
              <w:rPr>
                <w:rFonts w:hint="eastAsia" w:cstheme="minorBidi"/>
                <w:kern w:val="2"/>
                <w:sz w:val="21"/>
                <w:szCs w:val="24"/>
                <w:lang w:val="en-US" w:eastAsia="zh-CN" w:bidi="ar-SA"/>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6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vertAlign w:val="baseline"/>
                <w:lang w:val="en-US" w:eastAsia="zh-CN"/>
              </w:rPr>
            </w:pPr>
            <w:r>
              <w:rPr>
                <w:rFonts w:hint="eastAsia"/>
                <w:vertAlign w:val="baseline"/>
                <w:lang w:val="en-US" w:eastAsia="zh-CN"/>
              </w:rPr>
              <w:t>信息内容</w:t>
            </w:r>
          </w:p>
        </w:tc>
        <w:tc>
          <w:tcPr>
            <w:tcW w:w="3437" w:type="pct"/>
            <w:gridSpan w:val="3"/>
            <w:vAlign w:val="center"/>
          </w:tcPr>
          <w:p>
            <w:pPr>
              <w:keepNext w:val="0"/>
              <w:keepLines w:val="0"/>
              <w:pageBreakBefore w:val="0"/>
              <w:widowControl w:val="0"/>
              <w:tabs>
                <w:tab w:val="left" w:pos="2217"/>
              </w:tabs>
              <w:kinsoku/>
              <w:wordWrap/>
              <w:overflowPunct/>
              <w:topLinePunct w:val="0"/>
              <w:autoSpaceDE/>
              <w:autoSpaceDN/>
              <w:bidi w:val="0"/>
              <w:adjustRightInd/>
              <w:snapToGrid/>
              <w:spacing w:line="240" w:lineRule="exact"/>
              <w:jc w:val="left"/>
              <w:textAlignment w:val="auto"/>
              <w:rPr>
                <w:rFonts w:hint="eastAsia" w:eastAsiaTheme="minorEastAsia"/>
                <w:vertAlign w:val="baseline"/>
                <w:lang w:val="en-US" w:eastAsia="zh-CN"/>
              </w:rPr>
            </w:pPr>
            <w:r>
              <w:rPr>
                <w:rFonts w:hint="eastAsia"/>
                <w:vertAlign w:val="baseline"/>
                <w:lang w:val="en-US" w:eastAsia="zh-CN"/>
              </w:rPr>
              <w:tab/>
            </w:r>
            <w:r>
              <w:rPr>
                <w:rFonts w:hint="eastAsia"/>
                <w:vertAlign w:val="baseline"/>
                <w:lang w:val="en-US" w:eastAsia="zh-CN"/>
              </w:rPr>
              <w:t>本年处理绝对数量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56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vertAlign w:val="baseline"/>
                <w:lang w:val="en-US" w:eastAsia="zh-CN"/>
              </w:rPr>
            </w:pPr>
            <w:r>
              <w:rPr>
                <w:rFonts w:hint="eastAsia"/>
                <w:vertAlign w:val="baseline"/>
                <w:lang w:val="en-US" w:eastAsia="zh-CN"/>
              </w:rPr>
              <w:t>行政许可</w:t>
            </w:r>
          </w:p>
        </w:tc>
        <w:tc>
          <w:tcPr>
            <w:tcW w:w="3437"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vertAlign w:val="baseline"/>
                <w:lang w:val="en-US" w:eastAsia="zh-CN"/>
              </w:rPr>
            </w:pPr>
            <w:r>
              <w:rPr>
                <w:rFonts w:hint="eastAsia" w:cstheme="minorBidi"/>
                <w:kern w:val="2"/>
                <w:sz w:val="21"/>
                <w:szCs w:val="24"/>
                <w:lang w:val="en-US" w:eastAsia="zh-CN" w:bidi="ar-SA"/>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56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vertAlign w:val="baseline"/>
                <w:lang w:val="en-US" w:eastAsia="zh-CN"/>
              </w:rPr>
            </w:pPr>
            <w:r>
              <w:rPr>
                <w:rFonts w:hint="eastAsia"/>
                <w:vertAlign w:val="baseline"/>
                <w:lang w:val="en-US" w:eastAsia="zh-CN"/>
              </w:rPr>
              <w:t>信息内容</w:t>
            </w:r>
          </w:p>
        </w:tc>
        <w:tc>
          <w:tcPr>
            <w:tcW w:w="3437"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vertAlign w:val="baseline"/>
                <w:lang w:val="en-US" w:eastAsia="zh-CN"/>
              </w:rPr>
            </w:pPr>
            <w:r>
              <w:rPr>
                <w:rFonts w:hint="eastAsia"/>
                <w:vertAlign w:val="baseline"/>
                <w:lang w:val="en-US" w:eastAsia="zh-CN"/>
              </w:rPr>
              <w:t>本年处理绝对数量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56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vertAlign w:val="baseline"/>
                <w:lang w:val="en-US" w:eastAsia="zh-CN"/>
              </w:rPr>
            </w:pPr>
            <w:r>
              <w:rPr>
                <w:rFonts w:hint="eastAsia"/>
                <w:vertAlign w:val="baseline"/>
                <w:lang w:val="en-US" w:eastAsia="zh-CN"/>
              </w:rPr>
              <w:t>行政处罚</w:t>
            </w:r>
          </w:p>
        </w:tc>
        <w:tc>
          <w:tcPr>
            <w:tcW w:w="3437"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56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vertAlign w:val="baseline"/>
                <w:lang w:val="en-US" w:eastAsia="zh-CN"/>
              </w:rPr>
            </w:pPr>
            <w:r>
              <w:rPr>
                <w:rFonts w:hint="eastAsia"/>
                <w:vertAlign w:val="baseline"/>
                <w:lang w:val="en-US" w:eastAsia="zh-CN"/>
              </w:rPr>
              <w:t>行政强制</w:t>
            </w:r>
          </w:p>
        </w:tc>
        <w:tc>
          <w:tcPr>
            <w:tcW w:w="3437"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Theme="minorEastAsia"/>
                <w:vertAlign w:val="baseline"/>
                <w:lang w:val="en-US" w:eastAsia="zh-CN"/>
              </w:rPr>
            </w:pPr>
            <w:r>
              <w:rPr>
                <w:rFonts w:hint="eastAsia"/>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000" w:type="pct"/>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vertAlign w:val="baseline"/>
                <w:lang w:val="en-US" w:eastAsia="zh-CN"/>
              </w:rPr>
            </w:pPr>
            <w:r>
              <w:rPr>
                <w:rFonts w:hint="eastAsia" w:cstheme="minorBidi"/>
                <w:kern w:val="2"/>
                <w:sz w:val="21"/>
                <w:szCs w:val="24"/>
                <w:lang w:val="en-US" w:eastAsia="zh-CN" w:bidi="ar-SA"/>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6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vertAlign w:val="baseline"/>
                <w:lang w:val="en-US" w:eastAsia="zh-CN"/>
              </w:rPr>
            </w:pPr>
            <w:r>
              <w:rPr>
                <w:rFonts w:hint="eastAsia"/>
                <w:vertAlign w:val="baseline"/>
                <w:lang w:val="en-US" w:eastAsia="zh-CN"/>
              </w:rPr>
              <w:t>信息内容</w:t>
            </w:r>
          </w:p>
        </w:tc>
        <w:tc>
          <w:tcPr>
            <w:tcW w:w="3437"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Theme="minorEastAsia"/>
                <w:vertAlign w:val="baseline"/>
                <w:lang w:val="en-US" w:eastAsia="zh-CN"/>
              </w:rPr>
            </w:pPr>
            <w:r>
              <w:rPr>
                <w:rFonts w:hint="eastAsia"/>
                <w:vertAlign w:val="baseline"/>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62" w:type="pc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vertAlign w:val="baseline"/>
                <w:lang w:val="en-US" w:eastAsia="zh-CN"/>
              </w:rPr>
            </w:pPr>
            <w:r>
              <w:rPr>
                <w:rFonts w:hint="eastAsia"/>
                <w:vertAlign w:val="baseline"/>
                <w:lang w:val="en-US" w:eastAsia="zh-CN"/>
              </w:rPr>
              <w:t>行政事业性收费</w:t>
            </w:r>
          </w:p>
        </w:tc>
        <w:tc>
          <w:tcPr>
            <w:tcW w:w="3437" w:type="pct"/>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vertAlign w:val="baseline"/>
                <w:lang w:val="en-US" w:eastAsia="zh-CN"/>
              </w:rPr>
            </w:pPr>
            <w:r>
              <w:rPr>
                <w:rFonts w:hint="eastAsia"/>
                <w:vertAlign w:val="baseline"/>
                <w:lang w:val="en-US" w:eastAsia="zh-CN"/>
              </w:rPr>
              <w:t>0</w:t>
            </w:r>
          </w:p>
        </w:tc>
      </w:tr>
    </w:tbl>
    <w:p>
      <w:pPr>
        <w:numPr>
          <w:ilvl w:val="0"/>
          <w:numId w:val="1"/>
        </w:numPr>
        <w:ind w:firstLine="640" w:firstLineChars="200"/>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收到和处理政府信息公开申请情况</w:t>
      </w:r>
    </w:p>
    <w:tbl>
      <w:tblPr>
        <w:tblStyle w:val="8"/>
        <w:tblW w:w="9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306"/>
        <w:gridCol w:w="2824"/>
        <w:gridCol w:w="670"/>
        <w:gridCol w:w="671"/>
        <w:gridCol w:w="653"/>
        <w:gridCol w:w="741"/>
        <w:gridCol w:w="670"/>
        <w:gridCol w:w="759"/>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606" w:type="dxa"/>
            <w:gridSpan w:val="3"/>
            <w:vMerge w:val="restart"/>
            <w:vAlign w:val="center"/>
          </w:tcPr>
          <w:p>
            <w:pPr>
              <w:numPr>
                <w:ilvl w:val="0"/>
                <w:numId w:val="0"/>
              </w:num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（本列数据的勾稽关系为：第一项加第二项之和，等于第三项加第四项之和）</w:t>
            </w:r>
          </w:p>
        </w:tc>
        <w:tc>
          <w:tcPr>
            <w:tcW w:w="4768" w:type="dxa"/>
            <w:gridSpan w:val="7"/>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606" w:type="dxa"/>
            <w:gridSpan w:val="3"/>
            <w:vMerge w:val="continue"/>
          </w:tcPr>
          <w:p>
            <w:pPr>
              <w:numPr>
                <w:ilvl w:val="0"/>
                <w:numId w:val="0"/>
              </w:numPr>
              <w:rPr>
                <w:rFonts w:hint="default" w:ascii="宋体" w:hAnsi="宋体" w:eastAsia="宋体" w:cs="宋体"/>
                <w:sz w:val="21"/>
                <w:szCs w:val="21"/>
                <w:vertAlign w:val="baseline"/>
                <w:lang w:val="en-US" w:eastAsia="zh-CN"/>
              </w:rPr>
            </w:pPr>
          </w:p>
        </w:tc>
        <w:tc>
          <w:tcPr>
            <w:tcW w:w="670" w:type="dxa"/>
            <w:vMerge w:val="restart"/>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自然人</w:t>
            </w:r>
          </w:p>
        </w:tc>
        <w:tc>
          <w:tcPr>
            <w:tcW w:w="3494" w:type="dxa"/>
            <w:gridSpan w:val="5"/>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法人或其他组织</w:t>
            </w:r>
          </w:p>
        </w:tc>
        <w:tc>
          <w:tcPr>
            <w:tcW w:w="604" w:type="dxa"/>
            <w:vMerge w:val="restart"/>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4606" w:type="dxa"/>
            <w:gridSpan w:val="3"/>
            <w:vMerge w:val="continue"/>
          </w:tcPr>
          <w:p>
            <w:pPr>
              <w:numPr>
                <w:ilvl w:val="0"/>
                <w:numId w:val="0"/>
              </w:numPr>
              <w:rPr>
                <w:rFonts w:hint="default" w:ascii="宋体" w:hAnsi="宋体" w:eastAsia="宋体" w:cs="宋体"/>
                <w:sz w:val="21"/>
                <w:szCs w:val="21"/>
                <w:vertAlign w:val="baseline"/>
                <w:lang w:val="en-US" w:eastAsia="zh-CN"/>
              </w:rPr>
            </w:pPr>
          </w:p>
        </w:tc>
        <w:tc>
          <w:tcPr>
            <w:tcW w:w="670" w:type="dxa"/>
            <w:vMerge w:val="continue"/>
            <w:vAlign w:val="center"/>
          </w:tcPr>
          <w:p>
            <w:pPr>
              <w:numPr>
                <w:ilvl w:val="0"/>
                <w:numId w:val="0"/>
              </w:numPr>
              <w:jc w:val="center"/>
              <w:rPr>
                <w:rFonts w:hint="default" w:ascii="宋体" w:hAnsi="宋体" w:eastAsia="宋体" w:cs="宋体"/>
                <w:sz w:val="21"/>
                <w:szCs w:val="21"/>
                <w:vertAlign w:val="baseline"/>
                <w:lang w:val="en-US" w:eastAsia="zh-CN"/>
              </w:rPr>
            </w:pPr>
          </w:p>
        </w:tc>
        <w:tc>
          <w:tcPr>
            <w:tcW w:w="671"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商业企业</w:t>
            </w:r>
          </w:p>
        </w:tc>
        <w:tc>
          <w:tcPr>
            <w:tcW w:w="653"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科研机构</w:t>
            </w:r>
          </w:p>
        </w:tc>
        <w:tc>
          <w:tcPr>
            <w:tcW w:w="741"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社会公益组织</w:t>
            </w:r>
          </w:p>
        </w:tc>
        <w:tc>
          <w:tcPr>
            <w:tcW w:w="670"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法律服务机构</w:t>
            </w:r>
          </w:p>
        </w:tc>
        <w:tc>
          <w:tcPr>
            <w:tcW w:w="759"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其他</w:t>
            </w:r>
          </w:p>
        </w:tc>
        <w:tc>
          <w:tcPr>
            <w:tcW w:w="604"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gridSpan w:val="3"/>
            <w:vAlign w:val="top"/>
          </w:tcPr>
          <w:p>
            <w:pPr>
              <w:numPr>
                <w:ilvl w:val="0"/>
                <w:numId w:val="0"/>
              </w:numPr>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一、本年新收政府信息公开申请数量</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gridSpan w:val="3"/>
            <w:vAlign w:val="top"/>
          </w:tcPr>
          <w:p>
            <w:pPr>
              <w:numPr>
                <w:ilvl w:val="0"/>
                <w:numId w:val="0"/>
              </w:numPr>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二、上年结转政府信息公开申请数量</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restart"/>
            <w:vAlign w:val="center"/>
          </w:tcPr>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w:t>
            </w:r>
          </w:p>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本</w:t>
            </w:r>
          </w:p>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年</w:t>
            </w:r>
          </w:p>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度</w:t>
            </w:r>
          </w:p>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办</w:t>
            </w:r>
          </w:p>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理</w:t>
            </w:r>
          </w:p>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结</w:t>
            </w:r>
          </w:p>
          <w:p>
            <w:pPr>
              <w:numPr>
                <w:ilvl w:val="0"/>
                <w:numId w:val="0"/>
              </w:num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果</w:t>
            </w:r>
          </w:p>
        </w:tc>
        <w:tc>
          <w:tcPr>
            <w:tcW w:w="4130" w:type="dxa"/>
            <w:gridSpan w:val="2"/>
          </w:tcPr>
          <w:p>
            <w:pPr>
              <w:numPr>
                <w:ilvl w:val="0"/>
                <w:numId w:val="0"/>
              </w:num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（一）予以公开</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tcPr>
          <w:p>
            <w:pPr>
              <w:numPr>
                <w:ilvl w:val="0"/>
                <w:numId w:val="0"/>
              </w:numPr>
              <w:rPr>
                <w:rFonts w:hint="eastAsia" w:ascii="宋体" w:hAnsi="宋体" w:eastAsia="宋体" w:cs="宋体"/>
                <w:sz w:val="21"/>
                <w:szCs w:val="21"/>
                <w:vertAlign w:val="baseline"/>
                <w:lang w:val="en-US" w:eastAsia="zh-CN"/>
              </w:rPr>
            </w:pPr>
          </w:p>
        </w:tc>
        <w:tc>
          <w:tcPr>
            <w:tcW w:w="4130" w:type="dxa"/>
            <w:gridSpan w:val="2"/>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（二）部分公开（区分处理的，只计这一情形，不计其他情形）</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tcPr>
          <w:p>
            <w:pPr>
              <w:numPr>
                <w:ilvl w:val="0"/>
                <w:numId w:val="0"/>
              </w:numPr>
              <w:rPr>
                <w:rFonts w:hint="eastAsia" w:ascii="宋体" w:hAnsi="宋体" w:eastAsia="宋体" w:cs="宋体"/>
                <w:sz w:val="21"/>
                <w:szCs w:val="21"/>
                <w:vertAlign w:val="baseline"/>
                <w:lang w:val="en-US" w:eastAsia="zh-CN"/>
              </w:rPr>
            </w:pPr>
          </w:p>
        </w:tc>
        <w:tc>
          <w:tcPr>
            <w:tcW w:w="1306" w:type="dxa"/>
            <w:vMerge w:val="restart"/>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（三）不予公开</w:t>
            </w:r>
          </w:p>
        </w:tc>
        <w:tc>
          <w:tcPr>
            <w:tcW w:w="2824" w:type="dxa"/>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1.属于国家秘密</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tcPr>
          <w:p>
            <w:pPr>
              <w:numPr>
                <w:ilvl w:val="0"/>
                <w:numId w:val="0"/>
              </w:numPr>
              <w:rPr>
                <w:rFonts w:hint="eastAsia" w:ascii="宋体" w:hAnsi="宋体" w:eastAsia="宋体" w:cs="宋体"/>
                <w:sz w:val="21"/>
                <w:szCs w:val="21"/>
                <w:vertAlign w:val="baseline"/>
                <w:lang w:val="en-US" w:eastAsia="zh-CN"/>
              </w:rPr>
            </w:pPr>
          </w:p>
        </w:tc>
        <w:tc>
          <w:tcPr>
            <w:tcW w:w="1306" w:type="dxa"/>
            <w:vMerge w:val="continue"/>
            <w:vAlign w:val="center"/>
          </w:tcPr>
          <w:p>
            <w:pPr>
              <w:numPr>
                <w:ilvl w:val="0"/>
                <w:numId w:val="0"/>
              </w:numPr>
              <w:jc w:val="center"/>
              <w:rPr>
                <w:rFonts w:hint="default" w:ascii="宋体" w:hAnsi="宋体" w:eastAsia="宋体" w:cs="宋体"/>
                <w:sz w:val="21"/>
                <w:szCs w:val="21"/>
                <w:vertAlign w:val="baseline"/>
                <w:lang w:val="en-US" w:eastAsia="zh-CN"/>
              </w:rPr>
            </w:pPr>
          </w:p>
        </w:tc>
        <w:tc>
          <w:tcPr>
            <w:tcW w:w="2824" w:type="dxa"/>
          </w:tcPr>
          <w:p>
            <w:pPr>
              <w:numPr>
                <w:ilvl w:val="0"/>
                <w:numId w:val="0"/>
              </w:num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2.其他法律行政法规禁止公开</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tcPr>
          <w:p>
            <w:pPr>
              <w:numPr>
                <w:ilvl w:val="0"/>
                <w:numId w:val="0"/>
              </w:numPr>
              <w:rPr>
                <w:rFonts w:hint="eastAsia" w:ascii="宋体" w:hAnsi="宋体" w:eastAsia="宋体" w:cs="宋体"/>
                <w:sz w:val="21"/>
                <w:szCs w:val="21"/>
                <w:vertAlign w:val="baseline"/>
                <w:lang w:val="en-US" w:eastAsia="zh-CN"/>
              </w:rPr>
            </w:pPr>
          </w:p>
        </w:tc>
        <w:tc>
          <w:tcPr>
            <w:tcW w:w="1306" w:type="dxa"/>
            <w:vMerge w:val="continue"/>
            <w:vAlign w:val="center"/>
          </w:tcPr>
          <w:p>
            <w:pPr>
              <w:numPr>
                <w:ilvl w:val="0"/>
                <w:numId w:val="0"/>
              </w:numPr>
              <w:jc w:val="center"/>
              <w:rPr>
                <w:rFonts w:hint="default" w:ascii="宋体" w:hAnsi="宋体" w:eastAsia="宋体" w:cs="宋体"/>
                <w:sz w:val="21"/>
                <w:szCs w:val="21"/>
                <w:vertAlign w:val="baseline"/>
                <w:lang w:val="en-US" w:eastAsia="zh-CN"/>
              </w:rPr>
            </w:pPr>
          </w:p>
        </w:tc>
        <w:tc>
          <w:tcPr>
            <w:tcW w:w="2824" w:type="dxa"/>
          </w:tcPr>
          <w:p>
            <w:pPr>
              <w:numPr>
                <w:ilvl w:val="0"/>
                <w:numId w:val="0"/>
              </w:num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3.危及“三安全一稳定”</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tcPr>
          <w:p>
            <w:pPr>
              <w:numPr>
                <w:ilvl w:val="0"/>
                <w:numId w:val="0"/>
              </w:numPr>
              <w:rPr>
                <w:rFonts w:hint="eastAsia" w:ascii="宋体" w:hAnsi="宋体" w:eastAsia="宋体" w:cs="宋体"/>
                <w:sz w:val="21"/>
                <w:szCs w:val="21"/>
                <w:vertAlign w:val="baseline"/>
                <w:lang w:val="en-US" w:eastAsia="zh-CN"/>
              </w:rPr>
            </w:pPr>
          </w:p>
        </w:tc>
        <w:tc>
          <w:tcPr>
            <w:tcW w:w="1306" w:type="dxa"/>
            <w:vMerge w:val="continue"/>
            <w:vAlign w:val="center"/>
          </w:tcPr>
          <w:p>
            <w:pPr>
              <w:numPr>
                <w:ilvl w:val="0"/>
                <w:numId w:val="0"/>
              </w:numPr>
              <w:jc w:val="center"/>
              <w:rPr>
                <w:rFonts w:hint="default" w:ascii="宋体" w:hAnsi="宋体" w:eastAsia="宋体" w:cs="宋体"/>
                <w:sz w:val="21"/>
                <w:szCs w:val="21"/>
                <w:vertAlign w:val="baseline"/>
                <w:lang w:val="en-US" w:eastAsia="zh-CN"/>
              </w:rPr>
            </w:pPr>
          </w:p>
        </w:tc>
        <w:tc>
          <w:tcPr>
            <w:tcW w:w="2824" w:type="dxa"/>
          </w:tcPr>
          <w:p>
            <w:pPr>
              <w:numPr>
                <w:ilvl w:val="0"/>
                <w:numId w:val="0"/>
              </w:num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4.保护第三方合法权益</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tcPr>
          <w:p>
            <w:pPr>
              <w:numPr>
                <w:ilvl w:val="0"/>
                <w:numId w:val="0"/>
              </w:numPr>
              <w:rPr>
                <w:rFonts w:hint="eastAsia" w:ascii="宋体" w:hAnsi="宋体" w:eastAsia="宋体" w:cs="宋体"/>
                <w:sz w:val="21"/>
                <w:szCs w:val="21"/>
                <w:vertAlign w:val="baseline"/>
                <w:lang w:val="en-US" w:eastAsia="zh-CN"/>
              </w:rPr>
            </w:pPr>
          </w:p>
        </w:tc>
        <w:tc>
          <w:tcPr>
            <w:tcW w:w="1306" w:type="dxa"/>
            <w:vMerge w:val="continue"/>
            <w:vAlign w:val="center"/>
          </w:tcPr>
          <w:p>
            <w:pPr>
              <w:numPr>
                <w:ilvl w:val="0"/>
                <w:numId w:val="0"/>
              </w:numPr>
              <w:jc w:val="center"/>
              <w:rPr>
                <w:rFonts w:hint="default" w:ascii="宋体" w:hAnsi="宋体" w:eastAsia="宋体" w:cs="宋体"/>
                <w:sz w:val="21"/>
                <w:szCs w:val="21"/>
                <w:vertAlign w:val="baseline"/>
                <w:lang w:val="en-US" w:eastAsia="zh-CN"/>
              </w:rPr>
            </w:pPr>
          </w:p>
        </w:tc>
        <w:tc>
          <w:tcPr>
            <w:tcW w:w="2824" w:type="dxa"/>
          </w:tcPr>
          <w:p>
            <w:pPr>
              <w:numPr>
                <w:ilvl w:val="0"/>
                <w:numId w:val="0"/>
              </w:num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5.属于三类内部事务信息</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tcPr>
          <w:p>
            <w:pPr>
              <w:numPr>
                <w:ilvl w:val="0"/>
                <w:numId w:val="0"/>
              </w:numPr>
              <w:rPr>
                <w:rFonts w:hint="default" w:ascii="宋体" w:hAnsi="宋体" w:eastAsia="宋体" w:cs="宋体"/>
                <w:sz w:val="21"/>
                <w:szCs w:val="21"/>
                <w:vertAlign w:val="baseline"/>
                <w:lang w:val="en-US" w:eastAsia="zh-CN"/>
              </w:rPr>
            </w:pPr>
          </w:p>
        </w:tc>
        <w:tc>
          <w:tcPr>
            <w:tcW w:w="1306"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2824" w:type="dxa"/>
          </w:tcPr>
          <w:p>
            <w:pPr>
              <w:numPr>
                <w:ilvl w:val="0"/>
                <w:numId w:val="0"/>
              </w:num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6.属于四类过程性信息</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476" w:type="dxa"/>
            <w:vMerge w:val="continue"/>
          </w:tcPr>
          <w:p>
            <w:pPr>
              <w:numPr>
                <w:ilvl w:val="0"/>
                <w:numId w:val="0"/>
              </w:numPr>
              <w:rPr>
                <w:rFonts w:hint="eastAsia" w:ascii="黑体" w:hAnsi="黑体" w:eastAsia="黑体" w:cs="黑体"/>
                <w:sz w:val="32"/>
                <w:szCs w:val="32"/>
                <w:vertAlign w:val="baseline"/>
                <w:lang w:val="en-US" w:eastAsia="zh-CN"/>
              </w:rPr>
            </w:pPr>
          </w:p>
        </w:tc>
        <w:tc>
          <w:tcPr>
            <w:tcW w:w="1306" w:type="dxa"/>
            <w:vMerge w:val="continue"/>
            <w:vAlign w:val="center"/>
          </w:tcPr>
          <w:p>
            <w:pPr>
              <w:numPr>
                <w:ilvl w:val="0"/>
                <w:numId w:val="0"/>
              </w:numPr>
              <w:jc w:val="center"/>
              <w:rPr>
                <w:rFonts w:hint="eastAsia" w:ascii="黑体" w:hAnsi="黑体" w:eastAsia="黑体" w:cs="黑体"/>
                <w:sz w:val="32"/>
                <w:szCs w:val="32"/>
                <w:vertAlign w:val="baseline"/>
                <w:lang w:val="en-US" w:eastAsia="zh-CN"/>
              </w:rPr>
            </w:pPr>
          </w:p>
        </w:tc>
        <w:tc>
          <w:tcPr>
            <w:tcW w:w="2824" w:type="dxa"/>
          </w:tcPr>
          <w:p>
            <w:pPr>
              <w:numPr>
                <w:ilvl w:val="0"/>
                <w:numId w:val="0"/>
              </w:numPr>
              <w:rPr>
                <w:rFonts w:hint="default" w:ascii="黑体" w:hAnsi="黑体" w:eastAsia="黑体" w:cs="黑体"/>
                <w:sz w:val="32"/>
                <w:szCs w:val="32"/>
                <w:vertAlign w:val="baseline"/>
                <w:lang w:val="en-US" w:eastAsia="zh-CN"/>
              </w:rPr>
            </w:pPr>
            <w:r>
              <w:rPr>
                <w:rFonts w:hint="eastAsia" w:ascii="宋体" w:hAnsi="宋体" w:eastAsia="宋体" w:cs="宋体"/>
                <w:sz w:val="21"/>
                <w:szCs w:val="21"/>
                <w:vertAlign w:val="baseline"/>
                <w:lang w:val="en-US" w:eastAsia="zh-CN"/>
              </w:rPr>
              <w:t>7.属于行政执法案卷</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tcPr>
          <w:p>
            <w:pPr>
              <w:numPr>
                <w:ilvl w:val="0"/>
                <w:numId w:val="0"/>
              </w:numPr>
              <w:jc w:val="center"/>
              <w:rPr>
                <w:rFonts w:hint="default" w:ascii="黑体" w:hAnsi="黑体" w:eastAsia="黑体" w:cs="黑体"/>
                <w:sz w:val="32"/>
                <w:szCs w:val="32"/>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tcPr>
          <w:p>
            <w:pPr>
              <w:numPr>
                <w:ilvl w:val="0"/>
                <w:numId w:val="0"/>
              </w:numPr>
              <w:rPr>
                <w:rFonts w:hint="eastAsia" w:ascii="宋体" w:hAnsi="宋体" w:eastAsia="宋体" w:cs="宋体"/>
                <w:sz w:val="21"/>
                <w:szCs w:val="21"/>
                <w:vertAlign w:val="baseline"/>
                <w:lang w:val="en-US" w:eastAsia="zh-CN"/>
              </w:rPr>
            </w:pPr>
          </w:p>
        </w:tc>
        <w:tc>
          <w:tcPr>
            <w:tcW w:w="1306" w:type="dxa"/>
            <w:vMerge w:val="continue"/>
            <w:vAlign w:val="center"/>
          </w:tcPr>
          <w:p>
            <w:pPr>
              <w:numPr>
                <w:ilvl w:val="0"/>
                <w:numId w:val="0"/>
              </w:numPr>
              <w:jc w:val="center"/>
              <w:rPr>
                <w:rFonts w:hint="eastAsia" w:ascii="宋体" w:hAnsi="宋体" w:eastAsia="宋体" w:cs="宋体"/>
                <w:sz w:val="21"/>
                <w:szCs w:val="21"/>
                <w:vertAlign w:val="baseline"/>
                <w:lang w:val="en-US" w:eastAsia="zh-CN"/>
              </w:rPr>
            </w:pPr>
          </w:p>
        </w:tc>
        <w:tc>
          <w:tcPr>
            <w:tcW w:w="2824" w:type="dxa"/>
          </w:tcPr>
          <w:p>
            <w:pPr>
              <w:numPr>
                <w:ilvl w:val="0"/>
                <w:numId w:val="0"/>
              </w:num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8.属于行政查询事项</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tcPr>
          <w:p>
            <w:pPr>
              <w:numPr>
                <w:ilvl w:val="0"/>
                <w:numId w:val="0"/>
              </w:numPr>
              <w:rPr>
                <w:rFonts w:hint="eastAsia" w:ascii="宋体" w:hAnsi="宋体" w:eastAsia="宋体" w:cs="宋体"/>
                <w:sz w:val="21"/>
                <w:szCs w:val="21"/>
                <w:vertAlign w:val="baseline"/>
                <w:lang w:val="en-US" w:eastAsia="zh-CN"/>
              </w:rPr>
            </w:pPr>
          </w:p>
        </w:tc>
        <w:tc>
          <w:tcPr>
            <w:tcW w:w="1306" w:type="dxa"/>
            <w:vMerge w:val="restart"/>
            <w:vAlign w:val="center"/>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（四）无法提供</w:t>
            </w:r>
          </w:p>
        </w:tc>
        <w:tc>
          <w:tcPr>
            <w:tcW w:w="2824" w:type="dxa"/>
          </w:tcPr>
          <w:p>
            <w:pPr>
              <w:numPr>
                <w:ilvl w:val="0"/>
                <w:numId w:val="0"/>
              </w:num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1.本机关不掌握相关政府信息</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tcPr>
          <w:p>
            <w:pPr>
              <w:numPr>
                <w:ilvl w:val="0"/>
                <w:numId w:val="0"/>
              </w:numPr>
              <w:rPr>
                <w:rFonts w:hint="eastAsia" w:ascii="宋体" w:hAnsi="宋体" w:eastAsia="宋体" w:cs="宋体"/>
                <w:sz w:val="21"/>
                <w:szCs w:val="21"/>
                <w:vertAlign w:val="baseline"/>
                <w:lang w:val="en-US" w:eastAsia="zh-CN"/>
              </w:rPr>
            </w:pPr>
          </w:p>
        </w:tc>
        <w:tc>
          <w:tcPr>
            <w:tcW w:w="1306" w:type="dxa"/>
            <w:vMerge w:val="continue"/>
            <w:vAlign w:val="center"/>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p>
        </w:tc>
        <w:tc>
          <w:tcPr>
            <w:tcW w:w="2824" w:type="dxa"/>
          </w:tcPr>
          <w:p>
            <w:pPr>
              <w:numPr>
                <w:ilvl w:val="0"/>
                <w:numId w:val="0"/>
              </w:num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2.没有现成信息需要另行制作</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tcPr>
          <w:p>
            <w:pPr>
              <w:numPr>
                <w:ilvl w:val="0"/>
                <w:numId w:val="0"/>
              </w:numPr>
              <w:rPr>
                <w:rFonts w:hint="eastAsia" w:ascii="宋体" w:hAnsi="宋体" w:eastAsia="宋体" w:cs="宋体"/>
                <w:sz w:val="21"/>
                <w:szCs w:val="21"/>
                <w:vertAlign w:val="baseline"/>
                <w:lang w:val="en-US" w:eastAsia="zh-CN"/>
              </w:rPr>
            </w:pPr>
          </w:p>
        </w:tc>
        <w:tc>
          <w:tcPr>
            <w:tcW w:w="1306" w:type="dxa"/>
            <w:vMerge w:val="continue"/>
            <w:vAlign w:val="center"/>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p>
        </w:tc>
        <w:tc>
          <w:tcPr>
            <w:tcW w:w="2824" w:type="dxa"/>
          </w:tcPr>
          <w:p>
            <w:pPr>
              <w:numPr>
                <w:ilvl w:val="0"/>
                <w:numId w:val="0"/>
              </w:num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3.补正后申请内容仍不明确</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tcPr>
          <w:p>
            <w:pPr>
              <w:numPr>
                <w:ilvl w:val="0"/>
                <w:numId w:val="0"/>
              </w:numPr>
              <w:rPr>
                <w:rFonts w:hint="eastAsia" w:ascii="宋体" w:hAnsi="宋体" w:eastAsia="宋体" w:cs="宋体"/>
                <w:sz w:val="21"/>
                <w:szCs w:val="21"/>
                <w:vertAlign w:val="baseline"/>
                <w:lang w:val="en-US" w:eastAsia="zh-CN"/>
              </w:rPr>
            </w:pPr>
          </w:p>
        </w:tc>
        <w:tc>
          <w:tcPr>
            <w:tcW w:w="1306" w:type="dxa"/>
            <w:vMerge w:val="restart"/>
            <w:vAlign w:val="center"/>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（五）不予处理</w:t>
            </w:r>
          </w:p>
        </w:tc>
        <w:tc>
          <w:tcPr>
            <w:tcW w:w="2824" w:type="dxa"/>
            <w:vAlign w:val="top"/>
          </w:tcPr>
          <w:p>
            <w:pPr>
              <w:numPr>
                <w:ilvl w:val="0"/>
                <w:numId w:val="0"/>
              </w:numPr>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1.信访举报投诉类申请</w:t>
            </w:r>
          </w:p>
        </w:tc>
        <w:tc>
          <w:tcPr>
            <w:tcW w:w="670"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tcPr>
          <w:p>
            <w:pPr>
              <w:numPr>
                <w:ilvl w:val="0"/>
                <w:numId w:val="0"/>
              </w:numPr>
              <w:rPr>
                <w:rFonts w:hint="eastAsia" w:ascii="宋体" w:hAnsi="宋体" w:eastAsia="宋体" w:cs="宋体"/>
                <w:sz w:val="21"/>
                <w:szCs w:val="21"/>
                <w:vertAlign w:val="baseline"/>
                <w:lang w:val="en-US" w:eastAsia="zh-CN"/>
              </w:rPr>
            </w:pPr>
          </w:p>
        </w:tc>
        <w:tc>
          <w:tcPr>
            <w:tcW w:w="1306" w:type="dxa"/>
            <w:vMerge w:val="continue"/>
            <w:vAlign w:val="top"/>
          </w:tcPr>
          <w:p>
            <w:pPr>
              <w:numPr>
                <w:ilvl w:val="0"/>
                <w:numId w:val="0"/>
              </w:numPr>
              <w:ind w:left="0" w:leftChars="0" w:firstLine="0" w:firstLineChars="0"/>
              <w:rPr>
                <w:rFonts w:hint="eastAsia" w:ascii="宋体" w:hAnsi="宋体" w:eastAsia="宋体" w:cs="宋体"/>
                <w:sz w:val="21"/>
                <w:szCs w:val="21"/>
                <w:vertAlign w:val="baseline"/>
                <w:lang w:val="en-US" w:eastAsia="zh-CN"/>
              </w:rPr>
            </w:pPr>
          </w:p>
        </w:tc>
        <w:tc>
          <w:tcPr>
            <w:tcW w:w="2824" w:type="dxa"/>
            <w:vAlign w:val="top"/>
          </w:tcPr>
          <w:p>
            <w:pPr>
              <w:numPr>
                <w:ilvl w:val="0"/>
                <w:numId w:val="0"/>
              </w:numPr>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2.重复申请</w:t>
            </w:r>
          </w:p>
        </w:tc>
        <w:tc>
          <w:tcPr>
            <w:tcW w:w="670"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tcPr>
          <w:p>
            <w:pPr>
              <w:numPr>
                <w:ilvl w:val="0"/>
                <w:numId w:val="0"/>
              </w:numPr>
              <w:rPr>
                <w:rFonts w:hint="eastAsia" w:ascii="宋体" w:hAnsi="宋体" w:eastAsia="宋体" w:cs="宋体"/>
                <w:sz w:val="21"/>
                <w:szCs w:val="21"/>
                <w:vertAlign w:val="baseline"/>
                <w:lang w:val="en-US" w:eastAsia="zh-CN"/>
              </w:rPr>
            </w:pPr>
          </w:p>
        </w:tc>
        <w:tc>
          <w:tcPr>
            <w:tcW w:w="1306" w:type="dxa"/>
            <w:vMerge w:val="continue"/>
            <w:vAlign w:val="top"/>
          </w:tcPr>
          <w:p>
            <w:pPr>
              <w:numPr>
                <w:ilvl w:val="0"/>
                <w:numId w:val="0"/>
              </w:numPr>
              <w:ind w:left="0" w:leftChars="0" w:firstLine="0" w:firstLineChars="0"/>
              <w:rPr>
                <w:rFonts w:hint="eastAsia" w:ascii="宋体" w:hAnsi="宋体" w:eastAsia="宋体" w:cs="宋体"/>
                <w:sz w:val="21"/>
                <w:szCs w:val="21"/>
                <w:vertAlign w:val="baseline"/>
                <w:lang w:val="en-US" w:eastAsia="zh-CN"/>
              </w:rPr>
            </w:pPr>
          </w:p>
        </w:tc>
        <w:tc>
          <w:tcPr>
            <w:tcW w:w="2824" w:type="dxa"/>
            <w:vAlign w:val="top"/>
          </w:tcPr>
          <w:p>
            <w:pPr>
              <w:numPr>
                <w:ilvl w:val="0"/>
                <w:numId w:val="0"/>
              </w:numPr>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3.要求提供公开出版物</w:t>
            </w:r>
          </w:p>
        </w:tc>
        <w:tc>
          <w:tcPr>
            <w:tcW w:w="670"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tcPr>
          <w:p>
            <w:pPr>
              <w:numPr>
                <w:ilvl w:val="0"/>
                <w:numId w:val="0"/>
              </w:numPr>
              <w:rPr>
                <w:rFonts w:hint="eastAsia" w:ascii="宋体" w:hAnsi="宋体" w:eastAsia="宋体" w:cs="宋体"/>
                <w:sz w:val="21"/>
                <w:szCs w:val="21"/>
                <w:vertAlign w:val="baseline"/>
                <w:lang w:val="en-US" w:eastAsia="zh-CN"/>
              </w:rPr>
            </w:pPr>
          </w:p>
        </w:tc>
        <w:tc>
          <w:tcPr>
            <w:tcW w:w="1306" w:type="dxa"/>
            <w:vMerge w:val="continue"/>
            <w:vAlign w:val="top"/>
          </w:tcPr>
          <w:p>
            <w:pPr>
              <w:numPr>
                <w:ilvl w:val="0"/>
                <w:numId w:val="0"/>
              </w:numPr>
              <w:ind w:left="0" w:leftChars="0" w:firstLine="0" w:firstLineChars="0"/>
              <w:rPr>
                <w:rFonts w:hint="eastAsia" w:ascii="宋体" w:hAnsi="宋体" w:eastAsia="宋体" w:cs="宋体"/>
                <w:sz w:val="21"/>
                <w:szCs w:val="21"/>
                <w:vertAlign w:val="baseline"/>
                <w:lang w:val="en-US" w:eastAsia="zh-CN"/>
              </w:rPr>
            </w:pPr>
          </w:p>
        </w:tc>
        <w:tc>
          <w:tcPr>
            <w:tcW w:w="2824" w:type="dxa"/>
            <w:vAlign w:val="top"/>
          </w:tcPr>
          <w:p>
            <w:pPr>
              <w:numPr>
                <w:ilvl w:val="0"/>
                <w:numId w:val="0"/>
              </w:numPr>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 xml:space="preserve">4.无正当理由大量反复申请 </w:t>
            </w:r>
          </w:p>
        </w:tc>
        <w:tc>
          <w:tcPr>
            <w:tcW w:w="670"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tcPr>
          <w:p>
            <w:pPr>
              <w:numPr>
                <w:ilvl w:val="0"/>
                <w:numId w:val="0"/>
              </w:numPr>
              <w:rPr>
                <w:rFonts w:hint="eastAsia" w:ascii="宋体" w:hAnsi="宋体" w:eastAsia="宋体" w:cs="宋体"/>
                <w:sz w:val="21"/>
                <w:szCs w:val="21"/>
                <w:vertAlign w:val="baseline"/>
                <w:lang w:val="en-US" w:eastAsia="zh-CN"/>
              </w:rPr>
            </w:pPr>
          </w:p>
        </w:tc>
        <w:tc>
          <w:tcPr>
            <w:tcW w:w="1306" w:type="dxa"/>
            <w:vMerge w:val="continue"/>
            <w:vAlign w:val="top"/>
          </w:tcPr>
          <w:p>
            <w:pPr>
              <w:numPr>
                <w:ilvl w:val="0"/>
                <w:numId w:val="0"/>
              </w:numPr>
              <w:ind w:left="0" w:leftChars="0" w:firstLine="0" w:firstLineChars="0"/>
              <w:rPr>
                <w:rFonts w:hint="eastAsia" w:ascii="宋体" w:hAnsi="宋体" w:eastAsia="宋体" w:cs="宋体"/>
                <w:sz w:val="21"/>
                <w:szCs w:val="21"/>
                <w:vertAlign w:val="baseline"/>
                <w:lang w:val="en-US" w:eastAsia="zh-CN"/>
              </w:rPr>
            </w:pPr>
          </w:p>
        </w:tc>
        <w:tc>
          <w:tcPr>
            <w:tcW w:w="2824" w:type="dxa"/>
            <w:vAlign w:val="top"/>
          </w:tcPr>
          <w:p>
            <w:pPr>
              <w:numPr>
                <w:ilvl w:val="0"/>
                <w:numId w:val="0"/>
              </w:numPr>
              <w:ind w:left="0" w:leftChars="0" w:firstLine="0" w:firstLineChars="0"/>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5.要求行政机关确认或重新出具已获取信息</w:t>
            </w:r>
          </w:p>
        </w:tc>
        <w:tc>
          <w:tcPr>
            <w:tcW w:w="670"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vAlign w:val="top"/>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tcPr>
          <w:p>
            <w:pPr>
              <w:numPr>
                <w:ilvl w:val="0"/>
                <w:numId w:val="0"/>
              </w:numPr>
              <w:rPr>
                <w:rFonts w:hint="eastAsia" w:ascii="宋体" w:hAnsi="宋体" w:eastAsia="宋体" w:cs="宋体"/>
                <w:sz w:val="21"/>
                <w:szCs w:val="21"/>
                <w:vertAlign w:val="baseline"/>
                <w:lang w:val="en-US" w:eastAsia="zh-CN"/>
              </w:rPr>
            </w:pPr>
          </w:p>
        </w:tc>
        <w:tc>
          <w:tcPr>
            <w:tcW w:w="1306" w:type="dxa"/>
            <w:vMerge w:val="restart"/>
            <w:vAlign w:val="center"/>
          </w:tcPr>
          <w:p>
            <w:pPr>
              <w:numPr>
                <w:ilvl w:val="0"/>
                <w:numId w:val="0"/>
              </w:numPr>
              <w:ind w:left="0" w:leftChars="0" w:firstLine="0" w:firstLineChars="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（六）其他处理</w:t>
            </w:r>
          </w:p>
        </w:tc>
        <w:tc>
          <w:tcPr>
            <w:tcW w:w="2824" w:type="dxa"/>
          </w:tcPr>
          <w:p>
            <w:pPr>
              <w:numPr>
                <w:ilvl w:val="0"/>
                <w:numId w:val="0"/>
              </w:num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1.申请人无正当理由逾期不补正、行政机关不再处理其政府信息公开申请</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tcPr>
          <w:p>
            <w:pPr>
              <w:numPr>
                <w:ilvl w:val="0"/>
                <w:numId w:val="0"/>
              </w:numPr>
              <w:rPr>
                <w:rFonts w:hint="eastAsia" w:ascii="宋体" w:hAnsi="宋体" w:eastAsia="宋体" w:cs="宋体"/>
                <w:sz w:val="21"/>
                <w:szCs w:val="21"/>
                <w:vertAlign w:val="baseline"/>
                <w:lang w:val="en-US" w:eastAsia="zh-CN"/>
              </w:rPr>
            </w:pPr>
          </w:p>
        </w:tc>
        <w:tc>
          <w:tcPr>
            <w:tcW w:w="1306" w:type="dxa"/>
            <w:vMerge w:val="continue"/>
            <w:vAlign w:val="top"/>
          </w:tcPr>
          <w:p>
            <w:pPr>
              <w:numPr>
                <w:ilvl w:val="0"/>
                <w:numId w:val="0"/>
              </w:numPr>
              <w:ind w:left="0" w:leftChars="0" w:firstLine="0" w:firstLineChars="0"/>
              <w:rPr>
                <w:rFonts w:hint="eastAsia" w:ascii="宋体" w:hAnsi="宋体" w:eastAsia="宋体" w:cs="宋体"/>
                <w:sz w:val="21"/>
                <w:szCs w:val="21"/>
                <w:vertAlign w:val="baseline"/>
                <w:lang w:val="en-US" w:eastAsia="zh-CN"/>
              </w:rPr>
            </w:pPr>
          </w:p>
        </w:tc>
        <w:tc>
          <w:tcPr>
            <w:tcW w:w="2824" w:type="dxa"/>
          </w:tcPr>
          <w:p>
            <w:pPr>
              <w:numPr>
                <w:ilvl w:val="0"/>
                <w:numId w:val="0"/>
              </w:num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2.申请人逾期未按收费通知要求缴纳费用、行政机关不再处理其政府信息公开申请。</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tcPr>
          <w:p>
            <w:pPr>
              <w:numPr>
                <w:ilvl w:val="0"/>
                <w:numId w:val="0"/>
              </w:numPr>
              <w:rPr>
                <w:rFonts w:hint="eastAsia" w:ascii="宋体" w:hAnsi="宋体" w:eastAsia="宋体" w:cs="宋体"/>
                <w:sz w:val="21"/>
                <w:szCs w:val="21"/>
                <w:vertAlign w:val="baseline"/>
                <w:lang w:val="en-US" w:eastAsia="zh-CN"/>
              </w:rPr>
            </w:pPr>
          </w:p>
        </w:tc>
        <w:tc>
          <w:tcPr>
            <w:tcW w:w="1306" w:type="dxa"/>
            <w:vMerge w:val="continue"/>
            <w:vAlign w:val="top"/>
          </w:tcPr>
          <w:p>
            <w:pPr>
              <w:numPr>
                <w:ilvl w:val="0"/>
                <w:numId w:val="0"/>
              </w:numPr>
              <w:ind w:left="0" w:leftChars="0" w:firstLine="0" w:firstLineChars="0"/>
              <w:rPr>
                <w:rFonts w:hint="eastAsia" w:ascii="宋体" w:hAnsi="宋体" w:eastAsia="宋体" w:cs="宋体"/>
                <w:sz w:val="21"/>
                <w:szCs w:val="21"/>
                <w:vertAlign w:val="baseline"/>
                <w:lang w:val="en-US" w:eastAsia="zh-CN"/>
              </w:rPr>
            </w:pPr>
          </w:p>
        </w:tc>
        <w:tc>
          <w:tcPr>
            <w:tcW w:w="2824" w:type="dxa"/>
          </w:tcPr>
          <w:p>
            <w:pPr>
              <w:numPr>
                <w:ilvl w:val="0"/>
                <w:numId w:val="0"/>
              </w:numP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3.其他</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 w:type="dxa"/>
            <w:vMerge w:val="continue"/>
          </w:tcPr>
          <w:p>
            <w:pPr>
              <w:numPr>
                <w:ilvl w:val="0"/>
                <w:numId w:val="0"/>
              </w:numPr>
              <w:rPr>
                <w:rFonts w:hint="eastAsia" w:ascii="宋体" w:hAnsi="宋体" w:eastAsia="宋体" w:cs="宋体"/>
                <w:sz w:val="21"/>
                <w:szCs w:val="21"/>
                <w:vertAlign w:val="baseline"/>
                <w:lang w:val="en-US" w:eastAsia="zh-CN"/>
              </w:rPr>
            </w:pPr>
          </w:p>
        </w:tc>
        <w:tc>
          <w:tcPr>
            <w:tcW w:w="4130" w:type="dxa"/>
            <w:gridSpan w:val="2"/>
            <w:vAlign w:val="top"/>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（七）总计</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06" w:type="dxa"/>
            <w:gridSpan w:val="3"/>
          </w:tcPr>
          <w:p>
            <w:pPr>
              <w:numPr>
                <w:ilvl w:val="0"/>
                <w:numId w:val="0"/>
              </w:numP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四、结转下年度继续办理</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53"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41"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7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59"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4"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8"/>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85"/>
        <w:gridCol w:w="600"/>
        <w:gridCol w:w="645"/>
        <w:gridCol w:w="525"/>
        <w:gridCol w:w="690"/>
        <w:gridCol w:w="690"/>
        <w:gridCol w:w="690"/>
        <w:gridCol w:w="630"/>
        <w:gridCol w:w="510"/>
        <w:gridCol w:w="600"/>
        <w:gridCol w:w="615"/>
        <w:gridCol w:w="660"/>
        <w:gridCol w:w="585"/>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4" w:type="dxa"/>
            <w:gridSpan w:val="5"/>
            <w:vAlign w:val="center"/>
          </w:tcPr>
          <w:p>
            <w:pPr>
              <w:numPr>
                <w:ilvl w:val="0"/>
                <w:numId w:val="0"/>
              </w:numPr>
              <w:jc w:val="center"/>
              <w:rPr>
                <w:rFonts w:hint="eastAsia" w:ascii="黑体" w:hAnsi="黑体" w:eastAsia="黑体" w:cs="黑体"/>
                <w:sz w:val="32"/>
                <w:szCs w:val="32"/>
                <w:vertAlign w:val="baseline"/>
                <w:lang w:val="en-US" w:eastAsia="zh-CN"/>
              </w:rPr>
            </w:pPr>
            <w:r>
              <w:rPr>
                <w:rFonts w:hint="eastAsia" w:ascii="宋体" w:hAnsi="宋体" w:eastAsia="宋体" w:cs="宋体"/>
                <w:sz w:val="18"/>
                <w:szCs w:val="18"/>
                <w:vertAlign w:val="baseline"/>
                <w:lang w:val="en-US" w:eastAsia="zh-CN"/>
              </w:rPr>
              <w:t>行政复议</w:t>
            </w:r>
          </w:p>
        </w:tc>
        <w:tc>
          <w:tcPr>
            <w:tcW w:w="6165" w:type="dxa"/>
            <w:gridSpan w:val="10"/>
          </w:tcPr>
          <w:p>
            <w:pPr>
              <w:numPr>
                <w:ilvl w:val="0"/>
                <w:numId w:val="0"/>
              </w:numPr>
              <w:jc w:val="center"/>
              <w:rPr>
                <w:rFonts w:hint="eastAsia" w:ascii="黑体" w:hAnsi="黑体" w:eastAsia="黑体" w:cs="黑体"/>
                <w:sz w:val="32"/>
                <w:szCs w:val="32"/>
                <w:vertAlign w:val="baseline"/>
                <w:lang w:val="en-US" w:eastAsia="zh-CN"/>
              </w:rPr>
            </w:pPr>
            <w:r>
              <w:rPr>
                <w:rFonts w:hint="eastAsia" w:ascii="宋体" w:hAnsi="宋体" w:eastAsia="宋体" w:cs="宋体"/>
                <w:sz w:val="18"/>
                <w:szCs w:val="18"/>
                <w:vertAlign w:val="baseline"/>
                <w:lang w:val="en-US"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79" w:type="dxa"/>
            <w:vMerge w:val="restart"/>
            <w:vAlign w:val="center"/>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结果</w:t>
            </w:r>
          </w:p>
          <w:p>
            <w:pPr>
              <w:numPr>
                <w:ilvl w:val="0"/>
                <w:numId w:val="0"/>
              </w:numPr>
              <w:jc w:val="center"/>
              <w:rPr>
                <w:rFonts w:hint="eastAsia" w:ascii="黑体" w:hAnsi="黑体" w:eastAsia="黑体" w:cs="黑体"/>
                <w:sz w:val="18"/>
                <w:szCs w:val="18"/>
                <w:vertAlign w:val="baseline"/>
                <w:lang w:val="en-US" w:eastAsia="zh-CN"/>
              </w:rPr>
            </w:pPr>
            <w:r>
              <w:rPr>
                <w:rFonts w:hint="eastAsia" w:ascii="宋体" w:hAnsi="宋体" w:eastAsia="宋体" w:cs="宋体"/>
                <w:sz w:val="18"/>
                <w:szCs w:val="18"/>
                <w:vertAlign w:val="baseline"/>
                <w:lang w:val="en-US" w:eastAsia="zh-CN"/>
              </w:rPr>
              <w:t>维持</w:t>
            </w:r>
          </w:p>
        </w:tc>
        <w:tc>
          <w:tcPr>
            <w:tcW w:w="585" w:type="dxa"/>
            <w:vMerge w:val="restart"/>
            <w:vAlign w:val="center"/>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结果</w:t>
            </w:r>
          </w:p>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纠正</w:t>
            </w:r>
          </w:p>
        </w:tc>
        <w:tc>
          <w:tcPr>
            <w:tcW w:w="600" w:type="dxa"/>
            <w:vMerge w:val="restart"/>
            <w:vAlign w:val="center"/>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其他</w:t>
            </w:r>
          </w:p>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结果</w:t>
            </w:r>
          </w:p>
        </w:tc>
        <w:tc>
          <w:tcPr>
            <w:tcW w:w="645" w:type="dxa"/>
            <w:vMerge w:val="restart"/>
            <w:vAlign w:val="center"/>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尚未</w:t>
            </w:r>
          </w:p>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审结</w:t>
            </w:r>
          </w:p>
        </w:tc>
        <w:tc>
          <w:tcPr>
            <w:tcW w:w="525" w:type="dxa"/>
            <w:vMerge w:val="restart"/>
            <w:vAlign w:val="center"/>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总计</w:t>
            </w:r>
          </w:p>
        </w:tc>
        <w:tc>
          <w:tcPr>
            <w:tcW w:w="3210" w:type="dxa"/>
            <w:gridSpan w:val="5"/>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未经复议直接起诉</w:t>
            </w:r>
          </w:p>
        </w:tc>
        <w:tc>
          <w:tcPr>
            <w:tcW w:w="2955" w:type="dxa"/>
            <w:gridSpan w:val="5"/>
          </w:tcPr>
          <w:p>
            <w:pPr>
              <w:numPr>
                <w:ilvl w:val="0"/>
                <w:numId w:val="0"/>
              </w:numPr>
              <w:jc w:val="center"/>
              <w:rPr>
                <w:rFonts w:hint="eastAsia" w:ascii="宋体" w:hAnsi="宋体" w:eastAsia="宋体" w:cs="宋体"/>
                <w:sz w:val="24"/>
                <w:szCs w:val="24"/>
                <w:vertAlign w:val="baseline"/>
                <w:lang w:val="en-US" w:eastAsia="zh-CN"/>
              </w:rPr>
            </w:pPr>
            <w:r>
              <w:rPr>
                <w:rFonts w:hint="eastAsia" w:ascii="宋体" w:hAnsi="宋体" w:eastAsia="宋体" w:cs="宋体"/>
                <w:sz w:val="18"/>
                <w:szCs w:val="18"/>
                <w:vertAlign w:val="baseline"/>
                <w:lang w:val="en-US"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579" w:type="dxa"/>
            <w:vMerge w:val="continue"/>
          </w:tcPr>
          <w:p>
            <w:pPr>
              <w:numPr>
                <w:ilvl w:val="0"/>
                <w:numId w:val="0"/>
              </w:numPr>
              <w:rPr>
                <w:rFonts w:hint="eastAsia" w:ascii="黑体" w:hAnsi="黑体" w:eastAsia="黑体" w:cs="黑体"/>
                <w:sz w:val="18"/>
                <w:szCs w:val="18"/>
                <w:vertAlign w:val="baseline"/>
                <w:lang w:val="en-US" w:eastAsia="zh-CN"/>
              </w:rPr>
            </w:pPr>
          </w:p>
        </w:tc>
        <w:tc>
          <w:tcPr>
            <w:tcW w:w="585" w:type="dxa"/>
            <w:vMerge w:val="continue"/>
          </w:tcPr>
          <w:p>
            <w:pPr>
              <w:numPr>
                <w:ilvl w:val="0"/>
                <w:numId w:val="0"/>
              </w:numPr>
              <w:jc w:val="center"/>
              <w:rPr>
                <w:rFonts w:hint="eastAsia" w:ascii="宋体" w:hAnsi="宋体" w:eastAsia="宋体" w:cs="宋体"/>
                <w:sz w:val="18"/>
                <w:szCs w:val="18"/>
                <w:vertAlign w:val="baseline"/>
                <w:lang w:val="en-US" w:eastAsia="zh-CN"/>
              </w:rPr>
            </w:pPr>
          </w:p>
        </w:tc>
        <w:tc>
          <w:tcPr>
            <w:tcW w:w="600" w:type="dxa"/>
            <w:vMerge w:val="continue"/>
          </w:tcPr>
          <w:p>
            <w:pPr>
              <w:numPr>
                <w:ilvl w:val="0"/>
                <w:numId w:val="0"/>
              </w:numPr>
              <w:jc w:val="center"/>
              <w:rPr>
                <w:rFonts w:hint="eastAsia" w:ascii="宋体" w:hAnsi="宋体" w:eastAsia="宋体" w:cs="宋体"/>
                <w:sz w:val="18"/>
                <w:szCs w:val="18"/>
                <w:vertAlign w:val="baseline"/>
                <w:lang w:val="en-US" w:eastAsia="zh-CN"/>
              </w:rPr>
            </w:pPr>
          </w:p>
        </w:tc>
        <w:tc>
          <w:tcPr>
            <w:tcW w:w="645" w:type="dxa"/>
            <w:vMerge w:val="continue"/>
          </w:tcPr>
          <w:p>
            <w:pPr>
              <w:numPr>
                <w:ilvl w:val="0"/>
                <w:numId w:val="0"/>
              </w:numPr>
              <w:jc w:val="center"/>
              <w:rPr>
                <w:rFonts w:hint="eastAsia" w:ascii="宋体" w:hAnsi="宋体" w:eastAsia="宋体" w:cs="宋体"/>
                <w:sz w:val="18"/>
                <w:szCs w:val="18"/>
                <w:vertAlign w:val="baseline"/>
                <w:lang w:val="en-US" w:eastAsia="zh-CN"/>
              </w:rPr>
            </w:pPr>
          </w:p>
        </w:tc>
        <w:tc>
          <w:tcPr>
            <w:tcW w:w="525" w:type="dxa"/>
            <w:vMerge w:val="continue"/>
          </w:tcPr>
          <w:p>
            <w:pPr>
              <w:numPr>
                <w:ilvl w:val="0"/>
                <w:numId w:val="0"/>
              </w:numPr>
              <w:jc w:val="center"/>
              <w:rPr>
                <w:rFonts w:hint="eastAsia" w:ascii="宋体" w:hAnsi="宋体" w:eastAsia="宋体" w:cs="宋体"/>
                <w:sz w:val="18"/>
                <w:szCs w:val="18"/>
                <w:vertAlign w:val="baseline"/>
                <w:lang w:val="en-US" w:eastAsia="zh-CN"/>
              </w:rPr>
            </w:pPr>
          </w:p>
        </w:tc>
        <w:tc>
          <w:tcPr>
            <w:tcW w:w="690" w:type="dxa"/>
            <w:vAlign w:val="center"/>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结果</w:t>
            </w:r>
          </w:p>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维持</w:t>
            </w:r>
          </w:p>
        </w:tc>
        <w:tc>
          <w:tcPr>
            <w:tcW w:w="690" w:type="dxa"/>
            <w:vAlign w:val="center"/>
          </w:tcPr>
          <w:p>
            <w:pPr>
              <w:numPr>
                <w:ilvl w:val="0"/>
                <w:numId w:val="0"/>
              </w:numPr>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结果</w:t>
            </w:r>
          </w:p>
          <w:p>
            <w:pPr>
              <w:numPr>
                <w:ilvl w:val="0"/>
                <w:numId w:val="0"/>
              </w:numPr>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纠正</w:t>
            </w:r>
          </w:p>
        </w:tc>
        <w:tc>
          <w:tcPr>
            <w:tcW w:w="690" w:type="dxa"/>
            <w:vAlign w:val="center"/>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其他</w:t>
            </w:r>
          </w:p>
          <w:p>
            <w:pPr>
              <w:numPr>
                <w:ilvl w:val="0"/>
                <w:numId w:val="0"/>
              </w:numPr>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结果</w:t>
            </w:r>
          </w:p>
        </w:tc>
        <w:tc>
          <w:tcPr>
            <w:tcW w:w="630" w:type="dxa"/>
            <w:vAlign w:val="center"/>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尚未</w:t>
            </w:r>
          </w:p>
          <w:p>
            <w:pPr>
              <w:numPr>
                <w:ilvl w:val="0"/>
                <w:numId w:val="0"/>
              </w:numPr>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审结</w:t>
            </w:r>
          </w:p>
        </w:tc>
        <w:tc>
          <w:tcPr>
            <w:tcW w:w="510" w:type="dxa"/>
            <w:vAlign w:val="center"/>
          </w:tcPr>
          <w:p>
            <w:pPr>
              <w:numPr>
                <w:ilvl w:val="0"/>
                <w:numId w:val="0"/>
              </w:numPr>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总计</w:t>
            </w:r>
          </w:p>
        </w:tc>
        <w:tc>
          <w:tcPr>
            <w:tcW w:w="600" w:type="dxa"/>
            <w:vAlign w:val="center"/>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结果</w:t>
            </w:r>
          </w:p>
          <w:p>
            <w:pPr>
              <w:numPr>
                <w:ilvl w:val="0"/>
                <w:numId w:val="0"/>
              </w:num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18"/>
                <w:szCs w:val="18"/>
                <w:vertAlign w:val="baseline"/>
                <w:lang w:val="en-US" w:eastAsia="zh-CN"/>
              </w:rPr>
              <w:t>维持</w:t>
            </w:r>
          </w:p>
        </w:tc>
        <w:tc>
          <w:tcPr>
            <w:tcW w:w="615" w:type="dxa"/>
            <w:vAlign w:val="center"/>
          </w:tcPr>
          <w:p>
            <w:pPr>
              <w:numPr>
                <w:ilvl w:val="0"/>
                <w:numId w:val="0"/>
              </w:numPr>
              <w:ind w:left="0" w:leftChars="0"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结果</w:t>
            </w:r>
          </w:p>
          <w:p>
            <w:pPr>
              <w:numPr>
                <w:ilvl w:val="0"/>
                <w:numId w:val="0"/>
              </w:num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18"/>
                <w:szCs w:val="18"/>
                <w:vertAlign w:val="baseline"/>
                <w:lang w:val="en-US" w:eastAsia="zh-CN"/>
              </w:rPr>
              <w:t>纠正</w:t>
            </w:r>
          </w:p>
        </w:tc>
        <w:tc>
          <w:tcPr>
            <w:tcW w:w="660" w:type="dxa"/>
            <w:vAlign w:val="center"/>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其他</w:t>
            </w:r>
          </w:p>
          <w:p>
            <w:pPr>
              <w:numPr>
                <w:ilvl w:val="0"/>
                <w:numId w:val="0"/>
              </w:num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18"/>
                <w:szCs w:val="18"/>
                <w:vertAlign w:val="baseline"/>
                <w:lang w:val="en-US" w:eastAsia="zh-CN"/>
              </w:rPr>
              <w:t>结果</w:t>
            </w:r>
          </w:p>
        </w:tc>
        <w:tc>
          <w:tcPr>
            <w:tcW w:w="585" w:type="dxa"/>
            <w:vAlign w:val="center"/>
          </w:tcPr>
          <w:p>
            <w:pPr>
              <w:numPr>
                <w:ilvl w:val="0"/>
                <w:numId w:val="0"/>
              </w:numPr>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尚未</w:t>
            </w:r>
          </w:p>
          <w:p>
            <w:pPr>
              <w:numPr>
                <w:ilvl w:val="0"/>
                <w:numId w:val="0"/>
              </w:num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18"/>
                <w:szCs w:val="18"/>
                <w:vertAlign w:val="baseline"/>
                <w:lang w:val="en-US" w:eastAsia="zh-CN"/>
              </w:rPr>
              <w:t>审结</w:t>
            </w:r>
          </w:p>
        </w:tc>
        <w:tc>
          <w:tcPr>
            <w:tcW w:w="495" w:type="dxa"/>
            <w:vAlign w:val="center"/>
          </w:tcPr>
          <w:p>
            <w:pPr>
              <w:numPr>
                <w:ilvl w:val="0"/>
                <w:numId w:val="0"/>
              </w:numPr>
              <w:ind w:left="0" w:leftChars="0" w:firstLine="0" w:firstLineChars="0"/>
              <w:jc w:val="center"/>
              <w:rPr>
                <w:rFonts w:hint="eastAsia" w:ascii="宋体" w:hAnsi="宋体" w:eastAsia="宋体" w:cs="宋体"/>
                <w:sz w:val="24"/>
                <w:szCs w:val="24"/>
                <w:vertAlign w:val="baseline"/>
                <w:lang w:val="en-US" w:eastAsia="zh-CN"/>
              </w:rPr>
            </w:pPr>
            <w:r>
              <w:rPr>
                <w:rFonts w:hint="eastAsia" w:ascii="宋体" w:hAnsi="宋体" w:eastAsia="宋体" w:cs="宋体"/>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85"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0"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45" w:type="dxa"/>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25"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90"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90"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90"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30"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10"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00"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15"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660"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585"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495" w:type="dxa"/>
            <w:vAlign w:val="center"/>
          </w:tcPr>
          <w:p>
            <w:pPr>
              <w:numPr>
                <w:ilvl w:val="0"/>
                <w:numId w:val="0"/>
              </w:num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bl>
    <w:p>
      <w:pPr>
        <w:numPr>
          <w:ilvl w:val="0"/>
          <w:numId w:val="0"/>
        </w:numPr>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年政府信息公开工作虽然取得了一定的成效，但仍存在差距和不足：信息公开工作的广度和深度还不够，还不能完全满足群众和企业期望和需求。20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 xml:space="preserve">年，邢台市工业和信息化局将继续加大政府信息公开工作力度，以人民群众的需求为出发点和落脚点，重点开展以下几个方面工作：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一是及时发布和更新依法应主动公开的政务信息，确保我局政务信息及时公开，进一步完善我局信息公开制度，不断建立健全工作机制，维护政务信息公开工作的正常秩序。二是进一步加强网站建设。要充分利用</w:t>
      </w:r>
      <w:r>
        <w:rPr>
          <w:rFonts w:hint="eastAsia" w:ascii="仿宋_GB2312" w:hAnsi="仿宋_GB2312" w:eastAsia="仿宋_GB2312" w:cs="仿宋_GB2312"/>
          <w:sz w:val="32"/>
          <w:szCs w:val="32"/>
          <w:lang w:eastAsia="zh-CN"/>
        </w:rPr>
        <w:t>市政府信息平台和</w:t>
      </w:r>
      <w:r>
        <w:rPr>
          <w:rFonts w:hint="eastAsia" w:ascii="仿宋_GB2312" w:hAnsi="仿宋_GB2312" w:eastAsia="仿宋_GB2312" w:cs="仿宋_GB2312"/>
          <w:sz w:val="32"/>
          <w:szCs w:val="32"/>
        </w:rPr>
        <w:t>市工信局网站，实现政务信息网</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公开，切实提高办事透明度，接受社会监督，努力提高工信系统行政效能和公信力，更好地为企业提供便利的服务。</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u w:val="none"/>
          <w:lang w:val="en-US" w:eastAsia="zh-CN" w:bidi="ar-SA"/>
        </w:rPr>
        <w:t>我局认真贯彻执行国务院办公厅《政府信息公开信息处理费管理办法》和《关于政府信息公开处理费管理有关事项的通知》。2022年市工业和信息化局未收取信息处理费。</w:t>
      </w:r>
    </w:p>
    <w:bookmarkEnd w:id="0"/>
    <w:sectPr>
      <w:footerReference r:id="rId3" w:type="default"/>
      <w:pgSz w:w="11906" w:h="16838"/>
      <w:pgMar w:top="215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08F684"/>
    <w:multiLevelType w:val="singleLevel"/>
    <w:tmpl w:val="2008F684"/>
    <w:lvl w:ilvl="0" w:tentative="0">
      <w:start w:val="3"/>
      <w:numFmt w:val="chineseCounting"/>
      <w:suff w:val="nothing"/>
      <w:lvlText w:val="%1、"/>
      <w:lvlJc w:val="left"/>
      <w:rPr>
        <w:rFonts w:hint="eastAsia"/>
      </w:rPr>
    </w:lvl>
  </w:abstractNum>
  <w:abstractNum w:abstractNumId="1">
    <w:nsid w:val="2515D13B"/>
    <w:multiLevelType w:val="singleLevel"/>
    <w:tmpl w:val="2515D13B"/>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hODcyZjEwMjUwNzdkZDA1YjIxNGEyODk2NTg0NzAifQ=="/>
  </w:docVars>
  <w:rsids>
    <w:rsidRoot w:val="537179D1"/>
    <w:rsid w:val="03105258"/>
    <w:rsid w:val="0B085879"/>
    <w:rsid w:val="0C1A1AD0"/>
    <w:rsid w:val="150205B3"/>
    <w:rsid w:val="24BA676E"/>
    <w:rsid w:val="28BC2380"/>
    <w:rsid w:val="294652D5"/>
    <w:rsid w:val="29AC687B"/>
    <w:rsid w:val="47244271"/>
    <w:rsid w:val="47317F46"/>
    <w:rsid w:val="4CFA10CF"/>
    <w:rsid w:val="4F540550"/>
    <w:rsid w:val="4F7B72CB"/>
    <w:rsid w:val="4FF475EC"/>
    <w:rsid w:val="537179D1"/>
    <w:rsid w:val="57AE1D00"/>
    <w:rsid w:val="586B6A4F"/>
    <w:rsid w:val="58FF7130"/>
    <w:rsid w:val="5C454155"/>
    <w:rsid w:val="61E928B3"/>
    <w:rsid w:val="643724B9"/>
    <w:rsid w:val="65C6218A"/>
    <w:rsid w:val="69E816E3"/>
    <w:rsid w:val="72AA2ECD"/>
    <w:rsid w:val="75E35FF0"/>
    <w:rsid w:val="76D3445D"/>
    <w:rsid w:val="789E20B4"/>
    <w:rsid w:val="7EF86055"/>
    <w:rsid w:val="7FFDD74A"/>
    <w:rsid w:val="CF7E941C"/>
    <w:rsid w:val="F7F10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u w:val="none"/>
      <w:lang w:val="en-US" w:eastAsia="zh-CN" w:bidi="ar"/>
    </w:rPr>
  </w:style>
  <w:style w:type="paragraph" w:styleId="6">
    <w:name w:val="Body Text First Indent 2"/>
    <w:basedOn w:val="2"/>
    <w:next w:val="1"/>
    <w:qFormat/>
    <w:uiPriority w:val="99"/>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qFormat/>
    <w:uiPriority w:val="0"/>
    <w:rPr>
      <w:rFonts w:hint="eastAsia" w:ascii="微软雅黑" w:hAnsi="微软雅黑" w:eastAsia="微软雅黑" w:cs="微软雅黑"/>
      <w:color w:val="800080"/>
      <w:u w:val="none"/>
    </w:rPr>
  </w:style>
  <w:style w:type="character" w:styleId="11">
    <w:name w:val="Emphasis"/>
    <w:basedOn w:val="9"/>
    <w:qFormat/>
    <w:uiPriority w:val="0"/>
    <w:rPr>
      <w:rFonts w:hint="eastAsia" w:ascii="微软雅黑" w:hAnsi="微软雅黑" w:eastAsia="微软雅黑" w:cs="微软雅黑"/>
      <w:u w:val="none"/>
    </w:rPr>
  </w:style>
  <w:style w:type="character" w:styleId="12">
    <w:name w:val="Hyperlink"/>
    <w:basedOn w:val="9"/>
    <w:qFormat/>
    <w:uiPriority w:val="0"/>
    <w:rPr>
      <w:rFonts w:hint="eastAsia" w:ascii="微软雅黑" w:hAnsi="微软雅黑" w:eastAsia="微软雅黑" w:cs="微软雅黑"/>
      <w:color w:val="0000FF"/>
      <w:u w:val="none"/>
    </w:rPr>
  </w:style>
  <w:style w:type="character" w:customStyle="1" w:styleId="13">
    <w:name w:val="curr2"/>
    <w:basedOn w:val="9"/>
    <w:qFormat/>
    <w:uiPriority w:val="0"/>
    <w:rPr>
      <w:color w:val="FFFFFF"/>
      <w:shd w:val="clear" w:fill="C50000"/>
    </w:rPr>
  </w:style>
  <w:style w:type="character" w:customStyle="1" w:styleId="14">
    <w:name w:val="hover12"/>
    <w:basedOn w:val="9"/>
    <w:qFormat/>
    <w:uiPriority w:val="0"/>
    <w:rPr>
      <w:color w:val="C50000"/>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numbering.xml" Type="http://schemas.openxmlformats.org/officeDocument/2006/relationships/numbering"/><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2556</Words>
  <Characters>2624</Characters>
  <Lines>0</Lines>
  <Paragraphs>0</Paragraphs>
  <TotalTime>20</TotalTime>
  <ScaleCrop>false</ScaleCrop>
  <LinksUpToDate>false</LinksUpToDate>
  <CharactersWithSpaces>2627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2020-01-14T06:54:00Z</dcterms:created>
  <dc:creator>Administrator</dc:creator>
  <cp:lastModifiedBy>Heysen</cp:lastModifiedBy>
  <cp:lastPrinted>2023-01-12T02:10:00Z</cp:lastPrinted>
  <dcterms:modified xsi:type="dcterms:W3CDTF">2023-02-07T07:51:43Z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94FB9316ADD44879A291BCFF21197B02</vt:lpwstr>
  </property>
</Properties>
</file>