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微软雅黑" w:hAnsi="微软雅黑" w:eastAsia="微软雅黑" w:cs="微软雅黑"/>
          <w:b w:val="0"/>
          <w:bCs/>
          <w:i w:val="0"/>
          <w:caps w:val="0"/>
          <w:color w:val="333333"/>
          <w:spacing w:val="0"/>
          <w:sz w:val="48"/>
          <w:szCs w:val="48"/>
          <w:u w:val="none"/>
          <w:shd w:val="clear" w:color="auto" w:fill="FFFFFF"/>
        </w:rPr>
      </w:pPr>
      <w:r>
        <w:rPr>
          <w:rFonts w:hint="default" w:ascii="微软雅黑" w:hAnsi="微软雅黑" w:eastAsia="微软雅黑" w:cs="微软雅黑"/>
          <w:b w:val="0"/>
          <w:bCs/>
          <w:i w:val="0"/>
          <w:caps w:val="0"/>
          <w:color w:val="333333"/>
          <w:spacing w:val="0"/>
          <w:sz w:val="48"/>
          <w:szCs w:val="48"/>
          <w:u w:val="none"/>
          <w:shd w:val="clear" w:color="auto" w:fill="FFFFFF"/>
        </w:rPr>
        <w:t>邢台市交通运输局202</w:t>
      </w:r>
      <w:r>
        <w:rPr>
          <w:rFonts w:hint="eastAsia" w:ascii="微软雅黑" w:hAnsi="微软雅黑" w:eastAsia="微软雅黑" w:cs="微软雅黑"/>
          <w:b w:val="0"/>
          <w:bCs/>
          <w:i w:val="0"/>
          <w:caps w:val="0"/>
          <w:color w:val="333333"/>
          <w:spacing w:val="0"/>
          <w:sz w:val="48"/>
          <w:szCs w:val="48"/>
          <w:u w:val="none"/>
          <w:shd w:val="clear" w:color="auto" w:fill="FFFFFF"/>
          <w:lang w:val="en-US" w:eastAsia="zh-CN"/>
        </w:rPr>
        <w:t>2</w:t>
      </w:r>
      <w:r>
        <w:rPr>
          <w:rFonts w:hint="default" w:ascii="微软雅黑" w:hAnsi="微软雅黑" w:eastAsia="微软雅黑" w:cs="微软雅黑"/>
          <w:b w:val="0"/>
          <w:bCs/>
          <w:i w:val="0"/>
          <w:caps w:val="0"/>
          <w:color w:val="333333"/>
          <w:spacing w:val="0"/>
          <w:sz w:val="48"/>
          <w:szCs w:val="48"/>
          <w:u w:val="none"/>
          <w:shd w:val="clear" w:color="auto" w:fill="FFFFFF"/>
        </w:rPr>
        <w:t>年政府信息公开工作年度报告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bookmarkStart w:id="0" w:name="_GoBack"/>
      <w:r>
        <w:rPr>
          <w:rFonts w:hint="eastAsia" w:ascii="仿宋_GB2312" w:hAnsi="仿宋_GB2312" w:eastAsia="仿宋_GB2312" w:cs="仿宋_GB2312"/>
          <w:i w:val="0"/>
          <w:caps w:val="0"/>
          <w:color w:val="333333"/>
          <w:spacing w:val="0"/>
          <w:kern w:val="0"/>
          <w:sz w:val="32"/>
          <w:szCs w:val="32"/>
          <w:u w:val="none"/>
          <w:lang w:val="en-US" w:eastAsia="zh-CN" w:bidi="ar"/>
        </w:rPr>
        <w:t>2022年，邢台市交通运输局认真贯彻落实市政府关于全面推进政务公开的工作部署，根据《中华人民共和国政府信息公开条例》《河北省实施&lt;中华人民共和国政府信息公开条例&gt;办法》等规定，发布本年度报告。报告中所列数据统计期限为2022年1月1日至12月31日。</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333333"/>
          <w:spacing w:val="0"/>
          <w:kern w:val="0"/>
          <w:sz w:val="32"/>
          <w:szCs w:val="32"/>
          <w:u w:val="none"/>
          <w:lang w:val="en-US" w:eastAsia="zh-CN" w:bidi="ar"/>
        </w:rPr>
      </w:pPr>
      <w:r>
        <w:rPr>
          <w:rFonts w:hint="eastAsia" w:ascii="黑体" w:hAnsi="黑体" w:eastAsia="黑体" w:cs="黑体"/>
          <w:i w:val="0"/>
          <w:caps w:val="0"/>
          <w:color w:val="333333"/>
          <w:spacing w:val="0"/>
          <w:kern w:val="0"/>
          <w:sz w:val="32"/>
          <w:szCs w:val="32"/>
          <w:u w:val="none"/>
          <w:lang w:val="en-US" w:eastAsia="zh-CN" w:bidi="ar"/>
        </w:rPr>
        <w:t>一、总体情况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2022年，</w:t>
      </w:r>
      <w:r>
        <w:rPr>
          <w:rFonts w:hint="default" w:ascii="仿宋_GB2312" w:hAnsi="仿宋_GB2312" w:eastAsia="仿宋_GB2312" w:cs="仿宋_GB2312"/>
          <w:i w:val="0"/>
          <w:caps w:val="0"/>
          <w:color w:val="333333"/>
          <w:spacing w:val="0"/>
          <w:kern w:val="0"/>
          <w:sz w:val="32"/>
          <w:szCs w:val="32"/>
          <w:u w:val="none"/>
          <w:lang w:val="en-US" w:eastAsia="zh-CN" w:bidi="ar"/>
        </w:rPr>
        <w:t>在市委、市政府的正确领导下，我局高度重视政府信息公开工作，坚持“以公开为常态、不公开为例外”，围绕市政府办《2022年邢台市政府信息公开工作年度报告编制和公布工作的通知》的要求，不断推进政府信息公开工作的公开化和透明化</w:t>
      </w:r>
      <w:r>
        <w:rPr>
          <w:rFonts w:hint="eastAsia" w:ascii="仿宋_GB2312" w:hAnsi="仿宋_GB2312" w:eastAsia="仿宋_GB2312" w:cs="仿宋_GB2312"/>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进一步优化公开渠道，完善机制体制，依法保障了人民群众的知情权、参与权和监督权。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caps w:val="0"/>
          <w:color w:val="333333"/>
          <w:spacing w:val="0"/>
          <w:kern w:val="0"/>
          <w:sz w:val="32"/>
          <w:szCs w:val="32"/>
          <w:u w:val="none"/>
          <w:lang w:val="en-US" w:eastAsia="zh-CN" w:bidi="ar"/>
        </w:rPr>
      </w:pPr>
      <w:r>
        <w:rPr>
          <w:rFonts w:hint="default" w:ascii="仿宋_GB2312" w:hAnsi="仿宋_GB2312" w:eastAsia="仿宋_GB2312" w:cs="仿宋_GB2312"/>
          <w:b/>
          <w:bCs/>
          <w:i w:val="0"/>
          <w:caps w:val="0"/>
          <w:color w:val="333333"/>
          <w:spacing w:val="0"/>
          <w:kern w:val="0"/>
          <w:sz w:val="32"/>
          <w:szCs w:val="32"/>
          <w:u w:val="none"/>
          <w:lang w:val="en-US" w:eastAsia="zh-CN" w:bidi="ar"/>
        </w:rPr>
        <w:t>一是</w:t>
      </w:r>
      <w:r>
        <w:rPr>
          <w:rFonts w:hint="eastAsia" w:ascii="仿宋_GB2312" w:hAnsi="仿宋_GB2312" w:eastAsia="仿宋_GB2312" w:cs="仿宋_GB2312"/>
          <w:b/>
          <w:bCs/>
          <w:i w:val="0"/>
          <w:caps w:val="0"/>
          <w:color w:val="333333"/>
          <w:spacing w:val="0"/>
          <w:kern w:val="0"/>
          <w:sz w:val="32"/>
          <w:szCs w:val="32"/>
          <w:u w:val="none"/>
          <w:lang w:val="en-US" w:eastAsia="zh-CN" w:bidi="ar"/>
        </w:rPr>
        <w:t>加大主动</w:t>
      </w:r>
      <w:r>
        <w:rPr>
          <w:rFonts w:hint="default" w:ascii="仿宋_GB2312" w:hAnsi="仿宋_GB2312" w:eastAsia="仿宋_GB2312" w:cs="仿宋_GB2312"/>
          <w:b/>
          <w:bCs/>
          <w:i w:val="0"/>
          <w:caps w:val="0"/>
          <w:color w:val="333333"/>
          <w:spacing w:val="0"/>
          <w:kern w:val="0"/>
          <w:sz w:val="32"/>
          <w:szCs w:val="32"/>
          <w:u w:val="none"/>
          <w:lang w:val="en-US" w:eastAsia="zh-CN" w:bidi="ar"/>
        </w:rPr>
        <w:t>公开</w:t>
      </w:r>
      <w:r>
        <w:rPr>
          <w:rFonts w:hint="eastAsia" w:ascii="仿宋_GB2312" w:hAnsi="仿宋_GB2312" w:eastAsia="仿宋_GB2312" w:cs="仿宋_GB2312"/>
          <w:b/>
          <w:bCs/>
          <w:i w:val="0"/>
          <w:caps w:val="0"/>
          <w:color w:val="333333"/>
          <w:spacing w:val="0"/>
          <w:kern w:val="0"/>
          <w:sz w:val="32"/>
          <w:szCs w:val="32"/>
          <w:u w:val="none"/>
          <w:lang w:val="en-US" w:eastAsia="zh-CN" w:bidi="ar"/>
        </w:rPr>
        <w:t>力度</w:t>
      </w:r>
      <w:r>
        <w:rPr>
          <w:rFonts w:hint="default" w:ascii="仿宋_GB2312" w:hAnsi="仿宋_GB2312" w:eastAsia="仿宋_GB2312" w:cs="仿宋_GB2312"/>
          <w:b/>
          <w:bCs/>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2022年度，截止到12月31日，</w:t>
      </w:r>
      <w:r>
        <w:rPr>
          <w:rFonts w:hint="eastAsia" w:ascii="仿宋_GB2312" w:hAnsi="仿宋_GB2312" w:eastAsia="仿宋_GB2312" w:cs="仿宋_GB2312"/>
          <w:i w:val="0"/>
          <w:caps w:val="0"/>
          <w:color w:val="333333"/>
          <w:spacing w:val="0"/>
          <w:kern w:val="0"/>
          <w:sz w:val="32"/>
          <w:szCs w:val="32"/>
          <w:u w:val="none"/>
          <w:lang w:val="en-US" w:eastAsia="zh-CN" w:bidi="ar"/>
        </w:rPr>
        <w:t>我</w:t>
      </w:r>
      <w:r>
        <w:rPr>
          <w:rFonts w:hint="default" w:ascii="仿宋_GB2312" w:hAnsi="仿宋_GB2312" w:eastAsia="仿宋_GB2312" w:cs="仿宋_GB2312"/>
          <w:i w:val="0"/>
          <w:caps w:val="0"/>
          <w:color w:val="333333"/>
          <w:spacing w:val="0"/>
          <w:kern w:val="0"/>
          <w:sz w:val="32"/>
          <w:szCs w:val="32"/>
          <w:u w:val="none"/>
          <w:lang w:val="en-US" w:eastAsia="zh-CN" w:bidi="ar"/>
        </w:rPr>
        <w:t>局</w:t>
      </w:r>
      <w:r>
        <w:rPr>
          <w:rFonts w:hint="eastAsia" w:ascii="仿宋_GB2312" w:hAnsi="仿宋_GB2312" w:eastAsia="仿宋_GB2312" w:cs="仿宋_GB2312"/>
          <w:i w:val="0"/>
          <w:caps w:val="0"/>
          <w:color w:val="333333"/>
          <w:spacing w:val="0"/>
          <w:kern w:val="0"/>
          <w:sz w:val="32"/>
          <w:szCs w:val="32"/>
          <w:u w:val="none"/>
          <w:lang w:val="en-US" w:eastAsia="zh-CN" w:bidi="ar"/>
        </w:rPr>
        <w:t>在</w:t>
      </w:r>
      <w:r>
        <w:rPr>
          <w:rFonts w:hint="default" w:ascii="仿宋_GB2312" w:hAnsi="仿宋_GB2312" w:eastAsia="仿宋_GB2312" w:cs="仿宋_GB2312"/>
          <w:i w:val="0"/>
          <w:caps w:val="0"/>
          <w:color w:val="333333"/>
          <w:spacing w:val="0"/>
          <w:kern w:val="0"/>
          <w:sz w:val="32"/>
          <w:szCs w:val="32"/>
          <w:u w:val="none"/>
          <w:lang w:val="en-US" w:eastAsia="zh-CN" w:bidi="ar"/>
        </w:rPr>
        <w:t>政府信息公开目录上主动公开政府信息共448余条，其中政务动态类信息累计发布244条，政策文件类信息累计发布3条，重点领域信息公开累计发布75条，提案建议类18条，行政执法类59条，公告公示信息45条，其他政府信息累计发布4条。按规定公开政府信息公开指南和年度报告，按规定今年办理依申请公开0件，没有出现一起因政务公开而引起的行政诉讼或行政复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caps w:val="0"/>
          <w:color w:val="333333"/>
          <w:spacing w:val="0"/>
          <w:kern w:val="0"/>
          <w:sz w:val="32"/>
          <w:szCs w:val="32"/>
          <w:u w:val="none"/>
          <w:lang w:val="en-US" w:eastAsia="zh-CN" w:bidi="ar"/>
        </w:rPr>
      </w:pPr>
      <w:r>
        <w:rPr>
          <w:rFonts w:hint="default" w:ascii="仿宋_GB2312" w:hAnsi="仿宋_GB2312" w:eastAsia="仿宋_GB2312" w:cs="仿宋_GB2312"/>
          <w:b/>
          <w:bCs/>
          <w:i w:val="0"/>
          <w:caps w:val="0"/>
          <w:color w:val="333333"/>
          <w:spacing w:val="0"/>
          <w:kern w:val="0"/>
          <w:sz w:val="32"/>
          <w:szCs w:val="32"/>
          <w:u w:val="none"/>
          <w:lang w:val="en-US" w:eastAsia="zh-CN" w:bidi="ar"/>
        </w:rPr>
        <w:t>二是</w:t>
      </w:r>
      <w:r>
        <w:rPr>
          <w:rFonts w:hint="eastAsia" w:ascii="仿宋_GB2312" w:hAnsi="仿宋_GB2312" w:eastAsia="仿宋_GB2312" w:cs="仿宋_GB2312"/>
          <w:b/>
          <w:bCs/>
          <w:i w:val="0"/>
          <w:caps w:val="0"/>
          <w:color w:val="333333"/>
          <w:spacing w:val="0"/>
          <w:kern w:val="0"/>
          <w:sz w:val="32"/>
          <w:szCs w:val="32"/>
          <w:u w:val="none"/>
          <w:lang w:val="en-US" w:eastAsia="zh-CN" w:bidi="ar"/>
        </w:rPr>
        <w:t>规范</w:t>
      </w:r>
      <w:r>
        <w:rPr>
          <w:rFonts w:hint="default" w:ascii="仿宋_GB2312" w:hAnsi="仿宋_GB2312" w:eastAsia="仿宋_GB2312" w:cs="仿宋_GB2312"/>
          <w:b/>
          <w:bCs/>
          <w:i w:val="0"/>
          <w:caps w:val="0"/>
          <w:color w:val="333333"/>
          <w:spacing w:val="0"/>
          <w:kern w:val="0"/>
          <w:sz w:val="32"/>
          <w:szCs w:val="32"/>
          <w:u w:val="none"/>
          <w:lang w:val="en-US" w:eastAsia="zh-CN" w:bidi="ar"/>
        </w:rPr>
        <w:t>依申请公开</w:t>
      </w:r>
      <w:r>
        <w:rPr>
          <w:rFonts w:hint="eastAsia" w:ascii="仿宋_GB2312" w:hAnsi="仿宋_GB2312" w:eastAsia="仿宋_GB2312" w:cs="仿宋_GB2312"/>
          <w:b/>
          <w:bCs/>
          <w:i w:val="0"/>
          <w:caps w:val="0"/>
          <w:color w:val="333333"/>
          <w:spacing w:val="0"/>
          <w:kern w:val="0"/>
          <w:sz w:val="32"/>
          <w:szCs w:val="32"/>
          <w:u w:val="none"/>
          <w:lang w:val="en-US" w:eastAsia="zh-CN" w:bidi="ar"/>
        </w:rPr>
        <w:t>办理</w:t>
      </w:r>
      <w:r>
        <w:rPr>
          <w:rFonts w:hint="default" w:ascii="仿宋_GB2312" w:hAnsi="仿宋_GB2312" w:eastAsia="仿宋_GB2312" w:cs="仿宋_GB2312"/>
          <w:b/>
          <w:bCs/>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严格执行《河北省政府信息公开申请办理规范》，</w:t>
      </w:r>
      <w:r>
        <w:rPr>
          <w:rFonts w:hint="eastAsia" w:ascii="仿宋_GB2312" w:hAnsi="仿宋_GB2312" w:eastAsia="仿宋_GB2312" w:cs="仿宋_GB2312"/>
          <w:i w:val="0"/>
          <w:caps w:val="0"/>
          <w:color w:val="333333"/>
          <w:spacing w:val="0"/>
          <w:kern w:val="0"/>
          <w:sz w:val="32"/>
          <w:szCs w:val="32"/>
          <w:u w:val="none"/>
          <w:lang w:val="en-US" w:eastAsia="zh-CN" w:bidi="ar"/>
        </w:rPr>
        <w:t>依据《答复格式文本》制作政府信息公开申请答复书、告知书等，扎实推进依申请公开工作规范化标准化。</w:t>
      </w:r>
      <w:r>
        <w:rPr>
          <w:rFonts w:hint="default" w:ascii="仿宋_GB2312" w:hAnsi="仿宋_GB2312" w:eastAsia="仿宋_GB2312" w:cs="仿宋_GB2312"/>
          <w:i w:val="0"/>
          <w:caps w:val="0"/>
          <w:color w:val="333333"/>
          <w:spacing w:val="0"/>
          <w:kern w:val="0"/>
          <w:sz w:val="32"/>
          <w:szCs w:val="32"/>
          <w:u w:val="none"/>
          <w:lang w:val="en-US" w:eastAsia="zh-CN" w:bidi="ar"/>
        </w:rPr>
        <w:t>树牢宗旨意识，加强同申请人沟通联系，最大限度满足群众信息需求。</w:t>
      </w:r>
      <w:r>
        <w:rPr>
          <w:rFonts w:hint="eastAsia" w:ascii="仿宋_GB2312" w:hAnsi="仿宋_GB2312" w:eastAsia="仿宋_GB2312" w:cs="仿宋_GB2312"/>
          <w:i w:val="0"/>
          <w:caps w:val="0"/>
          <w:color w:val="333333"/>
          <w:spacing w:val="0"/>
          <w:kern w:val="0"/>
          <w:sz w:val="32"/>
          <w:szCs w:val="32"/>
          <w:u w:val="none"/>
          <w:lang w:val="en-US" w:eastAsia="zh-CN" w:bidi="ar"/>
        </w:rPr>
        <w:t>我局</w:t>
      </w:r>
      <w:r>
        <w:rPr>
          <w:rFonts w:hint="default" w:ascii="仿宋_GB2312" w:hAnsi="仿宋_GB2312" w:eastAsia="仿宋_GB2312" w:cs="仿宋_GB2312"/>
          <w:i w:val="0"/>
          <w:caps w:val="0"/>
          <w:color w:val="333333"/>
          <w:spacing w:val="0"/>
          <w:kern w:val="0"/>
          <w:sz w:val="32"/>
          <w:szCs w:val="32"/>
          <w:u w:val="none"/>
          <w:lang w:val="en-US" w:eastAsia="zh-CN" w:bidi="ar"/>
        </w:rPr>
        <w:t>全年</w:t>
      </w:r>
      <w:r>
        <w:rPr>
          <w:rFonts w:hint="eastAsia" w:ascii="仿宋_GB2312" w:hAnsi="仿宋_GB2312" w:eastAsia="仿宋_GB2312" w:cs="仿宋_GB2312"/>
          <w:i w:val="0"/>
          <w:caps w:val="0"/>
          <w:color w:val="333333"/>
          <w:spacing w:val="0"/>
          <w:kern w:val="0"/>
          <w:sz w:val="32"/>
          <w:szCs w:val="32"/>
          <w:u w:val="none"/>
          <w:lang w:val="en-US" w:eastAsia="zh-CN" w:bidi="ar"/>
        </w:rPr>
        <w:t>未</w:t>
      </w:r>
      <w:r>
        <w:rPr>
          <w:rFonts w:hint="default" w:ascii="仿宋_GB2312" w:hAnsi="仿宋_GB2312" w:eastAsia="仿宋_GB2312" w:cs="仿宋_GB2312"/>
          <w:i w:val="0"/>
          <w:caps w:val="0"/>
          <w:color w:val="333333"/>
          <w:spacing w:val="0"/>
          <w:kern w:val="0"/>
          <w:sz w:val="32"/>
          <w:szCs w:val="32"/>
          <w:u w:val="none"/>
          <w:lang w:val="en-US" w:eastAsia="zh-CN" w:bidi="ar"/>
        </w:rPr>
        <w:t>收到依申请公开政府信息的申请</w:t>
      </w:r>
      <w:r>
        <w:rPr>
          <w:rFonts w:hint="eastAsia" w:ascii="仿宋_GB2312" w:hAnsi="仿宋_GB2312" w:eastAsia="仿宋_GB2312" w:cs="仿宋_GB2312"/>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未出现政府信息公开方面的行政复议或行政诉讼等情况。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default" w:ascii="仿宋_GB2312" w:hAnsi="仿宋_GB2312" w:eastAsia="仿宋_GB2312" w:cs="仿宋_GB2312"/>
          <w:b/>
          <w:bCs/>
          <w:i w:val="0"/>
          <w:caps w:val="0"/>
          <w:color w:val="333333"/>
          <w:spacing w:val="0"/>
          <w:kern w:val="0"/>
          <w:sz w:val="32"/>
          <w:szCs w:val="32"/>
          <w:u w:val="none"/>
          <w:lang w:val="en-US" w:eastAsia="zh-CN" w:bidi="ar"/>
        </w:rPr>
        <w:t>三是</w:t>
      </w:r>
      <w:r>
        <w:rPr>
          <w:rFonts w:hint="eastAsia" w:ascii="仿宋_GB2312" w:hAnsi="仿宋_GB2312" w:eastAsia="仿宋_GB2312" w:cs="仿宋_GB2312"/>
          <w:b/>
          <w:bCs/>
          <w:i w:val="0"/>
          <w:caps w:val="0"/>
          <w:color w:val="333333"/>
          <w:spacing w:val="0"/>
          <w:kern w:val="0"/>
          <w:sz w:val="32"/>
          <w:szCs w:val="32"/>
          <w:u w:val="none"/>
          <w:lang w:val="en-US" w:eastAsia="zh-CN" w:bidi="ar"/>
        </w:rPr>
        <w:t>严格政府信息管理。</w:t>
      </w:r>
      <w:r>
        <w:rPr>
          <w:rFonts w:hint="default" w:ascii="仿宋_GB2312" w:hAnsi="仿宋_GB2312" w:eastAsia="仿宋_GB2312" w:cs="仿宋_GB2312"/>
          <w:i w:val="0"/>
          <w:caps w:val="0"/>
          <w:color w:val="333333"/>
          <w:spacing w:val="0"/>
          <w:kern w:val="0"/>
          <w:sz w:val="32"/>
          <w:szCs w:val="32"/>
          <w:u w:val="none"/>
          <w:lang w:val="en-US" w:eastAsia="zh-CN" w:bidi="ar"/>
        </w:rPr>
        <w:t>一是进一步健全政府信息公开工作制度，完善相关工作流程，明确政府信息公开的范围，不断扩大主动公开。二是加强信息管理，明确工作人员对公开的信息进行审核把关，严格按照“谁主管、谁发布、谁审查”“先审查、后公开”“一事一审”原则，理顺公开机制</w:t>
      </w:r>
      <w:r>
        <w:rPr>
          <w:rFonts w:hint="eastAsia" w:ascii="仿宋_GB2312" w:hAnsi="仿宋_GB2312" w:eastAsia="仿宋_GB2312" w:cs="仿宋_GB2312"/>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在公开政府信息前，依照保密制度规定，由承办人拟定意见，单位分管负责人、主要领导逐级批准后才能公开</w:t>
      </w:r>
      <w:r>
        <w:rPr>
          <w:rFonts w:hint="eastAsia" w:ascii="仿宋_GB2312" w:hAnsi="仿宋_GB2312" w:eastAsia="仿宋_GB2312" w:cs="仿宋_GB2312"/>
          <w:i w:val="0"/>
          <w:caps w:val="0"/>
          <w:color w:val="333333"/>
          <w:spacing w:val="0"/>
          <w:kern w:val="0"/>
          <w:sz w:val="32"/>
          <w:szCs w:val="32"/>
          <w:u w:val="none"/>
          <w:lang w:val="en-US" w:eastAsia="zh-CN" w:bidi="ar"/>
        </w:rPr>
        <w:t>，进一步</w:t>
      </w:r>
      <w:r>
        <w:rPr>
          <w:rFonts w:hint="default" w:ascii="仿宋_GB2312" w:hAnsi="仿宋_GB2312" w:eastAsia="仿宋_GB2312" w:cs="仿宋_GB2312"/>
          <w:i w:val="0"/>
          <w:caps w:val="0"/>
          <w:color w:val="333333"/>
          <w:spacing w:val="0"/>
          <w:kern w:val="0"/>
          <w:sz w:val="32"/>
          <w:szCs w:val="32"/>
          <w:u w:val="none"/>
          <w:lang w:val="en-US" w:eastAsia="zh-CN" w:bidi="ar"/>
        </w:rPr>
        <w:t>推动政府信息公开工作规范化、制度化、长效化。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default" w:ascii="仿宋_GB2312" w:hAnsi="仿宋_GB2312" w:eastAsia="仿宋_GB2312" w:cs="仿宋_GB2312"/>
          <w:b/>
          <w:bCs/>
          <w:i w:val="0"/>
          <w:caps w:val="0"/>
          <w:color w:val="333333"/>
          <w:spacing w:val="0"/>
          <w:kern w:val="0"/>
          <w:sz w:val="32"/>
          <w:szCs w:val="32"/>
          <w:u w:val="none"/>
          <w:lang w:val="en-US" w:eastAsia="zh-CN" w:bidi="ar"/>
        </w:rPr>
        <w:t>四是</w:t>
      </w:r>
      <w:r>
        <w:rPr>
          <w:rFonts w:hint="eastAsia" w:ascii="仿宋_GB2312" w:hAnsi="仿宋_GB2312" w:eastAsia="仿宋_GB2312" w:cs="仿宋_GB2312"/>
          <w:b/>
          <w:bCs/>
          <w:i w:val="0"/>
          <w:caps w:val="0"/>
          <w:color w:val="333333"/>
          <w:spacing w:val="0"/>
          <w:kern w:val="0"/>
          <w:sz w:val="32"/>
          <w:szCs w:val="32"/>
          <w:u w:val="none"/>
          <w:lang w:val="en-US" w:eastAsia="zh-CN" w:bidi="ar"/>
        </w:rPr>
        <w:t>推进公共平台建设</w:t>
      </w:r>
      <w:r>
        <w:rPr>
          <w:rFonts w:hint="default" w:ascii="仿宋_GB2312" w:hAnsi="仿宋_GB2312" w:eastAsia="仿宋_GB2312" w:cs="仿宋_GB2312"/>
          <w:b/>
          <w:bCs/>
          <w:i w:val="0"/>
          <w:caps w:val="0"/>
          <w:color w:val="333333"/>
          <w:spacing w:val="0"/>
          <w:kern w:val="0"/>
          <w:sz w:val="32"/>
          <w:szCs w:val="32"/>
          <w:u w:val="none"/>
          <w:lang w:val="en-US" w:eastAsia="zh-CN" w:bidi="ar"/>
        </w:rPr>
        <w:t>。</w:t>
      </w:r>
      <w:r>
        <w:rPr>
          <w:rFonts w:hint="default" w:ascii="仿宋_GB2312" w:hAnsi="仿宋_GB2312" w:eastAsia="仿宋_GB2312" w:cs="仿宋_GB2312"/>
          <w:i w:val="0"/>
          <w:caps w:val="0"/>
          <w:color w:val="333333"/>
          <w:spacing w:val="0"/>
          <w:kern w:val="0"/>
          <w:sz w:val="32"/>
          <w:szCs w:val="32"/>
          <w:u w:val="none"/>
          <w:lang w:val="en-US" w:eastAsia="zh-CN" w:bidi="ar"/>
        </w:rPr>
        <w:t>安排人员负责信息采集、管理、发布等工作，主动做好</w:t>
      </w:r>
      <w:r>
        <w:rPr>
          <w:rFonts w:hint="eastAsia" w:ascii="仿宋_GB2312" w:hAnsi="仿宋_GB2312" w:eastAsia="仿宋_GB2312" w:cs="仿宋_GB2312"/>
          <w:i w:val="0"/>
          <w:caps w:val="0"/>
          <w:color w:val="333333"/>
          <w:spacing w:val="0"/>
          <w:kern w:val="0"/>
          <w:sz w:val="32"/>
          <w:szCs w:val="32"/>
          <w:u w:val="none"/>
          <w:lang w:val="en-US" w:eastAsia="zh-CN" w:bidi="ar"/>
        </w:rPr>
        <w:t>政务新媒体、政府信息公开平台的维护、更新，同时</w:t>
      </w:r>
      <w:r>
        <w:rPr>
          <w:rFonts w:hint="default" w:ascii="仿宋_GB2312" w:hAnsi="仿宋_GB2312" w:eastAsia="仿宋_GB2312" w:cs="仿宋_GB2312"/>
          <w:i w:val="0"/>
          <w:caps w:val="0"/>
          <w:color w:val="333333"/>
          <w:spacing w:val="0"/>
          <w:kern w:val="0"/>
          <w:sz w:val="32"/>
          <w:szCs w:val="32"/>
          <w:u w:val="none"/>
          <w:lang w:val="en-US" w:eastAsia="zh-CN" w:bidi="ar"/>
        </w:rPr>
        <w:t>强化政务新媒体运维管理，</w:t>
      </w:r>
      <w:r>
        <w:rPr>
          <w:rFonts w:hint="eastAsia" w:ascii="仿宋_GB2312" w:hAnsi="仿宋_GB2312" w:eastAsia="仿宋_GB2312" w:cs="仿宋_GB2312"/>
          <w:i w:val="0"/>
          <w:caps w:val="0"/>
          <w:color w:val="333333"/>
          <w:spacing w:val="0"/>
          <w:kern w:val="0"/>
          <w:sz w:val="32"/>
          <w:szCs w:val="32"/>
          <w:u w:val="none"/>
          <w:lang w:val="en-US" w:eastAsia="zh-CN" w:bidi="ar"/>
        </w:rPr>
        <w:t>使微博、微信传播力、影响力、公信力不断升级。配合上级做好安全评估和审查，及时向社会发布审计业务公告以及日常工作动态。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i w:val="0"/>
          <w:caps w:val="0"/>
          <w:color w:val="333333"/>
          <w:spacing w:val="0"/>
          <w:kern w:val="0"/>
          <w:sz w:val="32"/>
          <w:szCs w:val="32"/>
          <w:u w:val="none"/>
          <w:lang w:val="en-US" w:eastAsia="zh-CN" w:bidi="ar"/>
        </w:rPr>
      </w:pPr>
      <w:r>
        <w:rPr>
          <w:rFonts w:hint="default" w:ascii="仿宋_GB2312" w:hAnsi="仿宋_GB2312" w:eastAsia="仿宋_GB2312" w:cs="仿宋_GB2312"/>
          <w:b/>
          <w:bCs/>
          <w:i w:val="0"/>
          <w:caps w:val="0"/>
          <w:color w:val="333333"/>
          <w:spacing w:val="0"/>
          <w:kern w:val="0"/>
          <w:sz w:val="32"/>
          <w:szCs w:val="32"/>
          <w:u w:val="none"/>
          <w:lang w:val="en-US" w:eastAsia="zh-CN" w:bidi="ar"/>
        </w:rPr>
        <w:t>五是强化监督保障。</w:t>
      </w:r>
      <w:r>
        <w:rPr>
          <w:rFonts w:hint="default" w:ascii="仿宋_GB2312" w:hAnsi="仿宋_GB2312" w:eastAsia="仿宋_GB2312" w:cs="仿宋_GB2312"/>
          <w:i w:val="0"/>
          <w:caps w:val="0"/>
          <w:color w:val="333333"/>
          <w:spacing w:val="0"/>
          <w:kern w:val="0"/>
          <w:sz w:val="32"/>
          <w:szCs w:val="32"/>
          <w:u w:val="none"/>
          <w:lang w:val="en-US" w:eastAsia="zh-CN" w:bidi="ar"/>
        </w:rPr>
        <w:t>对政务公开工作重点任务梳理形成台账，细化实化责任分工。进一步明确政务公开信息的发布员、审核员，落实信息公开保密审查、源头管理、发布审核机制。做好交通部、省交通运输厅和市交通运输局相关出台政策宣传解读，对政策解读进行专项督查、核查。组织开展政务公开工作年度考核，将政务公开工作纳入各科室年度绩效考核评价体系，以绩效杠杆推进政务公开工作落到实处，进一步加大考核结果运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333333"/>
          <w:spacing w:val="0"/>
          <w:kern w:val="0"/>
          <w:sz w:val="32"/>
          <w:szCs w:val="32"/>
          <w:u w:val="none"/>
          <w:lang w:val="en-US" w:eastAsia="zh-CN" w:bidi="ar"/>
        </w:rPr>
      </w:pPr>
      <w:r>
        <w:rPr>
          <w:rFonts w:hint="eastAsia" w:ascii="黑体" w:hAnsi="黑体" w:eastAsia="黑体" w:cs="黑体"/>
          <w:i w:val="0"/>
          <w:caps w:val="0"/>
          <w:color w:val="333333"/>
          <w:spacing w:val="0"/>
          <w:kern w:val="0"/>
          <w:sz w:val="32"/>
          <w:szCs w:val="32"/>
          <w:u w:val="none"/>
          <w:lang w:val="en-US" w:eastAsia="zh-CN" w:bidi="ar"/>
        </w:rPr>
        <w:t>主动公开政府信息情况</w:t>
      </w:r>
    </w:p>
    <w:tbl>
      <w:tblPr>
        <w:tblStyle w:val="4"/>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2092"/>
        <w:gridCol w:w="2806"/>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21" w:type="dxa"/>
            <w:gridSpan w:val="4"/>
            <w:tcBorders>
              <w:top w:val="single" w:color="666666" w:sz="8" w:space="0"/>
              <w:left w:val="single" w:color="666666" w:sz="8" w:space="0"/>
              <w:bottom w:val="single" w:color="666666" w:sz="8" w:space="0"/>
              <w:right w:val="single" w:color="666666"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信息内容</w:t>
            </w:r>
          </w:p>
        </w:tc>
        <w:tc>
          <w:tcPr>
            <w:tcW w:w="2093" w:type="dxa"/>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本年制发件数</w:t>
            </w:r>
          </w:p>
        </w:tc>
        <w:tc>
          <w:tcPr>
            <w:tcW w:w="2808" w:type="dxa"/>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本年废止件数</w:t>
            </w:r>
          </w:p>
        </w:tc>
        <w:tc>
          <w:tcPr>
            <w:tcW w:w="3348" w:type="dxa"/>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规章</w:t>
            </w:r>
          </w:p>
        </w:tc>
        <w:tc>
          <w:tcPr>
            <w:tcW w:w="209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80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34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2" w:type="dxa"/>
            <w:tcBorders>
              <w:top w:val="nil"/>
              <w:left w:val="single" w:color="666666" w:sz="8" w:space="0"/>
              <w:bottom w:val="single" w:color="666666" w:sz="8" w:space="0"/>
              <w:right w:val="single" w:color="666666"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行政规范性文件</w:t>
            </w:r>
          </w:p>
        </w:tc>
        <w:tc>
          <w:tcPr>
            <w:tcW w:w="209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34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221" w:type="dxa"/>
            <w:gridSpan w:val="4"/>
            <w:tcBorders>
              <w:top w:val="nil"/>
              <w:left w:val="single" w:color="666666" w:sz="8" w:space="0"/>
              <w:bottom w:val="single" w:color="666666" w:sz="8" w:space="0"/>
              <w:right w:val="single" w:color="666666"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信息内容</w:t>
            </w:r>
          </w:p>
        </w:tc>
        <w:tc>
          <w:tcPr>
            <w:tcW w:w="8249" w:type="dxa"/>
            <w:gridSpan w:val="3"/>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8249" w:type="dxa"/>
            <w:gridSpan w:val="3"/>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21" w:type="dxa"/>
            <w:gridSpan w:val="4"/>
            <w:tcBorders>
              <w:top w:val="nil"/>
              <w:left w:val="single" w:color="666666" w:sz="8" w:space="0"/>
              <w:bottom w:val="single" w:color="666666" w:sz="8" w:space="0"/>
              <w:right w:val="single" w:color="666666"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信息内容</w:t>
            </w:r>
          </w:p>
        </w:tc>
        <w:tc>
          <w:tcPr>
            <w:tcW w:w="8249" w:type="dxa"/>
            <w:gridSpan w:val="3"/>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8249" w:type="dxa"/>
            <w:gridSpan w:val="3"/>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8249" w:type="dxa"/>
            <w:gridSpan w:val="3"/>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21" w:type="dxa"/>
            <w:gridSpan w:val="4"/>
            <w:tcBorders>
              <w:top w:val="nil"/>
              <w:left w:val="single" w:color="666666" w:sz="8" w:space="0"/>
              <w:bottom w:val="single" w:color="666666" w:sz="8" w:space="0"/>
              <w:right w:val="single" w:color="666666"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信息内容</w:t>
            </w:r>
          </w:p>
        </w:tc>
        <w:tc>
          <w:tcPr>
            <w:tcW w:w="8249" w:type="dxa"/>
            <w:gridSpan w:val="3"/>
            <w:tcBorders>
              <w:top w:val="single" w:color="666666" w:sz="8" w:space="0"/>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972" w:type="dxa"/>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行政事业性收费</w:t>
            </w:r>
          </w:p>
        </w:tc>
        <w:tc>
          <w:tcPr>
            <w:tcW w:w="8249" w:type="dxa"/>
            <w:gridSpan w:val="3"/>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i w:val="0"/>
          <w:caps w:val="0"/>
          <w:color w:val="333333"/>
          <w:spacing w:val="0"/>
          <w:kern w:val="0"/>
          <w:sz w:val="32"/>
          <w:szCs w:val="32"/>
          <w:u w:val="none"/>
          <w:lang w:val="en-US" w:eastAsia="zh-CN" w:bidi="ar"/>
        </w:rPr>
      </w:pPr>
      <w:r>
        <w:rPr>
          <w:rFonts w:hint="default" w:ascii="黑体" w:hAnsi="黑体" w:eastAsia="黑体" w:cs="黑体"/>
          <w:i w:val="0"/>
          <w:caps w:val="0"/>
          <w:color w:val="333333"/>
          <w:spacing w:val="0"/>
          <w:kern w:val="0"/>
          <w:sz w:val="32"/>
          <w:szCs w:val="32"/>
          <w:u w:val="none"/>
          <w:lang w:val="en-US" w:eastAsia="zh-CN" w:bidi="ar"/>
        </w:rPr>
        <w:t>收到和处理政府信息公开申请情况</w:t>
      </w:r>
    </w:p>
    <w:tbl>
      <w:tblPr>
        <w:tblStyle w:val="4"/>
        <w:tblW w:w="91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092"/>
        <w:gridCol w:w="1055"/>
        <w:gridCol w:w="425"/>
        <w:gridCol w:w="854"/>
        <w:gridCol w:w="826"/>
        <w:gridCol w:w="734"/>
        <w:gridCol w:w="813"/>
        <w:gridCol w:w="70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1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（本列数据的勾稽关系为：第一项加第二项之和，等于第三项加第四项之和）</w:t>
            </w:r>
          </w:p>
        </w:tc>
        <w:tc>
          <w:tcPr>
            <w:tcW w:w="5080" w:type="dxa"/>
            <w:gridSpan w:val="7"/>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11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2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自然人</w:t>
            </w:r>
          </w:p>
        </w:tc>
        <w:tc>
          <w:tcPr>
            <w:tcW w:w="3935" w:type="dxa"/>
            <w:gridSpan w:val="5"/>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法人或其他组织</w:t>
            </w:r>
          </w:p>
        </w:tc>
        <w:tc>
          <w:tcPr>
            <w:tcW w:w="72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11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2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商业企业</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科研机构</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社会公益组织</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19" w:type="dxa"/>
            <w:gridSpan w:val="3"/>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一、本年新收政府信息公开申请数量</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19" w:type="dxa"/>
            <w:gridSpan w:val="3"/>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二、上年结转政府信息公开申请数量</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三、本年度办理结果</w:t>
            </w:r>
          </w:p>
        </w:tc>
        <w:tc>
          <w:tcPr>
            <w:tcW w:w="3147"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（一）予以公开</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47"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（二）部分公开（区分处理的，只计这一情形的，不计其他情形的）</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（三）不予公开</w:t>
            </w: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1.属于国家秘密的</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2.其他法律行政法规禁止公开</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3.危及"三安全一稳定"</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4.保护第三方合法权益</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5.属于三类内部事务信息</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6.属于四类过程性信息</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7.属于行政执法案卷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8.属于行政查询事项</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（四）无法提供</w:t>
            </w: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1.本机关不掌握相关信息</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2.没有现成信息需要另行制作</w:t>
            </w:r>
          </w:p>
        </w:tc>
        <w:tc>
          <w:tcPr>
            <w:tcW w:w="42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42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5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3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0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3.补正后申请仍不明确</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（五）不予处理</w:t>
            </w: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1.信访举报投诉或申请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2.重复申请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3.要求提供公开出版物</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4.无正当理由大量反复申请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5.要求行政机关确认或重新出具已获取信息</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（六）其他处理</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1.申请人无正当理由逾期不补正、行政机关不再处理其政府信息公开申请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2.申请人逾期未按收费通知要求缴纳费用、行政机关不再处理其政府信息公开申请</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3.其他</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47"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（七）总计</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19" w:type="dxa"/>
            <w:gridSpan w:val="3"/>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四、结转下年度继续办理</w:t>
            </w:r>
          </w:p>
        </w:tc>
        <w:tc>
          <w:tcPr>
            <w:tcW w:w="4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1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right="0" w:firstLine="640" w:firstLineChars="200"/>
        <w:jc w:val="left"/>
        <w:textAlignment w:val="auto"/>
        <w:rPr>
          <w:rFonts w:hint="default" w:ascii="黑体" w:hAnsi="黑体" w:eastAsia="黑体" w:cs="黑体"/>
          <w:i w:val="0"/>
          <w:caps w:val="0"/>
          <w:color w:val="333333"/>
          <w:spacing w:val="0"/>
          <w:kern w:val="0"/>
          <w:sz w:val="32"/>
          <w:szCs w:val="32"/>
          <w:u w:val="none"/>
          <w:lang w:val="en-US" w:eastAsia="zh-CN" w:bidi="ar"/>
        </w:rPr>
      </w:pPr>
      <w:r>
        <w:rPr>
          <w:rFonts w:hint="default" w:ascii="黑体" w:hAnsi="黑体" w:eastAsia="黑体" w:cs="黑体"/>
          <w:i w:val="0"/>
          <w:caps w:val="0"/>
          <w:color w:val="333333"/>
          <w:spacing w:val="0"/>
          <w:kern w:val="0"/>
          <w:sz w:val="32"/>
          <w:szCs w:val="32"/>
          <w:u w:val="none"/>
          <w:lang w:val="en-US" w:eastAsia="zh-CN" w:bidi="ar"/>
        </w:rPr>
        <w:t>四、政府信息公开被申请行政复议、提起行政诉讼情况</w:t>
      </w:r>
    </w:p>
    <w:tbl>
      <w:tblPr>
        <w:tblStyle w:val="4"/>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548"/>
        <w:gridCol w:w="685"/>
        <w:gridCol w:w="790"/>
        <w:gridCol w:w="465"/>
        <w:gridCol w:w="556"/>
        <w:gridCol w:w="534"/>
        <w:gridCol w:w="534"/>
        <w:gridCol w:w="535"/>
        <w:gridCol w:w="535"/>
        <w:gridCol w:w="534"/>
        <w:gridCol w:w="534"/>
        <w:gridCol w:w="535"/>
        <w:gridCol w:w="53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98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行政复议</w:t>
            </w:r>
          </w:p>
        </w:tc>
        <w:tc>
          <w:tcPr>
            <w:tcW w:w="5970" w:type="dxa"/>
            <w:gridSpan w:val="10"/>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271"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结果维持</w:t>
            </w:r>
          </w:p>
        </w:tc>
        <w:tc>
          <w:tcPr>
            <w:tcW w:w="585"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结果纠正</w:t>
            </w:r>
          </w:p>
        </w:tc>
        <w:tc>
          <w:tcPr>
            <w:tcW w:w="784"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其他结果</w:t>
            </w:r>
          </w:p>
        </w:tc>
        <w:tc>
          <w:tcPr>
            <w:tcW w:w="936"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尚未审结</w:t>
            </w:r>
          </w:p>
        </w:tc>
        <w:tc>
          <w:tcPr>
            <w:tcW w:w="269"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858" w:type="dxa"/>
            <w:gridSpan w:val="5"/>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未经复议直接起诉</w:t>
            </w:r>
          </w:p>
        </w:tc>
        <w:tc>
          <w:tcPr>
            <w:tcW w:w="2828" w:type="dxa"/>
            <w:gridSpan w:val="5"/>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271"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pPr>
              <w:jc w:val="center"/>
              <w:rPr>
                <w:rFonts w:hint="default" w:ascii="微软雅黑" w:hAnsi="微软雅黑" w:eastAsia="微软雅黑" w:cs="微软雅黑"/>
                <w:i w:val="0"/>
                <w:caps w:val="0"/>
                <w:color w:val="000000"/>
                <w:spacing w:val="0"/>
                <w:sz w:val="24"/>
                <w:szCs w:val="24"/>
                <w:u w:val="none"/>
              </w:rPr>
            </w:pPr>
          </w:p>
        </w:tc>
        <w:tc>
          <w:tcPr>
            <w:tcW w:w="58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top"/>
          </w:tcPr>
          <w:p>
            <w:pPr>
              <w:jc w:val="center"/>
              <w:rPr>
                <w:rFonts w:hint="default" w:ascii="微软雅黑" w:hAnsi="微软雅黑" w:eastAsia="微软雅黑" w:cs="微软雅黑"/>
                <w:i w:val="0"/>
                <w:caps w:val="0"/>
                <w:color w:val="000000"/>
                <w:spacing w:val="0"/>
                <w:sz w:val="24"/>
                <w:szCs w:val="24"/>
                <w:u w:val="none"/>
              </w:rPr>
            </w:pPr>
          </w:p>
        </w:tc>
        <w:tc>
          <w:tcPr>
            <w:tcW w:w="784"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top"/>
          </w:tcPr>
          <w:p>
            <w:pPr>
              <w:jc w:val="center"/>
              <w:rPr>
                <w:rFonts w:hint="default" w:ascii="微软雅黑" w:hAnsi="微软雅黑" w:eastAsia="微软雅黑" w:cs="微软雅黑"/>
                <w:i w:val="0"/>
                <w:caps w:val="0"/>
                <w:color w:val="000000"/>
                <w:spacing w:val="0"/>
                <w:sz w:val="24"/>
                <w:szCs w:val="24"/>
                <w:u w:val="none"/>
              </w:rPr>
            </w:pPr>
          </w:p>
        </w:tc>
        <w:tc>
          <w:tcPr>
            <w:tcW w:w="936"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top"/>
          </w:tcPr>
          <w:p>
            <w:pPr>
              <w:jc w:val="center"/>
              <w:rPr>
                <w:rFonts w:hint="default" w:ascii="微软雅黑" w:hAnsi="微软雅黑" w:eastAsia="微软雅黑" w:cs="微软雅黑"/>
                <w:i w:val="0"/>
                <w:caps w:val="0"/>
                <w:color w:val="000000"/>
                <w:spacing w:val="0"/>
                <w:sz w:val="24"/>
                <w:szCs w:val="24"/>
                <w:u w:val="none"/>
              </w:rPr>
            </w:pPr>
          </w:p>
        </w:tc>
        <w:tc>
          <w:tcPr>
            <w:tcW w:w="269"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top"/>
          </w:tcPr>
          <w:p>
            <w:pPr>
              <w:jc w:val="center"/>
              <w:rPr>
                <w:rFonts w:hint="default" w:ascii="微软雅黑" w:hAnsi="微软雅黑" w:eastAsia="微软雅黑" w:cs="微软雅黑"/>
                <w:i w:val="0"/>
                <w:caps w:val="0"/>
                <w:color w:val="000000"/>
                <w:spacing w:val="0"/>
                <w:sz w:val="24"/>
                <w:szCs w:val="24"/>
                <w:u w:val="none"/>
              </w:rPr>
            </w:pPr>
          </w:p>
        </w:tc>
        <w:tc>
          <w:tcPr>
            <w:tcW w:w="59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结果维持</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结果纠正</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其他结果</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尚未审结</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结果维持</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结果纠正</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其他结果</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尚未审结</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71"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8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84"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3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69"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9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6"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keepNext w:val="0"/>
              <w:keepLines w:val="0"/>
              <w:widowControl/>
              <w:suppressLineNumbers w:val="0"/>
              <w:jc w:val="center"/>
              <w:textAlignment w:val="top"/>
              <w:rPr>
                <w:rFonts w:hint="default" w:ascii="微软雅黑" w:hAnsi="微软雅黑" w:eastAsia="微软雅黑" w:cs="微软雅黑"/>
                <w:i w:val="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黑体" w:hAnsi="黑体" w:eastAsia="黑体" w:cs="黑体"/>
          <w:i w:val="0"/>
          <w:caps w:val="0"/>
          <w:color w:val="333333"/>
          <w:spacing w:val="0"/>
          <w:kern w:val="0"/>
          <w:sz w:val="32"/>
          <w:szCs w:val="32"/>
          <w:u w:val="none"/>
          <w:lang w:val="en-US" w:eastAsia="zh-CN" w:bidi="ar"/>
        </w:rPr>
      </w:pPr>
      <w:r>
        <w:rPr>
          <w:rFonts w:hint="default" w:ascii="黑体" w:hAnsi="黑体" w:eastAsia="黑体" w:cs="黑体"/>
          <w:i w:val="0"/>
          <w:caps w:val="0"/>
          <w:color w:val="333333"/>
          <w:spacing w:val="0"/>
          <w:kern w:val="0"/>
          <w:sz w:val="32"/>
          <w:szCs w:val="32"/>
          <w:u w:val="none"/>
          <w:lang w:val="en-US" w:eastAsia="zh-CN" w:bidi="ar"/>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市交通运输局在市政府的正确领导下，政务信息公开工作整体运行情况良好，但仍</w:t>
      </w:r>
      <w:r>
        <w:rPr>
          <w:rFonts w:hint="default" w:ascii="仿宋_GB2312" w:hAnsi="仿宋_GB2312" w:eastAsia="仿宋_GB2312" w:cs="仿宋_GB2312"/>
          <w:i w:val="0"/>
          <w:caps w:val="0"/>
          <w:color w:val="333333"/>
          <w:spacing w:val="0"/>
          <w:kern w:val="0"/>
          <w:sz w:val="32"/>
          <w:szCs w:val="32"/>
          <w:u w:val="none"/>
          <w:lang w:val="en-US" w:eastAsia="zh-CN" w:bidi="ar"/>
        </w:rPr>
        <w:t>存在</w:t>
      </w:r>
      <w:r>
        <w:rPr>
          <w:rFonts w:hint="eastAsia" w:ascii="仿宋_GB2312" w:hAnsi="仿宋_GB2312" w:eastAsia="仿宋_GB2312" w:cs="仿宋_GB2312"/>
          <w:i w:val="0"/>
          <w:caps w:val="0"/>
          <w:color w:val="333333"/>
          <w:spacing w:val="0"/>
          <w:kern w:val="0"/>
          <w:sz w:val="32"/>
          <w:szCs w:val="32"/>
          <w:u w:val="none"/>
          <w:lang w:val="en-US" w:eastAsia="zh-CN" w:bidi="ar"/>
        </w:rPr>
        <w:t>一些</w:t>
      </w:r>
      <w:r>
        <w:rPr>
          <w:rFonts w:hint="default" w:ascii="仿宋_GB2312" w:hAnsi="仿宋_GB2312" w:eastAsia="仿宋_GB2312" w:cs="仿宋_GB2312"/>
          <w:i w:val="0"/>
          <w:caps w:val="0"/>
          <w:color w:val="333333"/>
          <w:spacing w:val="0"/>
          <w:kern w:val="0"/>
          <w:sz w:val="32"/>
          <w:szCs w:val="32"/>
          <w:u w:val="none"/>
          <w:lang w:val="en-US" w:eastAsia="zh-CN" w:bidi="ar"/>
        </w:rPr>
        <w:t>问题：</w:t>
      </w:r>
      <w:r>
        <w:rPr>
          <w:rFonts w:hint="eastAsia" w:ascii="仿宋_GB2312" w:hAnsi="仿宋_GB2312" w:eastAsia="仿宋_GB2312" w:cs="仿宋_GB2312"/>
          <w:i w:val="0"/>
          <w:caps w:val="0"/>
          <w:color w:val="333333"/>
          <w:spacing w:val="0"/>
          <w:kern w:val="0"/>
          <w:sz w:val="32"/>
          <w:szCs w:val="32"/>
          <w:u w:val="none"/>
          <w:lang w:val="en-US" w:eastAsia="zh-CN" w:bidi="ar"/>
        </w:rPr>
        <w:t>一是</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信息公开的</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不够及时</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时效性不高，</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公开的形式还不够丰富。</w:t>
      </w:r>
      <w:r>
        <w:rPr>
          <w:rFonts w:hint="default" w:ascii="仿宋_GB2312" w:hAnsi="仿宋_GB2312" w:eastAsia="仿宋_GB2312" w:cs="仿宋_GB2312"/>
          <w:i w:val="0"/>
          <w:caps w:val="0"/>
          <w:color w:val="333333"/>
          <w:spacing w:val="0"/>
          <w:kern w:val="0"/>
          <w:sz w:val="32"/>
          <w:szCs w:val="32"/>
          <w:u w:val="none"/>
          <w:lang w:val="en-US" w:eastAsia="zh-CN" w:bidi="ar"/>
        </w:rPr>
        <w:t>二是加强队伍建设。加强政务服务队伍建设，切实提高人员队伍的信息公开意识和服务群众的能力，严格督促业务人员严格遵守依申请公开、保密审查等工作制度。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微软雅黑" w:hAnsi="微软雅黑" w:eastAsia="微软雅黑" w:cs="微软雅黑"/>
          <w:i w:val="0"/>
          <w:caps w:val="0"/>
          <w:color w:val="000000"/>
          <w:spacing w:val="0"/>
          <w:sz w:val="24"/>
          <w:szCs w:val="24"/>
          <w:u w:val="none"/>
        </w:rPr>
      </w:pPr>
      <w:r>
        <w:rPr>
          <w:rFonts w:hint="default" w:ascii="仿宋_GB2312" w:hAnsi="仿宋_GB2312" w:eastAsia="仿宋_GB2312" w:cs="仿宋_GB2312"/>
          <w:i w:val="0"/>
          <w:caps w:val="0"/>
          <w:color w:val="333333"/>
          <w:spacing w:val="0"/>
          <w:kern w:val="0"/>
          <w:sz w:val="32"/>
          <w:szCs w:val="32"/>
          <w:u w:val="none"/>
          <w:lang w:val="en-US" w:eastAsia="zh-CN" w:bidi="ar"/>
        </w:rPr>
        <w:t>改进情况：一是切实提高认识，加强《政府信息公开条例》的学习宣传。始终将政务公开作为本局的工作重要内容，认真抓好落实，进一步提高干部职工的思想认识，不断增强做好政务公开工作的责任感和使命感。二是丰富公开内容。按照“以公开为原则，不公开为例外”的总体要求，进一步做好公开和免予公开两类信息的界定。按照《政府信息公开条例》等法规、规章、制度的规定，及时公开政务信息，公开内容做到真实、具体、全面。并在工作质量、态度、时效等方面进一步作出承诺，不断增强工作透明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left"/>
        <w:textAlignment w:val="auto"/>
        <w:rPr>
          <w:rFonts w:hint="default" w:ascii="微软雅黑" w:hAnsi="微软雅黑" w:eastAsia="微软雅黑" w:cs="微软雅黑"/>
          <w:i w:val="0"/>
          <w:caps w:val="0"/>
          <w:color w:val="000000"/>
          <w:spacing w:val="0"/>
          <w:sz w:val="24"/>
          <w:szCs w:val="24"/>
          <w:u w:val="none"/>
        </w:rPr>
      </w:pPr>
      <w:r>
        <w:rPr>
          <w:rFonts w:hint="default" w:ascii="黑体" w:hAnsi="黑体" w:eastAsia="黑体" w:cs="黑体"/>
          <w:i w:val="0"/>
          <w:caps w:val="0"/>
          <w:color w:val="333333"/>
          <w:spacing w:val="0"/>
          <w:kern w:val="0"/>
          <w:sz w:val="32"/>
          <w:szCs w:val="32"/>
          <w:u w:val="none"/>
          <w:lang w:val="en-US" w:eastAsia="zh-CN" w:bidi="ar"/>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微软雅黑" w:hAnsi="微软雅黑" w:eastAsia="微软雅黑" w:cs="微软雅黑"/>
          <w:i w:val="0"/>
          <w:caps w:val="0"/>
          <w:color w:val="000000"/>
          <w:spacing w:val="0"/>
          <w:sz w:val="24"/>
          <w:szCs w:val="24"/>
          <w:u w:val="none"/>
        </w:rPr>
      </w:pPr>
      <w:r>
        <w:rPr>
          <w:rFonts w:hint="default" w:ascii="仿宋_GB2312" w:hAnsi="仿宋_GB2312" w:eastAsia="仿宋_GB2312" w:cs="仿宋_GB2312"/>
          <w:i w:val="0"/>
          <w:caps w:val="0"/>
          <w:color w:val="333333"/>
          <w:spacing w:val="0"/>
          <w:kern w:val="0"/>
          <w:sz w:val="32"/>
          <w:szCs w:val="32"/>
          <w:u w:val="none"/>
          <w:lang w:val="en-US" w:eastAsia="zh-CN" w:bidi="ar"/>
        </w:rPr>
        <w:t>认真贯彻执行国务院办公厅《政府信息公开信息处理费管理办法》和《关于政府信息公开处理费管理有关事项的通知》。202</w:t>
      </w:r>
      <w:r>
        <w:rPr>
          <w:rFonts w:hint="eastAsia" w:ascii="仿宋_GB2312" w:hAnsi="仿宋_GB2312" w:eastAsia="仿宋_GB2312" w:cs="仿宋_GB2312"/>
          <w:i w:val="0"/>
          <w:caps w:val="0"/>
          <w:color w:val="333333"/>
          <w:spacing w:val="0"/>
          <w:kern w:val="0"/>
          <w:sz w:val="32"/>
          <w:szCs w:val="32"/>
          <w:u w:val="none"/>
          <w:lang w:val="en-US" w:eastAsia="zh-CN" w:bidi="ar"/>
        </w:rPr>
        <w:t>2</w:t>
      </w:r>
      <w:r>
        <w:rPr>
          <w:rFonts w:hint="default" w:ascii="仿宋_GB2312" w:hAnsi="仿宋_GB2312" w:eastAsia="仿宋_GB2312" w:cs="仿宋_GB2312"/>
          <w:i w:val="0"/>
          <w:caps w:val="0"/>
          <w:color w:val="333333"/>
          <w:spacing w:val="0"/>
          <w:kern w:val="0"/>
          <w:sz w:val="32"/>
          <w:szCs w:val="32"/>
          <w:u w:val="none"/>
          <w:lang w:val="en-US" w:eastAsia="zh-CN" w:bidi="ar"/>
        </w:rPr>
        <w:t>年市交通运输局未收取信息处理费。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邢台市交通运输局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2023年1月15日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D8A6"/>
    <w:multiLevelType w:val="singleLevel"/>
    <w:tmpl w:val="E7E8D8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YWQ3NWU4OGFlODk0MzdlNzBjOTY2MDYxM2QwMDIifQ=="/>
  </w:docVars>
  <w:rsids>
    <w:rsidRoot w:val="D6739A35"/>
    <w:rsid w:val="0A3F7650"/>
    <w:rsid w:val="0CF678F4"/>
    <w:rsid w:val="2B2D7144"/>
    <w:rsid w:val="3DFAF18B"/>
    <w:rsid w:val="3E7A0EA7"/>
    <w:rsid w:val="40B732E0"/>
    <w:rsid w:val="4CF52604"/>
    <w:rsid w:val="59AD4E28"/>
    <w:rsid w:val="5B003C00"/>
    <w:rsid w:val="760C5AB4"/>
    <w:rsid w:val="77B62F6C"/>
    <w:rsid w:val="7CBB3410"/>
    <w:rsid w:val="BEDF7164"/>
    <w:rsid w:val="D6739A35"/>
    <w:rsid w:val="E5AE7009"/>
    <w:rsid w:val="F3EF4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2541</Words>
  <Characters>2600</Characters>
  <Lines>0</Lines>
  <Paragraphs>0</Paragraphs>
  <TotalTime>14</TotalTime>
  <ScaleCrop>false</ScaleCrop>
  <LinksUpToDate>false</LinksUpToDate>
  <CharactersWithSpaces>2600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2023-01-07T22:56:00Z</dcterms:created>
  <dc:creator>uos</dc:creator>
  <cp:lastModifiedBy>xue</cp:lastModifiedBy>
  <dcterms:modified xsi:type="dcterms:W3CDTF">2023-02-07T15:40:35Z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50FEFEFE69DD42E4BFD7C7C0C0A95EB6</vt:lpwstr>
  </property>
</Properties>
</file>