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邢东新区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土地储备分中心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根据《中华人民共和国政府信息公开条例》《河北省实施〈中华人民共和国政府信息公开条例〉办法》等规定，发布本年度报告。报告中所列数据统计期限为2022年1月1日至12月31日。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一、总体情况</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微软雅黑" w:eastAsia="仿宋_GB2312" w:cs="仿宋_GB2312"/>
          <w:b w:val="0"/>
          <w:color w:val="auto"/>
          <w:kern w:val="0"/>
          <w:sz w:val="32"/>
          <w:szCs w:val="32"/>
          <w:highlight w:val="none"/>
          <w:shd w:val="clear" w:fill="FFFFFF"/>
          <w:lang w:val="en-US" w:eastAsia="zh-CN" w:bidi="ar-SA"/>
        </w:rPr>
      </w:pPr>
      <w:r>
        <w:rPr>
          <w:rFonts w:hint="eastAsia" w:ascii="仿宋_GB2312" w:hAnsi="仿宋_GB2312" w:eastAsia="仿宋_GB2312" w:cs="仿宋_GB2312"/>
          <w:b w:val="0"/>
          <w:bCs w:val="0"/>
          <w:sz w:val="32"/>
          <w:szCs w:val="32"/>
          <w:highlight w:val="none"/>
          <w:lang w:eastAsia="zh-CN"/>
        </w:rPr>
        <w:t>　　（一）加强主动公开。</w:t>
      </w:r>
      <w:r>
        <w:rPr>
          <w:rFonts w:hint="eastAsia" w:ascii="仿宋_GB2312" w:hAnsi="微软雅黑" w:eastAsia="仿宋_GB2312" w:cs="仿宋_GB2312"/>
          <w:b w:val="0"/>
          <w:color w:val="333333"/>
          <w:kern w:val="0"/>
          <w:sz w:val="32"/>
          <w:szCs w:val="32"/>
          <w:highlight w:val="none"/>
          <w:shd w:val="clear" w:fill="FFFFFF"/>
          <w:lang w:val="en-US" w:eastAsia="zh-CN" w:bidi="ar-SA"/>
        </w:rPr>
        <w:t>2022年，我中心对本年度公开的政府信</w:t>
      </w:r>
      <w:r>
        <w:rPr>
          <w:rFonts w:hint="eastAsia" w:ascii="仿宋_GB2312" w:hAnsi="微软雅黑" w:eastAsia="仿宋_GB2312" w:cs="仿宋_GB2312"/>
          <w:b w:val="0"/>
          <w:color w:val="auto"/>
          <w:kern w:val="0"/>
          <w:sz w:val="32"/>
          <w:szCs w:val="32"/>
          <w:highlight w:val="none"/>
          <w:shd w:val="clear" w:fill="FFFFFF"/>
          <w:lang w:val="en-US" w:eastAsia="zh-CN" w:bidi="ar-SA"/>
        </w:rPr>
        <w:t>息进行了认真的梳理和编目，截止12月31日，我中心按程序发布收储公告3个，挂牌出让公告4个，划拨、出让成交公示4个。</w:t>
      </w:r>
    </w:p>
    <w:p>
      <w:pPr>
        <w:keepNext w:val="0"/>
        <w:keepLines w:val="0"/>
        <w:pageBreakBefore w:val="0"/>
        <w:kinsoku/>
        <w:wordWrap/>
        <w:overflowPunct/>
        <w:topLinePunct w:val="0"/>
        <w:autoSpaceDE/>
        <w:autoSpaceDN/>
        <w:bidi w:val="0"/>
        <w:adjustRightInd/>
        <w:spacing w:line="560" w:lineRule="exact"/>
        <w:ind w:firstLine="640"/>
        <w:textAlignment w:val="auto"/>
        <w:rPr>
          <w:rFonts w:eastAsia="宋体"/>
          <w:highlight w:val="none"/>
        </w:rPr>
      </w:pPr>
      <w:r>
        <w:rPr>
          <w:rFonts w:hint="eastAsia" w:ascii="仿宋_GB2312" w:hAnsi="仿宋_GB2312" w:eastAsia="仿宋_GB2312" w:cs="仿宋_GB2312"/>
          <w:b w:val="0"/>
          <w:bCs w:val="0"/>
          <w:sz w:val="32"/>
          <w:szCs w:val="32"/>
          <w:highlight w:val="none"/>
          <w:lang w:eastAsia="zh-CN"/>
        </w:rPr>
        <w:t>（二）规范依申请公开。2022年度</w:t>
      </w:r>
      <w:r>
        <w:rPr>
          <w:rFonts w:hint="eastAsia" w:ascii="仿宋_GB2312" w:hAnsi="仿宋_GB2312" w:eastAsia="仿宋_GB2312" w:cs="仿宋_GB2312"/>
          <w:b w:val="0"/>
          <w:bCs w:val="0"/>
          <w:sz w:val="32"/>
          <w:szCs w:val="32"/>
          <w:highlight w:val="none"/>
          <w:lang w:val="en-US" w:eastAsia="zh-CN"/>
        </w:rPr>
        <w:t>我中心</w:t>
      </w:r>
      <w:r>
        <w:rPr>
          <w:rFonts w:hint="eastAsia" w:ascii="仿宋_GB2312" w:hAnsi="仿宋_GB2312" w:eastAsia="仿宋_GB2312" w:cs="仿宋_GB2312"/>
          <w:b w:val="0"/>
          <w:bCs w:val="0"/>
          <w:sz w:val="32"/>
          <w:szCs w:val="32"/>
          <w:highlight w:val="none"/>
          <w:lang w:eastAsia="zh-CN"/>
        </w:rPr>
        <w:t>收到依申请公开</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lang w:eastAsia="zh-CN"/>
        </w:rPr>
        <w:t>件，全年未发生因政府信息公开引起的复议和行政诉讼，有效维护了政府形象，提升了政府公信力、社会凝聚力。</w:t>
      </w:r>
    </w:p>
    <w:p>
      <w:pPr>
        <w:keepNext w:val="0"/>
        <w:keepLines w:val="0"/>
        <w:pageBreakBefore w:val="0"/>
        <w:kinsoku/>
        <w:wordWrap/>
        <w:overflowPunct/>
        <w:topLinePunct w:val="0"/>
        <w:autoSpaceDE/>
        <w:autoSpaceDN/>
        <w:bidi w:val="0"/>
        <w:adjustRightInd/>
        <w:spacing w:line="560" w:lineRule="exact"/>
        <w:ind w:firstLine="640"/>
        <w:textAlignment w:val="auto"/>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三</w:t>
      </w:r>
      <w:r>
        <w:rPr>
          <w:rFonts w:hint="eastAsia" w:ascii="仿宋_GB2312" w:hAnsi="仿宋_GB2312" w:eastAsia="仿宋_GB2312" w:cs="仿宋_GB2312"/>
          <w:b w:val="0"/>
          <w:bCs w:val="0"/>
          <w:sz w:val="32"/>
          <w:szCs w:val="32"/>
          <w:highlight w:val="none"/>
          <w:lang w:eastAsia="zh-CN"/>
        </w:rPr>
        <w:t>）严格政府信息管理。</w:t>
      </w:r>
      <w:r>
        <w:rPr>
          <w:rFonts w:hint="eastAsia" w:ascii="仿宋_GB2312" w:hAnsi="仿宋_GB2312" w:eastAsia="仿宋_GB2312" w:cs="仿宋_GB2312"/>
          <w:b w:val="0"/>
          <w:bCs w:val="0"/>
          <w:sz w:val="32"/>
          <w:szCs w:val="32"/>
          <w:highlight w:val="none"/>
          <w:lang w:val="en-US" w:eastAsia="zh-CN"/>
        </w:rPr>
        <w:t>我中心将</w:t>
      </w:r>
      <w:r>
        <w:rPr>
          <w:rFonts w:hint="eastAsia" w:ascii="仿宋_GB2312" w:hAnsi="仿宋_GB2312" w:eastAsia="仿宋_GB2312" w:cs="仿宋_GB2312"/>
          <w:b w:val="0"/>
          <w:bCs w:val="0"/>
          <w:sz w:val="32"/>
          <w:szCs w:val="32"/>
          <w:highlight w:val="none"/>
          <w:lang w:eastAsia="zh-CN"/>
        </w:rPr>
        <w:t>积极贯彻落实政府信息公开条例，按照“先审查、后公开”和“一事一审”原则，未经审查和批准不得对外发布政府信息，对规定不能公开的信息坚决做到不公开，</w:t>
      </w:r>
      <w:r>
        <w:rPr>
          <w:rFonts w:hint="eastAsia" w:ascii="仿宋_GB2312" w:hAnsi="仿宋_GB2312" w:eastAsia="仿宋_GB2312" w:cs="仿宋_GB2312"/>
          <w:b w:val="0"/>
          <w:bCs w:val="0"/>
          <w:sz w:val="32"/>
          <w:szCs w:val="32"/>
          <w:highlight w:val="none"/>
          <w:lang w:val="en-US" w:eastAsia="zh-CN"/>
        </w:rPr>
        <w:t>全年未</w:t>
      </w:r>
      <w:r>
        <w:rPr>
          <w:rFonts w:hint="eastAsia" w:ascii="仿宋_GB2312" w:hAnsi="仿宋_GB2312" w:eastAsia="仿宋_GB2312" w:cs="仿宋_GB2312"/>
          <w:b w:val="0"/>
          <w:bCs w:val="0"/>
          <w:sz w:val="32"/>
          <w:szCs w:val="32"/>
          <w:highlight w:val="none"/>
          <w:lang w:eastAsia="zh-CN"/>
        </w:rPr>
        <w:t>发生一起泄密事件。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仿宋_GB2312" w:hAnsi="微软雅黑" w:eastAsia="仿宋_GB2312" w:cs="仿宋_GB2312"/>
          <w:b w:val="0"/>
          <w:color w:val="333333"/>
          <w:kern w:val="0"/>
          <w:sz w:val="32"/>
          <w:szCs w:val="32"/>
          <w:highlight w:val="none"/>
          <w:shd w:val="clear" w:fill="FFFFFF"/>
          <w:lang w:val="en-US" w:eastAsia="zh-CN" w:bidi="ar-SA"/>
        </w:rPr>
      </w:pPr>
      <w:r>
        <w:rPr>
          <w:rFonts w:hint="eastAsia" w:ascii="仿宋_GB2312" w:hAnsi="仿宋_GB2312" w:eastAsia="仿宋_GB2312" w:cs="仿宋_GB2312"/>
          <w:b w:val="0"/>
          <w:bCs w:val="0"/>
          <w:sz w:val="32"/>
          <w:szCs w:val="32"/>
          <w:highlight w:val="none"/>
          <w:lang w:eastAsia="zh-CN"/>
        </w:rPr>
        <w:t>　　（四）推进政府信息公开平台建设。</w:t>
      </w:r>
      <w:r>
        <w:rPr>
          <w:rFonts w:hint="eastAsia" w:ascii="仿宋_GB2312" w:hAnsi="微软雅黑" w:eastAsia="仿宋_GB2312" w:cs="仿宋_GB2312"/>
          <w:b w:val="0"/>
          <w:color w:val="333333"/>
          <w:kern w:val="0"/>
          <w:sz w:val="32"/>
          <w:szCs w:val="32"/>
          <w:highlight w:val="none"/>
          <w:shd w:val="clear" w:fill="FFFFFF"/>
          <w:lang w:val="en-US" w:eastAsia="zh-CN" w:bidi="ar-SA"/>
        </w:rPr>
        <w:t>2022年我中心紧紧围绕新区规划建设等中心工作，充分发挥邢台日报、牛城晚报，</w:t>
      </w:r>
      <w:r>
        <w:rPr>
          <w:rFonts w:hint="eastAsia" w:ascii="仿宋_GB2312" w:hAnsi="微软雅黑" w:eastAsia="仿宋_GB2312" w:cs="仿宋_GB2312"/>
          <w:b w:val="0"/>
          <w:color w:val="333333"/>
          <w:kern w:val="0"/>
          <w:sz w:val="32"/>
          <w:szCs w:val="32"/>
          <w:highlight w:val="none"/>
          <w:shd w:val="clear" w:fill="FFFFFF"/>
          <w:lang w:val="en-US" w:eastAsia="zh-CN" w:bidi="ar-SA"/>
        </w:rPr>
        <w:fldChar w:fldCharType="begin"/>
      </w:r>
      <w:r>
        <w:rPr>
          <w:rFonts w:hint="eastAsia" w:ascii="仿宋_GB2312" w:hAnsi="微软雅黑" w:eastAsia="仿宋_GB2312" w:cs="仿宋_GB2312"/>
          <w:b w:val="0"/>
          <w:color w:val="333333"/>
          <w:kern w:val="0"/>
          <w:sz w:val="32"/>
          <w:szCs w:val="32"/>
          <w:highlight w:val="none"/>
          <w:shd w:val="clear" w:fill="FFFFFF"/>
          <w:lang w:val="en-US" w:eastAsia="zh-CN" w:bidi="ar-SA"/>
        </w:rPr>
        <w:instrText xml:space="preserve"> HYPERLINK "https://www.so.com/link?m=bgelryTGGhdsJ294Elh/ZpGURv4iya4tGraNALUwVXgpSeKD9oUvsXplibu2zyFHKXahUuUpoSLTAJBrGlja9Utomod+tJyr2jHmA4b7+1CTgj9rPnmuPOHO49Hr1ntbb+yyPpAgkZ1mVchswhQrsV+8e6chDAmrjmVAqpyOMi91TXmjWiMNFMHi6AuS8LRTQuLMeoddA47d+vUB3U8tcbQCZ3IFvbYJUyS0KRoPKWBpeoDUHJ6F923PG/jjFc++M" \t "https://www.so.com/_blank" </w:instrText>
      </w:r>
      <w:r>
        <w:rPr>
          <w:rFonts w:hint="eastAsia" w:ascii="仿宋_GB2312" w:hAnsi="微软雅黑" w:eastAsia="仿宋_GB2312" w:cs="仿宋_GB2312"/>
          <w:b w:val="0"/>
          <w:color w:val="333333"/>
          <w:kern w:val="0"/>
          <w:sz w:val="32"/>
          <w:szCs w:val="32"/>
          <w:highlight w:val="none"/>
          <w:shd w:val="clear" w:fill="FFFFFF"/>
          <w:lang w:val="en-US" w:eastAsia="zh-CN" w:bidi="ar-SA"/>
        </w:rPr>
        <w:fldChar w:fldCharType="separate"/>
      </w:r>
      <w:r>
        <w:rPr>
          <w:rFonts w:hint="eastAsia" w:ascii="仿宋_GB2312" w:hAnsi="微软雅黑" w:eastAsia="仿宋_GB2312" w:cs="仿宋_GB2312"/>
          <w:b w:val="0"/>
          <w:color w:val="333333"/>
          <w:kern w:val="0"/>
          <w:sz w:val="32"/>
          <w:szCs w:val="32"/>
          <w:highlight w:val="none"/>
          <w:shd w:val="clear" w:fill="FFFFFF"/>
          <w:lang w:val="en-US" w:eastAsia="zh-CN" w:bidi="ar-SA"/>
        </w:rPr>
        <w:t>土地市场动态监测与监管系统</w:t>
      </w:r>
      <w:r>
        <w:rPr>
          <w:rFonts w:hint="eastAsia" w:ascii="仿宋_GB2312" w:hAnsi="微软雅黑" w:eastAsia="仿宋_GB2312" w:cs="仿宋_GB2312"/>
          <w:b w:val="0"/>
          <w:color w:val="333333"/>
          <w:kern w:val="0"/>
          <w:sz w:val="32"/>
          <w:szCs w:val="32"/>
          <w:highlight w:val="none"/>
          <w:shd w:val="clear" w:fill="FFFFFF"/>
          <w:lang w:val="en-US" w:eastAsia="zh-CN" w:bidi="ar-SA"/>
        </w:rPr>
        <w:fldChar w:fldCharType="end"/>
      </w:r>
      <w:r>
        <w:rPr>
          <w:rFonts w:hint="eastAsia" w:ascii="仿宋_GB2312" w:hAnsi="微软雅黑" w:eastAsia="仿宋_GB2312" w:cs="仿宋_GB2312"/>
          <w:b w:val="0"/>
          <w:color w:val="333333"/>
          <w:kern w:val="0"/>
          <w:sz w:val="32"/>
          <w:szCs w:val="32"/>
          <w:highlight w:val="none"/>
          <w:shd w:val="clear" w:fill="FFFFFF"/>
          <w:lang w:val="en-US" w:eastAsia="zh-CN" w:bidi="ar-SA"/>
        </w:rPr>
        <w:t>等各类平台作用，真实、主动公开信息，及时、有效回应咨询，依法、积极推进政府信息公开工作。</w:t>
      </w:r>
    </w:p>
    <w:p>
      <w:pPr>
        <w:keepNext w:val="0"/>
        <w:keepLines w:val="0"/>
        <w:pageBreakBefore w:val="0"/>
        <w:widowControl w:val="0"/>
        <w:kinsoku/>
        <w:wordWrap/>
        <w:overflowPunct/>
        <w:topLinePunct w:val="0"/>
        <w:autoSpaceDE/>
        <w:autoSpaceDN/>
        <w:bidi w:val="0"/>
        <w:adjustRightInd/>
        <w:snapToGrid/>
        <w:spacing w:line="560" w:lineRule="exact"/>
        <w:ind w:left="0"/>
        <w:textAlignment w:val="auto"/>
        <w:rPr>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kern w:val="0"/>
          <w:sz w:val="32"/>
          <w:szCs w:val="32"/>
          <w:highlight w:val="none"/>
          <w:lang w:val="en-US" w:eastAsia="zh-CN" w:bidi="ar-SA"/>
        </w:rPr>
      </w:pPr>
      <w:r>
        <w:rPr>
          <w:rFonts w:hint="eastAsia" w:ascii="仿宋_GB2312" w:hAnsi="仿宋_GB2312" w:eastAsia="仿宋_GB2312" w:cs="仿宋_GB2312"/>
          <w:b w:val="0"/>
          <w:bCs w:val="0"/>
          <w:kern w:val="0"/>
          <w:sz w:val="32"/>
          <w:szCs w:val="32"/>
          <w:highlight w:val="none"/>
          <w:lang w:val="en-US" w:eastAsia="zh-CN" w:bidi="ar-SA"/>
        </w:rPr>
        <w:t>（五）强化监督保障。我中心高度重视政务信息公开工作，明确要求将政府信息公开工作纳入日常重要工作议程，全面梳理土储工作需公开的政务信息，不断强化工作责任，将责任明确到人，做到一级抓一级，层层抓落实，确保政务信</w:t>
      </w:r>
      <w:bookmarkStart w:id="0" w:name="_GoBack"/>
      <w:bookmarkEnd w:id="0"/>
      <w:r>
        <w:rPr>
          <w:rFonts w:hint="eastAsia" w:ascii="仿宋_GB2312" w:hAnsi="仿宋_GB2312" w:eastAsia="仿宋_GB2312" w:cs="仿宋_GB2312"/>
          <w:b w:val="0"/>
          <w:bCs w:val="0"/>
          <w:kern w:val="0"/>
          <w:sz w:val="32"/>
          <w:szCs w:val="32"/>
          <w:highlight w:val="none"/>
          <w:lang w:val="en-US" w:eastAsia="zh-CN" w:bidi="ar-SA"/>
        </w:rPr>
        <w:t>息公开工作进一步规范化、制度化。</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9"/>
        <w:tblW w:w="8840" w:type="dxa"/>
        <w:jc w:val="center"/>
        <w:tblInd w:w="0" w:type="dxa"/>
        <w:tblLayout w:type="fixed"/>
        <w:tblCellMar>
          <w:top w:w="0" w:type="dxa"/>
          <w:left w:w="0" w:type="dxa"/>
          <w:bottom w:w="0" w:type="dxa"/>
          <w:right w:w="0" w:type="dxa"/>
        </w:tblCellMar>
      </w:tblPr>
      <w:tblGrid>
        <w:gridCol w:w="3225"/>
        <w:gridCol w:w="1901"/>
        <w:gridCol w:w="1671"/>
        <w:gridCol w:w="2043"/>
      </w:tblGrid>
      <w:tr>
        <w:tblPrEx>
          <w:tblLayout w:type="fixed"/>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本年处理决定数理</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本年处理决定数理</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9"/>
        <w:tblW w:w="910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2</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2</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2</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pPr>
            <w:r>
              <w:rPr>
                <w:rFonts w:hint="eastAsia" w:ascii="楷体" w:hAnsi="楷体" w:eastAsia="楷体" w:cs="楷体"/>
                <w:color w:val="auto"/>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pPr>
            <w:r>
              <w:rPr>
                <w:rFonts w:hint="eastAsia" w:ascii="楷体" w:hAnsi="楷体" w:eastAsia="楷体" w:cs="楷体"/>
                <w:color w:val="auto"/>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pPr>
            <w:r>
              <w:rPr>
                <w:rFonts w:hint="eastAsia" w:ascii="楷体" w:hAnsi="楷体" w:eastAsia="楷体" w:cs="楷体"/>
                <w:color w:val="auto"/>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leftChars="0" w:right="0" w:rightChars="0"/>
              <w:jc w:val="left"/>
              <w:textAlignment w:val="auto"/>
            </w:pPr>
            <w:r>
              <w:rPr>
                <w:rFonts w:hint="eastAsia" w:ascii="楷体" w:hAnsi="楷体" w:eastAsia="楷体" w:cs="楷体"/>
                <w:color w:val="auto"/>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2</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cs="Calibri"/>
                <w:kern w:val="0"/>
                <w:sz w:val="20"/>
                <w:szCs w:val="20"/>
                <w:lang w:val="en-US" w:eastAsia="zh-CN" w:bidi="ar"/>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cs="Calibri"/>
                <w:kern w:val="0"/>
                <w:sz w:val="20"/>
                <w:szCs w:val="20"/>
                <w:lang w:val="en-US" w:eastAsia="zh-CN" w:bidi="ar"/>
              </w:rPr>
              <w:t>0</w:t>
            </w:r>
          </w:p>
        </w:tc>
      </w:tr>
    </w:tbl>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9"/>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cs="Calibri"/>
                <w:kern w:val="0"/>
                <w:sz w:val="20"/>
                <w:szCs w:val="20"/>
                <w:lang w:val="en-US" w:eastAsia="zh-CN" w:bidi="ar"/>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Theme="minorEastAsia" w:hAnsiTheme="minorEastAsia" w:eastAsiaTheme="minorEastAsia" w:cstheme="minorEastAsia"/>
                <w:sz w:val="24"/>
                <w:szCs w:val="24"/>
                <w:lang w:val="en-US" w:eastAsia="zh-CN"/>
              </w:rPr>
            </w:pPr>
            <w:r>
              <w:rPr>
                <w:rFonts w:hint="eastAsia" w:cs="Calibri"/>
                <w:kern w:val="0"/>
                <w:sz w:val="20"/>
                <w:szCs w:val="20"/>
                <w:lang w:val="en-US" w:eastAsia="zh-CN" w:bidi="ar"/>
              </w:rPr>
              <w:t>0</w:t>
            </w:r>
          </w:p>
        </w:tc>
      </w:tr>
    </w:tbl>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（一）存在问题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 xml:space="preserve">  2022年，我中心政务公开，政府信息公开等工作取得了一定成效，但对照上级指示的要求和公众期望，还存在不足，主要部分划拨供地公示内容还未实现国土内网和互联网的贯通等问题。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（二）整改措施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一是健全信息公开机制。深化主动公开内容，提高政府信息公开的广度和深度。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二是加强信息更新和维护。不断提升政府信息公开工作效率，切实提升政府信息公开的效果和水平。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default" w:ascii="仿宋_GB2312" w:hAnsi="微软雅黑" w:eastAsia="仿宋_GB2312" w:cs="仿宋_GB2312"/>
          <w:b w:val="0"/>
          <w:color w:val="auto"/>
          <w:kern w:val="0"/>
          <w:sz w:val="32"/>
          <w:szCs w:val="32"/>
          <w:shd w:val="clear" w:fill="FFFFFF"/>
          <w:lang w:val="en-US" w:eastAsia="zh-CN" w:bidi="ar-SA"/>
        </w:rPr>
      </w:pPr>
      <w:r>
        <w:rPr>
          <w:rFonts w:hint="eastAsia" w:ascii="仿宋_GB2312" w:hAnsi="微软雅黑" w:eastAsia="仿宋_GB2312" w:cs="仿宋_GB2312"/>
          <w:b w:val="0"/>
          <w:color w:val="auto"/>
          <w:kern w:val="0"/>
          <w:sz w:val="32"/>
          <w:szCs w:val="32"/>
          <w:shd w:val="clear" w:fill="FFFFFF"/>
          <w:lang w:val="en-US" w:eastAsia="zh-CN" w:bidi="ar-SA"/>
        </w:rPr>
        <w:t>三是加强队伍建设。积极组织工作人员参加信息公开的业务培训，不断提高公开意识，业务能力和水平。</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both"/>
        <w:textAlignment w:val="auto"/>
        <w:rPr>
          <w:color w:val="333333"/>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highlight w:val="none"/>
        </w:rPr>
        <w:t>年</w:t>
      </w:r>
      <w:r>
        <w:rPr>
          <w:rFonts w:hint="eastAsia" w:ascii="仿宋_GB2312" w:hAnsi="微软雅黑" w:eastAsia="仿宋_GB2312" w:cs="仿宋_GB2312"/>
          <w:b w:val="0"/>
          <w:color w:val="333333"/>
          <w:kern w:val="0"/>
          <w:sz w:val="32"/>
          <w:szCs w:val="32"/>
          <w:shd w:val="clear" w:fill="FFFFFF"/>
          <w:lang w:val="en-US" w:eastAsia="zh-CN" w:bidi="ar-SA"/>
        </w:rPr>
        <w:t>邢东新区土地储备分中心</w:t>
      </w:r>
      <w:r>
        <w:rPr>
          <w:rFonts w:hint="eastAsia" w:ascii="仿宋_GB2312" w:hAnsi="仿宋_GB2312" w:eastAsia="仿宋_GB2312" w:cs="仿宋_GB2312"/>
          <w:sz w:val="32"/>
          <w:szCs w:val="32"/>
          <w:highlight w:val="none"/>
        </w:rPr>
        <w:t>未收</w:t>
      </w:r>
      <w:r>
        <w:rPr>
          <w:rFonts w:hint="eastAsia" w:ascii="仿宋_GB2312" w:hAnsi="仿宋_GB2312" w:eastAsia="仿宋_GB2312" w:cs="仿宋_GB2312"/>
          <w:sz w:val="32"/>
          <w:szCs w:val="32"/>
        </w:rPr>
        <w:t>取信息处理费。</w:t>
      </w:r>
      <w:r>
        <w:rPr>
          <w:rFonts w:hint="eastAsia" w:ascii="微软雅黑" w:hAnsi="微软雅黑" w:eastAsia="微软雅黑" w:cs="微软雅黑"/>
          <w:b w:val="0"/>
          <w:color w:val="333333"/>
          <w:sz w:val="22"/>
          <w:szCs w:val="22"/>
          <w:shd w:val="clear" w:fill="FFFFFF"/>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both"/>
        <w:textAlignment w:val="auto"/>
        <w:rPr>
          <w:rFonts w:hint="default" w:ascii="宋体" w:hAnsi="宋体" w:eastAsia="宋体" w:cs="宋体"/>
          <w:i w:val="0"/>
          <w:caps w:val="0"/>
          <w:color w:val="333333"/>
          <w:spacing w:val="0"/>
          <w:sz w:val="24"/>
          <w:szCs w:val="24"/>
          <w:lang w:val="en-US" w:eastAsia="zh-CN"/>
        </w:rPr>
      </w:pPr>
      <w:r>
        <w:rPr>
          <w:rFonts w:hint="eastAsia" w:ascii="仿宋_GB2312" w:hAnsi="微软雅黑" w:eastAsia="仿宋_GB2312" w:cs="仿宋_GB2312"/>
          <w:b w:val="0"/>
          <w:color w:val="333333"/>
          <w:kern w:val="0"/>
          <w:sz w:val="32"/>
          <w:szCs w:val="32"/>
          <w:shd w:val="clear" w:fill="FFFFFF"/>
          <w:lang w:val="en-US" w:eastAsia="zh-CN" w:bidi="ar-SA"/>
        </w:rPr>
        <w:t>　　　　　　　　　　　　</w:t>
      </w:r>
    </w:p>
    <w:p/>
    <w:sectPr>
      <w:headerReference r:id="rId3" w:type="default"/>
      <w:footerReference r:id="rId4" w:type="default"/>
      <w:pgSz w:w="11906" w:h="16838"/>
      <w:pgMar w:top="2154"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5</w:t>
                    </w:r>
                    <w:r>
                      <w:rPr>
                        <w:rFonts w:hint="eastAsia"/>
                        <w:lang w:eastAsia="zh-CN"/>
                      </w:rPr>
                      <w:fldChar w:fldCharType="end"/>
                    </w:r>
                    <w:r>
                      <w:rPr>
                        <w:rFonts w:hint="eastAsia"/>
                        <w:lang w:eastAsia="zh-CN"/>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FB31FD"/>
    <w:multiLevelType w:val="singleLevel"/>
    <w:tmpl w:val="C2FB31FD"/>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78C3"/>
    <w:rsid w:val="030B1E85"/>
    <w:rsid w:val="04380733"/>
    <w:rsid w:val="046855E1"/>
    <w:rsid w:val="077D7A80"/>
    <w:rsid w:val="0A5533E9"/>
    <w:rsid w:val="0B100980"/>
    <w:rsid w:val="15C578C3"/>
    <w:rsid w:val="19881768"/>
    <w:rsid w:val="216C44E8"/>
    <w:rsid w:val="25B737CE"/>
    <w:rsid w:val="29F44FA0"/>
    <w:rsid w:val="2D8F3C5F"/>
    <w:rsid w:val="35CF5B56"/>
    <w:rsid w:val="3C884423"/>
    <w:rsid w:val="3D13741E"/>
    <w:rsid w:val="3ED47003"/>
    <w:rsid w:val="4D8B54B8"/>
    <w:rsid w:val="51AE73CE"/>
    <w:rsid w:val="51B31D76"/>
    <w:rsid w:val="523A13D5"/>
    <w:rsid w:val="5CD27C33"/>
    <w:rsid w:val="60853A24"/>
    <w:rsid w:val="6506649E"/>
    <w:rsid w:val="65954057"/>
    <w:rsid w:val="668034CF"/>
    <w:rsid w:val="6BE94128"/>
    <w:rsid w:val="72080CB8"/>
    <w:rsid w:val="74C46894"/>
    <w:rsid w:val="74E1360A"/>
    <w:rsid w:val="7B5339F5"/>
    <w:rsid w:val="7C06601E"/>
    <w:rsid w:val="7D8903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unhideWhenUsed/>
    <w:qFormat/>
    <w:uiPriority w:val="99"/>
    <w:rPr>
      <w:rFonts w:eastAsia="仿宋_GB2312"/>
      <w:sz w:val="32"/>
      <w:szCs w:val="20"/>
    </w:rPr>
  </w:style>
  <w:style w:type="paragraph" w:styleId="4">
    <w:name w:val="Body Text Indent"/>
    <w:basedOn w:val="1"/>
    <w:next w:val="1"/>
    <w:qFormat/>
    <w:uiPriority w:val="0"/>
    <w:pPr>
      <w:spacing w:after="120"/>
      <w:ind w:left="420" w:leftChars="200"/>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7">
    <w:name w:val="Body Text First Indent"/>
    <w:basedOn w:val="3"/>
    <w:unhideWhenUsed/>
    <w:qFormat/>
    <w:uiPriority w:val="99"/>
    <w:pPr>
      <w:spacing w:after="120"/>
      <w:ind w:firstLine="420" w:firstLineChars="100"/>
    </w:pPr>
    <w:rPr>
      <w:rFonts w:eastAsia="宋体"/>
      <w:sz w:val="21"/>
      <w:szCs w:val="22"/>
    </w:rPr>
  </w:style>
  <w:style w:type="paragraph" w:styleId="8">
    <w:name w:val="Body Text First Indent 2"/>
    <w:basedOn w:val="4"/>
    <w:next w:val="1"/>
    <w:qFormat/>
    <w:uiPriority w:val="99"/>
    <w:pPr>
      <w:ind w:firstLine="420" w:firstLineChars="200"/>
    </w:pPr>
    <w:rPr>
      <w:rFonts w:ascii="Calibri" w:hAnsi="Calibri" w:eastAsia="宋体"/>
      <w:sz w:val="21"/>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1411</Words>
  <Characters>1444</Characters>
  <Lines>0</Lines>
  <Paragraphs>0</Paragraphs>
  <TotalTime>0</TotalTime>
  <ScaleCrop>false</ScaleCrop>
  <LinksUpToDate>false</LinksUpToDate>
  <CharactersWithSpaces>1467</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2021-01-08T11:25:00Z</dcterms:created>
  <dc:creator>Administrator</dc:creator>
  <cp:lastModifiedBy>Administrator</cp:lastModifiedBy>
  <cp:lastPrinted>2022-01-27T09:48:00Z</cp:lastPrinted>
  <dcterms:modified xsi:type="dcterms:W3CDTF">2023-02-07T08:46:33Z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C250C398AE41448F916C0914B0FE749E</vt:lpwstr>
  </property>
</Properties>
</file>