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AD" w:rsidRPr="00F11EAD" w:rsidRDefault="00F11EAD" w:rsidP="00F11EAD">
      <w:pPr>
        <w:widowControl/>
        <w:shd w:val="clear" w:color="auto" w:fill="FFFFFF"/>
        <w:spacing w:before="300" w:after="300" w:line="720" w:lineRule="atLeast"/>
        <w:jc w:val="center"/>
        <w:outlineLvl w:val="0"/>
        <w:rPr>
          <w:rFonts w:ascii="Microsoft YaHei" w:eastAsia="Microsoft YaHei" w:hAnsi="Microsoft YaHei" w:cs="SimSun"/>
          <w:b/>
          <w:bCs/>
          <w:color w:val="2C66A5"/>
          <w:kern w:val="36"/>
          <w:sz w:val="48"/>
          <w:szCs w:val="48"/>
        </w:rPr>
      </w:pPr>
      <w:r w:rsidRPr="00F11EAD">
        <w:rPr>
          <w:rFonts w:ascii="Microsoft YaHei" w:eastAsia="Microsoft YaHei" w:hAnsi="Microsoft YaHei" w:cs="SimSun" w:hint="eastAsia"/>
          <w:b/>
          <w:bCs/>
          <w:color w:val="2C66A5"/>
          <w:kern w:val="36"/>
          <w:sz w:val="48"/>
          <w:szCs w:val="48"/>
        </w:rPr>
        <w:t>国家税务总局邢台市税务局2022年政府信息公开工作年度报告</w:t>
      </w:r>
    </w:p>
    <w:p w:rsidR="00F11EAD" w:rsidRPr="00F11EAD" w:rsidRDefault="00F11EAD" w:rsidP="00F11EAD">
      <w:pPr>
        <w:widowControl/>
        <w:shd w:val="clear" w:color="auto" w:fill="FFFFFF"/>
        <w:wordWrap w:val="0"/>
        <w:spacing w:line="480" w:lineRule="atLeast"/>
        <w:jc w:val="left"/>
        <w:rPr>
          <w:rFonts w:ascii="Calibri" w:eastAsia="SimSun" w:hAnsi="Calibri" w:cs="SimSun" w:hint="eastAsia"/>
          <w:color w:val="555555"/>
          <w:kern w:val="0"/>
          <w:szCs w:val="21"/>
        </w:rPr>
      </w:pPr>
      <w:r w:rsidRPr="00F11EAD">
        <w:rPr>
          <w:rFonts w:ascii="Calibri" w:eastAsia="SimSun" w:hAnsi="Calibri" w:cs="SimSun"/>
          <w:color w:val="555555"/>
          <w:kern w:val="0"/>
          <w:szCs w:val="21"/>
        </w:rPr>
        <w:t> </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根据《中华人民共和国政府信息公开条例》之五十条之规定，制作本年度报告。</w:t>
      </w:r>
    </w:p>
    <w:p w:rsidR="00F11EAD" w:rsidRPr="00F11EAD" w:rsidRDefault="00F11EAD" w:rsidP="00F11EAD">
      <w:pPr>
        <w:widowControl/>
        <w:shd w:val="clear" w:color="auto" w:fill="FFFFFF"/>
        <w:wordWrap w:val="0"/>
        <w:spacing w:line="450" w:lineRule="atLeast"/>
        <w:ind w:firstLine="627"/>
        <w:rPr>
          <w:rFonts w:ascii="Calibri" w:eastAsia="SimSun" w:hAnsi="Calibri" w:cs="SimSun"/>
          <w:color w:val="555555"/>
          <w:kern w:val="0"/>
          <w:szCs w:val="21"/>
        </w:rPr>
      </w:pPr>
      <w:r w:rsidRPr="00F11EAD">
        <w:rPr>
          <w:rFonts w:ascii="SimHei" w:eastAsia="SimHei" w:hAnsi="SimHei" w:cs="SimSun" w:hint="eastAsia"/>
          <w:color w:val="000000"/>
          <w:kern w:val="0"/>
          <w:sz w:val="32"/>
          <w:szCs w:val="32"/>
        </w:rPr>
        <w:t>一、总体情况</w:t>
      </w:r>
    </w:p>
    <w:p w:rsidR="00F11EAD" w:rsidRPr="00F11EAD" w:rsidRDefault="00F11EAD" w:rsidP="00F11EAD">
      <w:pPr>
        <w:widowControl/>
        <w:shd w:val="clear" w:color="auto" w:fill="FFFFFF"/>
        <w:wordWrap w:val="0"/>
        <w:spacing w:line="450" w:lineRule="atLeast"/>
        <w:ind w:firstLine="48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2022年，国家税务总局邢台市税务局以习近平新时代中国特色社会主义思想为指导，深入贯彻落</w:t>
      </w:r>
      <w:bookmarkStart w:id="0" w:name="_GoBack"/>
      <w:bookmarkEnd w:id="0"/>
      <w:r w:rsidRPr="00F11EAD">
        <w:rPr>
          <w:rFonts w:ascii="FangSong_GB2312" w:eastAsia="FangSong_GB2312" w:hAnsi="FangSong_GB2312" w:cs="SimSun" w:hint="eastAsia"/>
          <w:color w:val="000000"/>
          <w:kern w:val="0"/>
          <w:sz w:val="32"/>
          <w:szCs w:val="32"/>
        </w:rPr>
        <w:t>实党中央、国务院关于全面推进政务公开工作的决策部署，不断强化平台建设，加大公开力度，完善公开流程，充分发挥政务公开对规范执法、优化服务、落实税费政策等方面的促进作用，推动税收现代化高质量发展。</w:t>
      </w:r>
    </w:p>
    <w:p w:rsidR="00F11EAD" w:rsidRPr="00F11EAD" w:rsidRDefault="00F11EAD" w:rsidP="00F11EAD">
      <w:pPr>
        <w:widowControl/>
        <w:shd w:val="clear" w:color="auto" w:fill="FFFFFF"/>
        <w:wordWrap w:val="0"/>
        <w:spacing w:line="450" w:lineRule="atLeast"/>
        <w:ind w:firstLine="48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（一）主动公开</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围绕落实已出台各项退税减税降</w:t>
      </w:r>
      <w:proofErr w:type="gramStart"/>
      <w:r w:rsidRPr="00F11EAD">
        <w:rPr>
          <w:rFonts w:ascii="FangSong_GB2312" w:eastAsia="FangSong_GB2312" w:hAnsi="FangSong_GB2312" w:cs="SimSun" w:hint="eastAsia"/>
          <w:color w:val="000000"/>
          <w:kern w:val="0"/>
          <w:sz w:val="32"/>
          <w:szCs w:val="32"/>
        </w:rPr>
        <w:t>费政策</w:t>
      </w:r>
      <w:proofErr w:type="gramEnd"/>
      <w:r w:rsidRPr="00F11EAD">
        <w:rPr>
          <w:rFonts w:ascii="FangSong_GB2312" w:eastAsia="FangSong_GB2312" w:hAnsi="FangSong_GB2312" w:cs="SimSun" w:hint="eastAsia"/>
          <w:color w:val="000000"/>
          <w:kern w:val="0"/>
          <w:sz w:val="32"/>
          <w:szCs w:val="32"/>
        </w:rPr>
        <w:t>特别是大规模增值税留抵退税政策，对各项减税降</w:t>
      </w:r>
      <w:proofErr w:type="gramStart"/>
      <w:r w:rsidRPr="00F11EAD">
        <w:rPr>
          <w:rFonts w:ascii="FangSong_GB2312" w:eastAsia="FangSong_GB2312" w:hAnsi="FangSong_GB2312" w:cs="SimSun" w:hint="eastAsia"/>
          <w:color w:val="000000"/>
          <w:kern w:val="0"/>
          <w:sz w:val="32"/>
          <w:szCs w:val="32"/>
        </w:rPr>
        <w:t>费政策</w:t>
      </w:r>
      <w:proofErr w:type="gramEnd"/>
      <w:r w:rsidRPr="00F11EAD">
        <w:rPr>
          <w:rFonts w:ascii="FangSong_GB2312" w:eastAsia="FangSong_GB2312" w:hAnsi="FangSong_GB2312" w:cs="SimSun" w:hint="eastAsia"/>
          <w:color w:val="000000"/>
          <w:kern w:val="0"/>
          <w:sz w:val="32"/>
          <w:szCs w:val="32"/>
        </w:rPr>
        <w:t>从政策内容、相关操作、疑难问题等多个维度，通过短视频、图解、海报、</w:t>
      </w:r>
      <w:proofErr w:type="gramStart"/>
      <w:r w:rsidRPr="00F11EAD">
        <w:rPr>
          <w:rFonts w:ascii="FangSong_GB2312" w:eastAsia="FangSong_GB2312" w:hAnsi="FangSong_GB2312" w:cs="SimSun" w:hint="eastAsia"/>
          <w:color w:val="000000"/>
          <w:kern w:val="0"/>
          <w:sz w:val="32"/>
          <w:szCs w:val="32"/>
        </w:rPr>
        <w:t>动漫等</w:t>
      </w:r>
      <w:proofErr w:type="gramEnd"/>
      <w:r w:rsidRPr="00F11EAD">
        <w:rPr>
          <w:rFonts w:ascii="FangSong_GB2312" w:eastAsia="FangSong_GB2312" w:hAnsi="FangSong_GB2312" w:cs="SimSun" w:hint="eastAsia"/>
          <w:color w:val="000000"/>
          <w:kern w:val="0"/>
          <w:sz w:val="32"/>
          <w:szCs w:val="32"/>
        </w:rPr>
        <w:t>多种方式，开展广泛的宣传解读。依托门户网站等载体主动公开政府信息1185条。</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（二）依申请公开</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shd w:val="clear" w:color="auto" w:fill="FFFFFF"/>
        </w:rPr>
        <w:lastRenderedPageBreak/>
        <w:t>严格执行《中华人民共和国政府信息公开条例》依申请公开规定，</w:t>
      </w:r>
      <w:r w:rsidRPr="00F11EAD">
        <w:rPr>
          <w:rFonts w:ascii="FangSong_GB2312" w:eastAsia="FangSong_GB2312" w:hAnsi="FangSong_GB2312" w:cs="SimSun" w:hint="eastAsia"/>
          <w:color w:val="000000"/>
          <w:kern w:val="0"/>
          <w:sz w:val="32"/>
          <w:szCs w:val="32"/>
        </w:rPr>
        <w:t>深入落实《税务机关政府信息公开申请办理规范》工作要求，2022年未收到依申请公开申请事项。</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（三）政府信息管理</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进一步健全信息公开审查机制和公文公开审核机制，强化信息公开的归口管理，按照“先审查、后公开”的原则，严把公开信息的保密关、安全关、内容关、时限关。继续完善政府信息管理动态调整机制，对因变化发展可以公开的政府信息，按程序进行及时调整并予以公开。</w:t>
      </w:r>
    </w:p>
    <w:p w:rsidR="00F11EAD" w:rsidRPr="00F11EAD" w:rsidRDefault="00F11EAD" w:rsidP="00F11EAD">
      <w:pPr>
        <w:widowControl/>
        <w:shd w:val="clear" w:color="auto" w:fill="FFFFFF"/>
        <w:wordWrap w:val="0"/>
        <w:spacing w:line="450" w:lineRule="atLeast"/>
        <w:ind w:firstLine="640"/>
        <w:jc w:val="left"/>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（四）政府信息公开平台建设</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充分发挥门户网站政府信息公开平台的作用，加强网站管理。优化完善门户网站，按时保质更新、维护法定主动公开内容和税收管理领域基层政务公开栏目。围绕重点工作，在网站开设“组合式税费支持政策”等专题专栏，集中发布税收优惠政策。针对热点问题，充分发挥</w:t>
      </w:r>
      <w:proofErr w:type="gramStart"/>
      <w:r w:rsidRPr="00F11EAD">
        <w:rPr>
          <w:rFonts w:ascii="FangSong_GB2312" w:eastAsia="FangSong_GB2312" w:hAnsi="FangSong_GB2312" w:cs="SimSun" w:hint="eastAsia"/>
          <w:color w:val="000000"/>
          <w:kern w:val="0"/>
          <w:sz w:val="32"/>
          <w:szCs w:val="32"/>
        </w:rPr>
        <w:t>微信公众号</w:t>
      </w:r>
      <w:proofErr w:type="gramEnd"/>
      <w:r w:rsidRPr="00F11EAD">
        <w:rPr>
          <w:rFonts w:ascii="FangSong_GB2312" w:eastAsia="FangSong_GB2312" w:hAnsi="FangSong_GB2312" w:cs="SimSun" w:hint="eastAsia"/>
          <w:color w:val="000000"/>
          <w:kern w:val="0"/>
          <w:sz w:val="32"/>
          <w:szCs w:val="32"/>
        </w:rPr>
        <w:t>、</w:t>
      </w:r>
      <w:proofErr w:type="gramStart"/>
      <w:r w:rsidRPr="00F11EAD">
        <w:rPr>
          <w:rFonts w:ascii="FangSong_GB2312" w:eastAsia="FangSong_GB2312" w:hAnsi="FangSong_GB2312" w:cs="SimSun" w:hint="eastAsia"/>
          <w:color w:val="000000"/>
          <w:kern w:val="0"/>
          <w:sz w:val="32"/>
          <w:szCs w:val="32"/>
        </w:rPr>
        <w:t>政务微博等</w:t>
      </w:r>
      <w:proofErr w:type="gramEnd"/>
      <w:r w:rsidRPr="00F11EAD">
        <w:rPr>
          <w:rFonts w:ascii="FangSong_GB2312" w:eastAsia="FangSong_GB2312" w:hAnsi="FangSong_GB2312" w:cs="SimSun" w:hint="eastAsia"/>
          <w:color w:val="000000"/>
          <w:kern w:val="0"/>
          <w:sz w:val="32"/>
          <w:szCs w:val="32"/>
        </w:rPr>
        <w:t>新媒体快速灵活的特点，采用动漫、微视频、税收公益广告等形式，积极回应纳税人缴费人的关注问题。2022年，通过微信、</w:t>
      </w:r>
      <w:proofErr w:type="gramStart"/>
      <w:r w:rsidRPr="00F11EAD">
        <w:rPr>
          <w:rFonts w:ascii="FangSong_GB2312" w:eastAsia="FangSong_GB2312" w:hAnsi="FangSong_GB2312" w:cs="SimSun" w:hint="eastAsia"/>
          <w:color w:val="000000"/>
          <w:kern w:val="0"/>
          <w:sz w:val="32"/>
          <w:szCs w:val="32"/>
        </w:rPr>
        <w:t>微博等</w:t>
      </w:r>
      <w:proofErr w:type="gramEnd"/>
      <w:r w:rsidRPr="00F11EAD">
        <w:rPr>
          <w:rFonts w:ascii="FangSong_GB2312" w:eastAsia="FangSong_GB2312" w:hAnsi="FangSong_GB2312" w:cs="SimSun" w:hint="eastAsia"/>
          <w:color w:val="000000"/>
          <w:kern w:val="0"/>
          <w:sz w:val="32"/>
          <w:szCs w:val="32"/>
        </w:rPr>
        <w:t>平台对外发布信息241条，订阅人数41865人，浏览117593次。</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（五）监督保障</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555555"/>
          <w:kern w:val="0"/>
          <w:szCs w:val="21"/>
        </w:rPr>
      </w:pPr>
      <w:r w:rsidRPr="00F11EAD">
        <w:rPr>
          <w:rFonts w:ascii="FangSong_GB2312" w:eastAsia="FangSong_GB2312" w:hAnsi="FangSong_GB2312" w:cs="SimSun" w:hint="eastAsia"/>
          <w:color w:val="000000"/>
          <w:kern w:val="0"/>
          <w:sz w:val="32"/>
          <w:szCs w:val="32"/>
        </w:rPr>
        <w:t>按季度开展政务公开绩效考评，强化信息公开工作考核，细化绩效考核指标，完善绩效考评细则，充分发挥绩效管理指挥棒的作用，以考核促落实、以绩效促实效。加大信息公开培训力度，</w:t>
      </w:r>
      <w:r w:rsidRPr="00F11EAD">
        <w:rPr>
          <w:rFonts w:ascii="FangSong_GB2312" w:eastAsia="FangSong_GB2312" w:hAnsi="FangSong_GB2312" w:cs="SimSun" w:hint="eastAsia"/>
          <w:color w:val="000000"/>
          <w:kern w:val="0"/>
          <w:sz w:val="32"/>
          <w:szCs w:val="32"/>
        </w:rPr>
        <w:lastRenderedPageBreak/>
        <w:t>将信息公开培训纳入领导干部培训和各级干部轮训的重点课程，提升信息公开培训课时，不断强化税务干部对信息公开知识的掌握和运用。</w:t>
      </w:r>
    </w:p>
    <w:p w:rsidR="00F11EAD" w:rsidRPr="00F11EAD" w:rsidRDefault="00F11EAD" w:rsidP="00F11EAD">
      <w:pPr>
        <w:widowControl/>
        <w:shd w:val="clear" w:color="auto" w:fill="FFFFFF"/>
        <w:wordWrap w:val="0"/>
        <w:spacing w:line="480" w:lineRule="atLeast"/>
        <w:rPr>
          <w:rFonts w:ascii="Calibri" w:eastAsia="SimSun" w:hAnsi="Calibri" w:cs="SimSun"/>
          <w:color w:val="555555"/>
          <w:kern w:val="0"/>
          <w:szCs w:val="21"/>
        </w:rPr>
      </w:pPr>
      <w:r w:rsidRPr="00F11EAD">
        <w:rPr>
          <w:rFonts w:ascii="inherit" w:eastAsia="SimSun" w:hAnsi="inherit" w:cs="SimSun"/>
          <w:color w:val="424242"/>
          <w:kern w:val="0"/>
          <w:sz w:val="32"/>
          <w:szCs w:val="32"/>
        </w:rPr>
        <w:t> </w:t>
      </w:r>
      <w:r w:rsidRPr="00F11EAD">
        <w:rPr>
          <w:rFonts w:ascii="inherit" w:eastAsia="SimSun" w:hAnsi="inherit" w:cs="SimSun"/>
          <w:color w:val="424242"/>
          <w:kern w:val="0"/>
          <w:sz w:val="32"/>
          <w:szCs w:val="32"/>
        </w:rPr>
        <w:t> </w:t>
      </w:r>
      <w:r w:rsidRPr="00F11EAD">
        <w:rPr>
          <w:rFonts w:ascii="SimHei" w:eastAsia="SimHei" w:hAnsi="SimHei" w:cs="SimSun" w:hint="eastAsia"/>
          <w:color w:val="424242"/>
          <w:kern w:val="0"/>
          <w:sz w:val="32"/>
          <w:szCs w:val="32"/>
        </w:rPr>
        <w:t>二、主动公开政府信息情况</w:t>
      </w:r>
    </w:p>
    <w:tbl>
      <w:tblPr>
        <w:tblW w:w="9735" w:type="dxa"/>
        <w:jc w:val="center"/>
        <w:tblCellMar>
          <w:top w:w="15" w:type="dxa"/>
          <w:left w:w="15" w:type="dxa"/>
          <w:bottom w:w="15" w:type="dxa"/>
          <w:right w:w="15" w:type="dxa"/>
        </w:tblCellMar>
        <w:tblLook w:val="04A0" w:firstRow="1" w:lastRow="0" w:firstColumn="1" w:lastColumn="0" w:noHBand="0" w:noVBand="1"/>
      </w:tblPr>
      <w:tblGrid>
        <w:gridCol w:w="2430"/>
        <w:gridCol w:w="2430"/>
        <w:gridCol w:w="2430"/>
        <w:gridCol w:w="2445"/>
      </w:tblGrid>
      <w:tr w:rsidR="00F11EAD" w:rsidRPr="00F11EAD" w:rsidTr="00F11EAD">
        <w:trPr>
          <w:trHeight w:val="850"/>
          <w:jc w:val="center"/>
        </w:trPr>
        <w:tc>
          <w:tcPr>
            <w:tcW w:w="9735"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第二十条第（一）项</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信息内容</w:t>
            </w:r>
          </w:p>
        </w:tc>
        <w:tc>
          <w:tcPr>
            <w:tcW w:w="2430"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本年制发件数</w:t>
            </w:r>
          </w:p>
        </w:tc>
        <w:tc>
          <w:tcPr>
            <w:tcW w:w="2430"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本年废止件数</w:t>
            </w:r>
          </w:p>
        </w:tc>
        <w:tc>
          <w:tcPr>
            <w:tcW w:w="2445"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现行有效件数</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规章</w:t>
            </w:r>
          </w:p>
        </w:tc>
        <w:tc>
          <w:tcPr>
            <w:tcW w:w="2430"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4"/>
                <w:szCs w:val="24"/>
              </w:rPr>
              <w:t>0</w:t>
            </w:r>
          </w:p>
        </w:tc>
        <w:tc>
          <w:tcPr>
            <w:tcW w:w="2430"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4"/>
                <w:szCs w:val="24"/>
              </w:rPr>
              <w:t>0</w:t>
            </w:r>
          </w:p>
        </w:tc>
        <w:tc>
          <w:tcPr>
            <w:tcW w:w="2445"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4"/>
                <w:szCs w:val="24"/>
              </w:rPr>
              <w:t>0</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行政规范性文件</w:t>
            </w:r>
          </w:p>
        </w:tc>
        <w:tc>
          <w:tcPr>
            <w:tcW w:w="2430"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SimSun" w:eastAsia="SimSun" w:hAnsi="SimSun" w:cs="SimSun" w:hint="eastAsia"/>
                <w:kern w:val="0"/>
                <w:sz w:val="24"/>
                <w:szCs w:val="24"/>
              </w:rPr>
              <w:t>0</w:t>
            </w:r>
          </w:p>
        </w:tc>
        <w:tc>
          <w:tcPr>
            <w:tcW w:w="2430"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SimSun" w:eastAsia="SimSun" w:hAnsi="SimSun" w:cs="SimSun" w:hint="eastAsia"/>
                <w:kern w:val="0"/>
                <w:sz w:val="24"/>
                <w:szCs w:val="24"/>
              </w:rPr>
              <w:t>0</w:t>
            </w:r>
          </w:p>
        </w:tc>
        <w:tc>
          <w:tcPr>
            <w:tcW w:w="2445"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SimSun" w:eastAsia="SimSun" w:hAnsi="SimSun" w:cs="SimSun" w:hint="eastAsia"/>
                <w:kern w:val="0"/>
                <w:sz w:val="24"/>
                <w:szCs w:val="24"/>
              </w:rPr>
              <w:t>2</w:t>
            </w:r>
          </w:p>
        </w:tc>
      </w:tr>
      <w:tr w:rsidR="00F11EAD" w:rsidRPr="00F11EAD" w:rsidTr="00F11EAD">
        <w:trPr>
          <w:trHeight w:val="850"/>
          <w:jc w:val="center"/>
        </w:trPr>
        <w:tc>
          <w:tcPr>
            <w:tcW w:w="9735" w:type="dxa"/>
            <w:gridSpan w:val="4"/>
            <w:tcBorders>
              <w:top w:val="nil"/>
              <w:left w:val="single" w:sz="8" w:space="0" w:color="auto"/>
              <w:bottom w:val="single" w:sz="8" w:space="0" w:color="auto"/>
              <w:right w:val="single" w:sz="8" w:space="0" w:color="auto"/>
            </w:tcBorders>
            <w:shd w:val="clear" w:color="auto" w:fill="C6D9F1"/>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第二十条第（五）项</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信息内容</w:t>
            </w:r>
          </w:p>
        </w:tc>
        <w:tc>
          <w:tcPr>
            <w:tcW w:w="7305" w:type="dxa"/>
            <w:gridSpan w:val="3"/>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本年处理决定数量</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行政许可</w:t>
            </w:r>
          </w:p>
        </w:tc>
        <w:tc>
          <w:tcPr>
            <w:tcW w:w="7305" w:type="dxa"/>
            <w:gridSpan w:val="3"/>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ind w:firstLine="2940"/>
              <w:jc w:val="left"/>
              <w:rPr>
                <w:rFonts w:ascii="Calibri" w:eastAsia="SimSun" w:hAnsi="Calibri" w:cs="SimSun"/>
                <w:kern w:val="0"/>
                <w:szCs w:val="21"/>
              </w:rPr>
            </w:pPr>
            <w:r w:rsidRPr="00F11EAD">
              <w:rPr>
                <w:rFonts w:ascii="Microsoft YaHei" w:eastAsia="Microsoft YaHei" w:hAnsi="Microsoft YaHei" w:cs="SimSun" w:hint="eastAsia"/>
                <w:kern w:val="0"/>
                <w:sz w:val="24"/>
                <w:szCs w:val="24"/>
              </w:rPr>
              <w:t>0</w:t>
            </w:r>
          </w:p>
        </w:tc>
      </w:tr>
      <w:tr w:rsidR="00F11EAD" w:rsidRPr="00F11EAD" w:rsidTr="00F11EAD">
        <w:trPr>
          <w:trHeight w:val="850"/>
          <w:jc w:val="center"/>
        </w:trPr>
        <w:tc>
          <w:tcPr>
            <w:tcW w:w="9735" w:type="dxa"/>
            <w:gridSpan w:val="4"/>
            <w:tcBorders>
              <w:top w:val="nil"/>
              <w:left w:val="single" w:sz="8" w:space="0" w:color="auto"/>
              <w:bottom w:val="single" w:sz="8" w:space="0" w:color="auto"/>
              <w:right w:val="single" w:sz="8" w:space="0" w:color="auto"/>
            </w:tcBorders>
            <w:shd w:val="clear" w:color="auto" w:fill="C6D9F1"/>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第二十条第（六）项</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信息内容</w:t>
            </w:r>
          </w:p>
        </w:tc>
        <w:tc>
          <w:tcPr>
            <w:tcW w:w="7305" w:type="dxa"/>
            <w:gridSpan w:val="3"/>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本年处理决定数量</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行政处罚</w:t>
            </w:r>
          </w:p>
        </w:tc>
        <w:tc>
          <w:tcPr>
            <w:tcW w:w="7305" w:type="dxa"/>
            <w:gridSpan w:val="3"/>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ind w:firstLine="3150"/>
              <w:jc w:val="left"/>
              <w:rPr>
                <w:rFonts w:ascii="Calibri" w:eastAsia="SimSun" w:hAnsi="Calibri" w:cs="SimSun"/>
                <w:kern w:val="0"/>
                <w:szCs w:val="21"/>
              </w:rPr>
            </w:pPr>
            <w:r w:rsidRPr="00F11EAD">
              <w:rPr>
                <w:rFonts w:ascii="Microsoft YaHei" w:eastAsia="Microsoft YaHei" w:hAnsi="Microsoft YaHei" w:cs="SimSun" w:hint="eastAsia"/>
                <w:kern w:val="0"/>
                <w:sz w:val="24"/>
                <w:szCs w:val="24"/>
              </w:rPr>
              <w:t>110</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行政强制</w:t>
            </w:r>
          </w:p>
        </w:tc>
        <w:tc>
          <w:tcPr>
            <w:tcW w:w="7305" w:type="dxa"/>
            <w:gridSpan w:val="3"/>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ind w:firstLine="3150"/>
              <w:jc w:val="left"/>
              <w:rPr>
                <w:rFonts w:ascii="Calibri" w:eastAsia="SimSun" w:hAnsi="Calibri" w:cs="SimSun"/>
                <w:kern w:val="0"/>
                <w:szCs w:val="21"/>
              </w:rPr>
            </w:pPr>
            <w:r w:rsidRPr="00F11EAD">
              <w:rPr>
                <w:rFonts w:ascii="Microsoft YaHei" w:eastAsia="Microsoft YaHei" w:hAnsi="Microsoft YaHei" w:cs="SimSun" w:hint="eastAsia"/>
                <w:kern w:val="0"/>
                <w:sz w:val="24"/>
                <w:szCs w:val="24"/>
              </w:rPr>
              <w:t>1</w:t>
            </w:r>
          </w:p>
        </w:tc>
      </w:tr>
      <w:tr w:rsidR="00F11EAD" w:rsidRPr="00F11EAD" w:rsidTr="00F11EAD">
        <w:trPr>
          <w:trHeight w:val="850"/>
          <w:jc w:val="center"/>
        </w:trPr>
        <w:tc>
          <w:tcPr>
            <w:tcW w:w="9735" w:type="dxa"/>
            <w:gridSpan w:val="4"/>
            <w:tcBorders>
              <w:top w:val="nil"/>
              <w:left w:val="single" w:sz="8" w:space="0" w:color="auto"/>
              <w:bottom w:val="single" w:sz="8" w:space="0" w:color="auto"/>
              <w:right w:val="single" w:sz="8" w:space="0" w:color="auto"/>
            </w:tcBorders>
            <w:shd w:val="clear" w:color="auto" w:fill="C6D9F1"/>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第二十条第（八）项</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信息内容</w:t>
            </w:r>
          </w:p>
        </w:tc>
        <w:tc>
          <w:tcPr>
            <w:tcW w:w="7305" w:type="dxa"/>
            <w:gridSpan w:val="3"/>
            <w:tcBorders>
              <w:top w:val="nil"/>
              <w:left w:val="nil"/>
              <w:bottom w:val="single" w:sz="8" w:space="0" w:color="auto"/>
              <w:right w:val="single" w:sz="8" w:space="0" w:color="000000"/>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t>本年收费金额（单位：万元）</w:t>
            </w:r>
          </w:p>
        </w:tc>
      </w:tr>
      <w:tr w:rsidR="00F11EAD" w:rsidRPr="00F11EAD" w:rsidTr="00F11EAD">
        <w:trPr>
          <w:trHeight w:val="850"/>
          <w:jc w:val="center"/>
        </w:trPr>
        <w:tc>
          <w:tcPr>
            <w:tcW w:w="2430" w:type="dxa"/>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jc w:val="center"/>
              <w:rPr>
                <w:rFonts w:ascii="Calibri" w:eastAsia="SimSun" w:hAnsi="Calibri" w:cs="SimSun"/>
                <w:kern w:val="0"/>
                <w:szCs w:val="21"/>
              </w:rPr>
            </w:pPr>
            <w:r w:rsidRPr="00F11EAD">
              <w:rPr>
                <w:rFonts w:ascii="Microsoft YaHei" w:eastAsia="Microsoft YaHei" w:hAnsi="Microsoft YaHei" w:cs="SimSun" w:hint="eastAsia"/>
                <w:kern w:val="0"/>
                <w:sz w:val="27"/>
                <w:szCs w:val="27"/>
              </w:rPr>
              <w:lastRenderedPageBreak/>
              <w:t>行政事业性收费</w:t>
            </w:r>
          </w:p>
        </w:tc>
        <w:tc>
          <w:tcPr>
            <w:tcW w:w="7305" w:type="dxa"/>
            <w:gridSpan w:val="3"/>
            <w:tcBorders>
              <w:top w:val="nil"/>
              <w:left w:val="nil"/>
              <w:bottom w:val="single" w:sz="8" w:space="0" w:color="auto"/>
              <w:right w:val="single" w:sz="8" w:space="0" w:color="000000"/>
            </w:tcBorders>
            <w:shd w:val="clear" w:color="auto" w:fill="auto"/>
            <w:tcMar>
              <w:top w:w="0" w:type="dxa"/>
              <w:left w:w="60" w:type="dxa"/>
              <w:bottom w:w="0" w:type="dxa"/>
              <w:right w:w="60" w:type="dxa"/>
            </w:tcMar>
            <w:vAlign w:val="center"/>
            <w:hideMark/>
          </w:tcPr>
          <w:p w:rsidR="00F11EAD" w:rsidRPr="00F11EAD" w:rsidRDefault="00F11EAD" w:rsidP="00F11EAD">
            <w:pPr>
              <w:widowControl/>
              <w:ind w:firstLine="3150"/>
              <w:jc w:val="left"/>
              <w:rPr>
                <w:rFonts w:ascii="Calibri" w:eastAsia="SimSun" w:hAnsi="Calibri" w:cs="SimSun"/>
                <w:kern w:val="0"/>
                <w:szCs w:val="21"/>
              </w:rPr>
            </w:pPr>
            <w:r w:rsidRPr="00F11EAD">
              <w:rPr>
                <w:rFonts w:ascii="SimSun" w:eastAsia="SimSun" w:hAnsi="SimSun" w:cs="SimSun" w:hint="eastAsia"/>
                <w:kern w:val="0"/>
                <w:sz w:val="24"/>
                <w:szCs w:val="24"/>
              </w:rPr>
              <w:t>0</w:t>
            </w:r>
          </w:p>
        </w:tc>
      </w:tr>
    </w:tbl>
    <w:p w:rsidR="00F11EAD" w:rsidRPr="00F11EAD" w:rsidRDefault="00F11EAD" w:rsidP="00F11EAD">
      <w:pPr>
        <w:widowControl/>
        <w:shd w:val="clear" w:color="auto" w:fill="FFFFFF"/>
        <w:wordWrap w:val="0"/>
        <w:spacing w:line="360" w:lineRule="atLeast"/>
        <w:jc w:val="left"/>
        <w:rPr>
          <w:rFonts w:ascii="Calibri" w:eastAsia="SimSun" w:hAnsi="Calibri" w:cs="SimSun"/>
          <w:color w:val="555555"/>
          <w:kern w:val="0"/>
          <w:szCs w:val="21"/>
        </w:rPr>
      </w:pPr>
      <w:r w:rsidRPr="00F11EAD">
        <w:rPr>
          <w:rFonts w:ascii="inherit" w:eastAsia="SimSun" w:hAnsi="inherit" w:cs="SimSun"/>
          <w:color w:val="424242"/>
          <w:kern w:val="0"/>
          <w:sz w:val="24"/>
          <w:szCs w:val="24"/>
        </w:rPr>
        <w:t> </w:t>
      </w:r>
      <w:r w:rsidRPr="00F11EAD">
        <w:rPr>
          <w:rFonts w:ascii="SimHei" w:eastAsia="SimHei" w:hAnsi="SimHei" w:cs="SimSun" w:hint="eastAsia"/>
          <w:color w:val="424242"/>
          <w:kern w:val="0"/>
          <w:sz w:val="32"/>
          <w:szCs w:val="32"/>
        </w:rPr>
        <w:t> </w:t>
      </w:r>
      <w:r w:rsidRPr="00F11EAD">
        <w:rPr>
          <w:rFonts w:ascii="SimHei" w:eastAsia="SimHei" w:hAnsi="SimHei" w:cs="SimSun" w:hint="eastAsia"/>
          <w:color w:val="424242"/>
          <w:kern w:val="0"/>
          <w:sz w:val="32"/>
          <w:szCs w:val="32"/>
        </w:rPr>
        <w:t>三、收到和处理政府信息公开申请情况</w:t>
      </w:r>
    </w:p>
    <w:tbl>
      <w:tblPr>
        <w:tblW w:w="9750" w:type="dxa"/>
        <w:jc w:val="center"/>
        <w:tblCellMar>
          <w:top w:w="15" w:type="dxa"/>
          <w:left w:w="15" w:type="dxa"/>
          <w:bottom w:w="15" w:type="dxa"/>
          <w:right w:w="15" w:type="dxa"/>
        </w:tblCellMar>
        <w:tblLook w:val="04A0" w:firstRow="1" w:lastRow="0" w:firstColumn="1" w:lastColumn="0" w:noHBand="0" w:noVBand="1"/>
      </w:tblPr>
      <w:tblGrid>
        <w:gridCol w:w="771"/>
        <w:gridCol w:w="958"/>
        <w:gridCol w:w="3177"/>
        <w:gridCol w:w="692"/>
        <w:gridCol w:w="692"/>
        <w:gridCol w:w="692"/>
        <w:gridCol w:w="692"/>
        <w:gridCol w:w="692"/>
        <w:gridCol w:w="692"/>
        <w:gridCol w:w="692"/>
      </w:tblGrid>
      <w:tr w:rsidR="00F11EAD" w:rsidRPr="00F11EAD" w:rsidTr="00F11EAD">
        <w:trPr>
          <w:jc w:val="center"/>
        </w:trPr>
        <w:tc>
          <w:tcPr>
            <w:tcW w:w="4906"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（本列数据的勾</w:t>
            </w:r>
            <w:proofErr w:type="gramStart"/>
            <w:r w:rsidRPr="00F11EAD">
              <w:rPr>
                <w:rFonts w:ascii="Microsoft YaHei" w:eastAsia="Microsoft YaHei" w:hAnsi="Microsoft YaHei" w:cs="SimSun" w:hint="eastAsia"/>
                <w:color w:val="424242"/>
                <w:kern w:val="0"/>
                <w:sz w:val="27"/>
                <w:szCs w:val="27"/>
              </w:rPr>
              <w:t>稽</w:t>
            </w:r>
            <w:proofErr w:type="gramEnd"/>
            <w:r w:rsidRPr="00F11EAD">
              <w:rPr>
                <w:rFonts w:ascii="Microsoft YaHei" w:eastAsia="Microsoft YaHei" w:hAnsi="Microsoft YaHei" w:cs="SimSun" w:hint="eastAsia"/>
                <w:color w:val="424242"/>
                <w:kern w:val="0"/>
                <w:sz w:val="27"/>
                <w:szCs w:val="27"/>
              </w:rPr>
              <w:t>关系为：第一项加第二项之和，等于第三项加第四项之和）</w:t>
            </w:r>
          </w:p>
        </w:tc>
        <w:tc>
          <w:tcPr>
            <w:tcW w:w="4844" w:type="dxa"/>
            <w:gridSpan w:val="7"/>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申请人情况</w:t>
            </w:r>
          </w:p>
        </w:tc>
      </w:tr>
      <w:tr w:rsidR="00F11EAD" w:rsidRPr="00F11EAD" w:rsidTr="00F11EAD">
        <w:trPr>
          <w:jc w:val="center"/>
        </w:trPr>
        <w:tc>
          <w:tcPr>
            <w:tcW w:w="0" w:type="auto"/>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692" w:type="dxa"/>
            <w:vMerge w:val="restart"/>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自然人</w:t>
            </w:r>
          </w:p>
        </w:tc>
        <w:tc>
          <w:tcPr>
            <w:tcW w:w="3460" w:type="dxa"/>
            <w:gridSpan w:val="5"/>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法人或其他组织</w:t>
            </w:r>
          </w:p>
        </w:tc>
        <w:tc>
          <w:tcPr>
            <w:tcW w:w="692" w:type="dxa"/>
            <w:vMerge w:val="restart"/>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总计</w:t>
            </w:r>
          </w:p>
        </w:tc>
      </w:tr>
      <w:tr w:rsidR="00F11EAD" w:rsidRPr="00F11EAD" w:rsidTr="00F11EAD">
        <w:trPr>
          <w:jc w:val="center"/>
        </w:trPr>
        <w:tc>
          <w:tcPr>
            <w:tcW w:w="0" w:type="auto"/>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商业</w:t>
            </w:r>
          </w:p>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企业</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科研</w:t>
            </w:r>
          </w:p>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机构</w:t>
            </w:r>
          </w:p>
        </w:tc>
        <w:tc>
          <w:tcPr>
            <w:tcW w:w="692" w:type="dxa"/>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社会公益组织</w:t>
            </w:r>
          </w:p>
        </w:tc>
        <w:tc>
          <w:tcPr>
            <w:tcW w:w="692" w:type="dxa"/>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法律服务机构</w:t>
            </w:r>
          </w:p>
        </w:tc>
        <w:tc>
          <w:tcPr>
            <w:tcW w:w="692" w:type="dxa"/>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其他</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r>
      <w:tr w:rsidR="00F11EAD" w:rsidRPr="00F11EAD" w:rsidTr="00F11EAD">
        <w:trPr>
          <w:jc w:val="center"/>
        </w:trPr>
        <w:tc>
          <w:tcPr>
            <w:tcW w:w="4906" w:type="dxa"/>
            <w:gridSpan w:val="3"/>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一、本年新收政府信息公开申请数量</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4906" w:type="dxa"/>
            <w:gridSpan w:val="3"/>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二、上年结转政府信息公开申请数量</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771" w:type="dxa"/>
            <w:vMerge w:val="restart"/>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三、本年度办理结果</w:t>
            </w:r>
          </w:p>
        </w:tc>
        <w:tc>
          <w:tcPr>
            <w:tcW w:w="4135" w:type="dxa"/>
            <w:gridSpan w:val="2"/>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（一）予以公开</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4135" w:type="dxa"/>
            <w:gridSpan w:val="2"/>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（二）部分公开（区分处理的，只计这一情形，不计其他情形）</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958" w:type="dxa"/>
            <w:vMerge w:val="restart"/>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（三）不予公开</w:t>
            </w: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1.属于国家秘密</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single" w:sz="8" w:space="0" w:color="auto"/>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2.其他法律行政法规禁止公开</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3.危及“三安全</w:t>
            </w:r>
            <w:proofErr w:type="gramStart"/>
            <w:r w:rsidRPr="00F11EAD">
              <w:rPr>
                <w:rFonts w:ascii="Microsoft YaHei" w:eastAsia="Microsoft YaHei" w:hAnsi="Microsoft YaHei" w:cs="SimSun" w:hint="eastAsia"/>
                <w:color w:val="424242"/>
                <w:kern w:val="0"/>
                <w:sz w:val="27"/>
                <w:szCs w:val="27"/>
              </w:rPr>
              <w:t>一</w:t>
            </w:r>
            <w:proofErr w:type="gramEnd"/>
            <w:r w:rsidRPr="00F11EAD">
              <w:rPr>
                <w:rFonts w:ascii="Microsoft YaHei" w:eastAsia="Microsoft YaHei" w:hAnsi="Microsoft YaHei" w:cs="SimSun" w:hint="eastAsia"/>
                <w:color w:val="424242"/>
                <w:kern w:val="0"/>
                <w:sz w:val="27"/>
                <w:szCs w:val="27"/>
              </w:rPr>
              <w:t>稳定”</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4.保护第三方合法权益</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5.属于三类内部事务信息</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6.属于四类过程性信息</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7.属于行政执法案卷</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8.属于行政查询事项</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958" w:type="dxa"/>
            <w:vMerge w:val="restart"/>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（四）无法提供</w:t>
            </w: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1.本机关不掌握相关政府信息</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2.没有现成信息需要另行制作</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3.补正后申请内容仍不明确</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958" w:type="dxa"/>
            <w:vMerge w:val="restart"/>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（五）</w:t>
            </w:r>
            <w:proofErr w:type="gramStart"/>
            <w:r w:rsidRPr="00F11EAD">
              <w:rPr>
                <w:rFonts w:ascii="Microsoft YaHei" w:eastAsia="Microsoft YaHei" w:hAnsi="Microsoft YaHei" w:cs="SimSun" w:hint="eastAsia"/>
                <w:color w:val="424242"/>
                <w:kern w:val="0"/>
                <w:sz w:val="27"/>
                <w:szCs w:val="27"/>
              </w:rPr>
              <w:t>不予处理</w:t>
            </w:r>
            <w:proofErr w:type="gramEnd"/>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1.信访举报投诉类申请</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2.重复申请</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3.要求提供公开出版物</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4.无正当理由大量反复申请</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trHeight w:val="78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5.要求行政机关确认或重新出具已获取信息</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958" w:type="dxa"/>
            <w:vMerge w:val="restart"/>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（六）其他处理</w:t>
            </w: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1.申请人无正当理由逾期</w:t>
            </w:r>
            <w:proofErr w:type="gramStart"/>
            <w:r w:rsidRPr="00F11EAD">
              <w:rPr>
                <w:rFonts w:ascii="Microsoft YaHei" w:eastAsia="Microsoft YaHei" w:hAnsi="Microsoft YaHei" w:cs="SimSun" w:hint="eastAsia"/>
                <w:color w:val="424242"/>
                <w:kern w:val="0"/>
                <w:sz w:val="27"/>
                <w:szCs w:val="27"/>
              </w:rPr>
              <w:t>不</w:t>
            </w:r>
            <w:proofErr w:type="gramEnd"/>
            <w:r w:rsidRPr="00F11EAD">
              <w:rPr>
                <w:rFonts w:ascii="Microsoft YaHei" w:eastAsia="Microsoft YaHei" w:hAnsi="Microsoft YaHei" w:cs="SimSun" w:hint="eastAsia"/>
                <w:color w:val="424242"/>
                <w:kern w:val="0"/>
                <w:sz w:val="27"/>
                <w:szCs w:val="27"/>
              </w:rPr>
              <w:t>补正、行政机关</w:t>
            </w:r>
            <w:proofErr w:type="gramStart"/>
            <w:r w:rsidRPr="00F11EAD">
              <w:rPr>
                <w:rFonts w:ascii="Microsoft YaHei" w:eastAsia="Microsoft YaHei" w:hAnsi="Microsoft YaHei" w:cs="SimSun" w:hint="eastAsia"/>
                <w:color w:val="424242"/>
                <w:kern w:val="0"/>
                <w:sz w:val="27"/>
                <w:szCs w:val="27"/>
              </w:rPr>
              <w:t>不</w:t>
            </w:r>
            <w:proofErr w:type="gramEnd"/>
            <w:r w:rsidRPr="00F11EAD">
              <w:rPr>
                <w:rFonts w:ascii="Microsoft YaHei" w:eastAsia="Microsoft YaHei" w:hAnsi="Microsoft YaHei" w:cs="SimSun" w:hint="eastAsia"/>
                <w:color w:val="424242"/>
                <w:kern w:val="0"/>
                <w:sz w:val="27"/>
                <w:szCs w:val="27"/>
              </w:rPr>
              <w:t>再处理其政府信息公开申请</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2.申请人逾期未按收费通知要求缴纳费用、行政机关</w:t>
            </w:r>
            <w:proofErr w:type="gramStart"/>
            <w:r w:rsidRPr="00F11EAD">
              <w:rPr>
                <w:rFonts w:ascii="Microsoft YaHei" w:eastAsia="Microsoft YaHei" w:hAnsi="Microsoft YaHei" w:cs="SimSun" w:hint="eastAsia"/>
                <w:color w:val="424242"/>
                <w:kern w:val="0"/>
                <w:sz w:val="27"/>
                <w:szCs w:val="27"/>
              </w:rPr>
              <w:t>不</w:t>
            </w:r>
            <w:proofErr w:type="gramEnd"/>
            <w:r w:rsidRPr="00F11EAD">
              <w:rPr>
                <w:rFonts w:ascii="Microsoft YaHei" w:eastAsia="Microsoft YaHei" w:hAnsi="Microsoft YaHei" w:cs="SimSun" w:hint="eastAsia"/>
                <w:color w:val="424242"/>
                <w:kern w:val="0"/>
                <w:sz w:val="27"/>
                <w:szCs w:val="27"/>
              </w:rPr>
              <w:t>再处理其政府信息公开申请</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3177"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3.其他</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4135" w:type="dxa"/>
            <w:gridSpan w:val="2"/>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（七）总计</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r w:rsidR="00F11EAD" w:rsidRPr="00F11EAD" w:rsidTr="00F11EAD">
        <w:trPr>
          <w:jc w:val="center"/>
        </w:trPr>
        <w:tc>
          <w:tcPr>
            <w:tcW w:w="4906" w:type="dxa"/>
            <w:gridSpan w:val="3"/>
            <w:tcBorders>
              <w:top w:val="nil"/>
              <w:left w:val="single" w:sz="8" w:space="0" w:color="auto"/>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left"/>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四、结转下年度继续办理</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92" w:type="dxa"/>
            <w:tcBorders>
              <w:top w:val="nil"/>
              <w:left w:val="nil"/>
              <w:bottom w:val="single" w:sz="8" w:space="0" w:color="auto"/>
              <w:right w:val="single" w:sz="8" w:space="0" w:color="auto"/>
            </w:tcBorders>
            <w:shd w:val="clear" w:color="auto" w:fill="auto"/>
            <w:tcMar>
              <w:top w:w="0" w:type="dxa"/>
              <w:left w:w="60" w:type="dxa"/>
              <w:bottom w:w="0" w:type="dxa"/>
              <w:right w:w="60" w:type="dxa"/>
            </w:tcMa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bl>
    <w:p w:rsidR="00F11EAD" w:rsidRPr="00F11EAD" w:rsidRDefault="00F11EAD" w:rsidP="00F11EAD">
      <w:pPr>
        <w:widowControl/>
        <w:shd w:val="clear" w:color="auto" w:fill="FFFFFF"/>
        <w:wordWrap w:val="0"/>
        <w:spacing w:line="560" w:lineRule="atLeast"/>
        <w:jc w:val="left"/>
        <w:rPr>
          <w:rFonts w:ascii="Calibri" w:eastAsia="SimSun" w:hAnsi="Calibri" w:cs="SimSun"/>
          <w:color w:val="555555"/>
          <w:kern w:val="0"/>
          <w:szCs w:val="21"/>
        </w:rPr>
      </w:pPr>
      <w:r w:rsidRPr="00F11EAD">
        <w:rPr>
          <w:rFonts w:ascii="inherit" w:eastAsia="SimSun" w:hAnsi="inherit" w:cs="SimSun"/>
          <w:color w:val="424242"/>
          <w:kern w:val="0"/>
          <w:sz w:val="27"/>
          <w:szCs w:val="27"/>
        </w:rPr>
        <w:t> </w:t>
      </w:r>
      <w:r w:rsidRPr="00F11EAD">
        <w:rPr>
          <w:rFonts w:ascii="inherit" w:eastAsia="SimSun" w:hAnsi="inherit" w:cs="SimSun"/>
          <w:color w:val="424242"/>
          <w:kern w:val="0"/>
          <w:sz w:val="27"/>
          <w:szCs w:val="27"/>
        </w:rPr>
        <w:t> </w:t>
      </w:r>
      <w:r w:rsidRPr="00F11EAD">
        <w:rPr>
          <w:rFonts w:ascii="SimHei" w:eastAsia="SimHei" w:hAnsi="SimHei" w:cs="SimSun" w:hint="eastAsia"/>
          <w:color w:val="424242"/>
          <w:kern w:val="0"/>
          <w:sz w:val="32"/>
          <w:szCs w:val="32"/>
        </w:rPr>
        <w:t>四、政府信息公开行政复议、行政诉讼情况</w:t>
      </w:r>
    </w:p>
    <w:tbl>
      <w:tblPr>
        <w:tblW w:w="9750" w:type="dxa"/>
        <w:jc w:val="center"/>
        <w:tblCellMar>
          <w:top w:w="15" w:type="dxa"/>
          <w:left w:w="15" w:type="dxa"/>
          <w:bottom w:w="15" w:type="dxa"/>
          <w:right w:w="15" w:type="dxa"/>
        </w:tblCellMar>
        <w:tblLook w:val="04A0" w:firstRow="1" w:lastRow="0" w:firstColumn="1" w:lastColumn="0" w:noHBand="0" w:noVBand="1"/>
      </w:tblPr>
      <w:tblGrid>
        <w:gridCol w:w="650"/>
        <w:gridCol w:w="650"/>
        <w:gridCol w:w="650"/>
        <w:gridCol w:w="650"/>
        <w:gridCol w:w="650"/>
        <w:gridCol w:w="650"/>
        <w:gridCol w:w="650"/>
        <w:gridCol w:w="650"/>
        <w:gridCol w:w="650"/>
        <w:gridCol w:w="650"/>
        <w:gridCol w:w="650"/>
        <w:gridCol w:w="650"/>
        <w:gridCol w:w="650"/>
        <w:gridCol w:w="650"/>
        <w:gridCol w:w="650"/>
      </w:tblGrid>
      <w:tr w:rsidR="00F11EAD" w:rsidRPr="00F11EAD" w:rsidTr="00F11EAD">
        <w:trPr>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行政复议</w:t>
            </w:r>
          </w:p>
        </w:tc>
        <w:tc>
          <w:tcPr>
            <w:tcW w:w="6500" w:type="dxa"/>
            <w:gridSpan w:val="10"/>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行政诉讼</w:t>
            </w:r>
          </w:p>
        </w:tc>
      </w:tr>
      <w:tr w:rsidR="00F11EAD" w:rsidRPr="00F11EAD" w:rsidTr="00F11EAD">
        <w:trPr>
          <w:jc w:val="center"/>
        </w:trPr>
        <w:tc>
          <w:tcPr>
            <w:tcW w:w="650" w:type="dxa"/>
            <w:vMerge w:val="restart"/>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结果维持</w:t>
            </w:r>
          </w:p>
        </w:tc>
        <w:tc>
          <w:tcPr>
            <w:tcW w:w="650" w:type="dxa"/>
            <w:vMerge w:val="restart"/>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结果</w:t>
            </w:r>
            <w:r w:rsidRPr="00F11EAD">
              <w:rPr>
                <w:rFonts w:ascii="Microsoft YaHei" w:eastAsia="Microsoft YaHei" w:hAnsi="Microsoft YaHei" w:cs="SimSun" w:hint="eastAsia"/>
                <w:color w:val="424242"/>
                <w:kern w:val="0"/>
                <w:sz w:val="27"/>
                <w:szCs w:val="27"/>
              </w:rPr>
              <w:br/>
              <w:t>纠正</w:t>
            </w:r>
          </w:p>
        </w:tc>
        <w:tc>
          <w:tcPr>
            <w:tcW w:w="650" w:type="dxa"/>
            <w:vMerge w:val="restart"/>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其他</w:t>
            </w:r>
            <w:r w:rsidRPr="00F11EAD">
              <w:rPr>
                <w:rFonts w:ascii="Microsoft YaHei" w:eastAsia="Microsoft YaHei" w:hAnsi="Microsoft YaHei" w:cs="SimSun" w:hint="eastAsia"/>
                <w:color w:val="424242"/>
                <w:kern w:val="0"/>
                <w:sz w:val="27"/>
                <w:szCs w:val="27"/>
              </w:rPr>
              <w:br/>
              <w:t>结果</w:t>
            </w:r>
          </w:p>
        </w:tc>
        <w:tc>
          <w:tcPr>
            <w:tcW w:w="650" w:type="dxa"/>
            <w:vMerge w:val="restart"/>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尚未</w:t>
            </w:r>
            <w:r w:rsidRPr="00F11EAD">
              <w:rPr>
                <w:rFonts w:ascii="Microsoft YaHei" w:eastAsia="Microsoft YaHei" w:hAnsi="Microsoft YaHei" w:cs="SimSun" w:hint="eastAsia"/>
                <w:color w:val="424242"/>
                <w:kern w:val="0"/>
                <w:sz w:val="27"/>
                <w:szCs w:val="27"/>
              </w:rPr>
              <w:br/>
              <w:t>审结</w:t>
            </w:r>
          </w:p>
        </w:tc>
        <w:tc>
          <w:tcPr>
            <w:tcW w:w="650" w:type="dxa"/>
            <w:vMerge w:val="restart"/>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总计</w:t>
            </w:r>
          </w:p>
        </w:tc>
        <w:tc>
          <w:tcPr>
            <w:tcW w:w="3250" w:type="dxa"/>
            <w:gridSpan w:val="5"/>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未经复议直接起诉</w:t>
            </w:r>
          </w:p>
        </w:tc>
        <w:tc>
          <w:tcPr>
            <w:tcW w:w="3250" w:type="dxa"/>
            <w:gridSpan w:val="5"/>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复议后起诉</w:t>
            </w:r>
          </w:p>
        </w:tc>
      </w:tr>
      <w:tr w:rsidR="00F11EAD" w:rsidRPr="00F11EAD" w:rsidTr="00F11EAD">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11EAD" w:rsidRPr="00F11EAD" w:rsidRDefault="00F11EAD" w:rsidP="00F11EAD">
            <w:pPr>
              <w:widowControl/>
              <w:jc w:val="left"/>
              <w:rPr>
                <w:rFonts w:ascii="Calibri" w:eastAsia="SimSun" w:hAnsi="Calibri" w:cs="SimSun"/>
                <w:kern w:val="0"/>
                <w:szCs w:val="21"/>
              </w:rPr>
            </w:pP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结果</w:t>
            </w:r>
            <w:r w:rsidRPr="00F11EAD">
              <w:rPr>
                <w:rFonts w:ascii="Microsoft YaHei" w:eastAsia="Microsoft YaHei" w:hAnsi="Microsoft YaHei" w:cs="SimSun" w:hint="eastAsia"/>
                <w:color w:val="424242"/>
                <w:kern w:val="0"/>
                <w:sz w:val="27"/>
                <w:szCs w:val="27"/>
              </w:rPr>
              <w:br/>
              <w:t>维持</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结果</w:t>
            </w:r>
            <w:r w:rsidRPr="00F11EAD">
              <w:rPr>
                <w:rFonts w:ascii="Microsoft YaHei" w:eastAsia="Microsoft YaHei" w:hAnsi="Microsoft YaHei" w:cs="SimSun" w:hint="eastAsia"/>
                <w:color w:val="424242"/>
                <w:kern w:val="0"/>
                <w:sz w:val="27"/>
                <w:szCs w:val="27"/>
              </w:rPr>
              <w:br/>
              <w:t>纠正</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其他</w:t>
            </w:r>
            <w:r w:rsidRPr="00F11EAD">
              <w:rPr>
                <w:rFonts w:ascii="Microsoft YaHei" w:eastAsia="Microsoft YaHei" w:hAnsi="Microsoft YaHei" w:cs="SimSun" w:hint="eastAsia"/>
                <w:color w:val="424242"/>
                <w:kern w:val="0"/>
                <w:sz w:val="27"/>
                <w:szCs w:val="27"/>
              </w:rPr>
              <w:br/>
              <w:t>结果</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尚未</w:t>
            </w:r>
            <w:r w:rsidRPr="00F11EAD">
              <w:rPr>
                <w:rFonts w:ascii="Microsoft YaHei" w:eastAsia="Microsoft YaHei" w:hAnsi="Microsoft YaHei" w:cs="SimSun" w:hint="eastAsia"/>
                <w:color w:val="424242"/>
                <w:kern w:val="0"/>
                <w:sz w:val="27"/>
                <w:szCs w:val="27"/>
              </w:rPr>
              <w:br/>
              <w:t>审结</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总计</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结果</w:t>
            </w:r>
            <w:r w:rsidRPr="00F11EAD">
              <w:rPr>
                <w:rFonts w:ascii="Microsoft YaHei" w:eastAsia="Microsoft YaHei" w:hAnsi="Microsoft YaHei" w:cs="SimSun" w:hint="eastAsia"/>
                <w:color w:val="424242"/>
                <w:kern w:val="0"/>
                <w:sz w:val="27"/>
                <w:szCs w:val="27"/>
              </w:rPr>
              <w:br/>
              <w:t>维持</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结果</w:t>
            </w:r>
            <w:r w:rsidRPr="00F11EAD">
              <w:rPr>
                <w:rFonts w:ascii="Microsoft YaHei" w:eastAsia="Microsoft YaHei" w:hAnsi="Microsoft YaHei" w:cs="SimSun" w:hint="eastAsia"/>
                <w:color w:val="424242"/>
                <w:kern w:val="0"/>
                <w:sz w:val="27"/>
                <w:szCs w:val="27"/>
              </w:rPr>
              <w:br/>
              <w:t>纠正</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其他</w:t>
            </w:r>
            <w:r w:rsidRPr="00F11EAD">
              <w:rPr>
                <w:rFonts w:ascii="Microsoft YaHei" w:eastAsia="Microsoft YaHei" w:hAnsi="Microsoft YaHei" w:cs="SimSun" w:hint="eastAsia"/>
                <w:color w:val="424242"/>
                <w:kern w:val="0"/>
                <w:sz w:val="27"/>
                <w:szCs w:val="27"/>
              </w:rPr>
              <w:br/>
              <w:t>结果</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尚未</w:t>
            </w:r>
            <w:r w:rsidRPr="00F11EAD">
              <w:rPr>
                <w:rFonts w:ascii="Microsoft YaHei" w:eastAsia="Microsoft YaHei" w:hAnsi="Microsoft YaHei" w:cs="SimSun" w:hint="eastAsia"/>
                <w:color w:val="424242"/>
                <w:kern w:val="0"/>
                <w:sz w:val="27"/>
                <w:szCs w:val="27"/>
              </w:rPr>
              <w:br/>
              <w:t>审结</w:t>
            </w:r>
          </w:p>
        </w:tc>
        <w:tc>
          <w:tcPr>
            <w:tcW w:w="6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424242"/>
                <w:kern w:val="0"/>
                <w:sz w:val="27"/>
                <w:szCs w:val="27"/>
              </w:rPr>
              <w:t>总计</w:t>
            </w:r>
          </w:p>
        </w:tc>
      </w:tr>
      <w:tr w:rsidR="00F11EAD" w:rsidRPr="00F11EAD" w:rsidTr="00F11EAD">
        <w:trPr>
          <w:trHeight w:val="675"/>
          <w:jc w:val="center"/>
        </w:trPr>
        <w:tc>
          <w:tcPr>
            <w:tcW w:w="650"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c>
          <w:tcPr>
            <w:tcW w:w="6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F11EAD" w:rsidRPr="00F11EAD" w:rsidRDefault="00F11EAD" w:rsidP="00F11EAD">
            <w:pPr>
              <w:widowControl/>
              <w:spacing w:line="560" w:lineRule="atLeast"/>
              <w:jc w:val="center"/>
              <w:rPr>
                <w:rFonts w:ascii="Calibri" w:eastAsia="SimSun" w:hAnsi="Calibri" w:cs="SimSun"/>
                <w:kern w:val="0"/>
                <w:szCs w:val="21"/>
              </w:rPr>
            </w:pPr>
            <w:r w:rsidRPr="00F11EAD">
              <w:rPr>
                <w:rFonts w:ascii="Microsoft YaHei" w:eastAsia="Microsoft YaHei" w:hAnsi="Microsoft YaHei" w:cs="SimSun" w:hint="eastAsia"/>
                <w:color w:val="000000"/>
                <w:kern w:val="0"/>
                <w:sz w:val="27"/>
                <w:szCs w:val="27"/>
              </w:rPr>
              <w:t>0</w:t>
            </w:r>
          </w:p>
        </w:tc>
      </w:tr>
    </w:tbl>
    <w:p w:rsidR="00F11EAD" w:rsidRPr="00F11EAD" w:rsidRDefault="00F11EAD" w:rsidP="00F11EAD">
      <w:pPr>
        <w:widowControl/>
        <w:shd w:val="clear" w:color="auto" w:fill="FFFFFF"/>
        <w:wordWrap w:val="0"/>
        <w:spacing w:line="450" w:lineRule="atLeast"/>
        <w:rPr>
          <w:rFonts w:ascii="Calibri" w:eastAsia="SimSun" w:hAnsi="Calibri" w:cs="SimSun"/>
          <w:color w:val="555555"/>
          <w:kern w:val="0"/>
          <w:szCs w:val="21"/>
        </w:rPr>
      </w:pPr>
      <w:r w:rsidRPr="00F11EAD">
        <w:rPr>
          <w:rFonts w:ascii="inherit" w:eastAsia="SimSun" w:hAnsi="inherit" w:cs="SimSun"/>
          <w:color w:val="424242"/>
          <w:kern w:val="0"/>
          <w:sz w:val="27"/>
          <w:szCs w:val="27"/>
        </w:rPr>
        <w:t> </w:t>
      </w:r>
      <w:r w:rsidRPr="00F11EAD">
        <w:rPr>
          <w:rFonts w:ascii="inherit" w:eastAsia="SimSun" w:hAnsi="inherit" w:cs="SimSun"/>
          <w:color w:val="424242"/>
          <w:kern w:val="0"/>
          <w:sz w:val="27"/>
          <w:szCs w:val="27"/>
        </w:rPr>
        <w:t>      </w:t>
      </w:r>
      <w:r w:rsidRPr="00F11EAD">
        <w:rPr>
          <w:rFonts w:ascii="SimHei" w:eastAsia="SimHei" w:hAnsi="SimHei" w:cs="SimSun" w:hint="eastAsia"/>
          <w:color w:val="424242"/>
          <w:kern w:val="0"/>
          <w:sz w:val="32"/>
          <w:szCs w:val="32"/>
        </w:rPr>
        <w:t>五、存在的主要问题及改进情况</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000000"/>
          <w:kern w:val="0"/>
          <w:szCs w:val="21"/>
        </w:rPr>
      </w:pPr>
      <w:r w:rsidRPr="00F11EAD">
        <w:rPr>
          <w:rFonts w:ascii="FangSong_GB2312" w:eastAsia="FangSong_GB2312" w:hAnsi="FangSong_GB2312" w:cs="SimSun" w:hint="eastAsia"/>
          <w:color w:val="000000"/>
          <w:kern w:val="0"/>
          <w:sz w:val="32"/>
          <w:szCs w:val="32"/>
        </w:rPr>
        <w:t>2022年，国家税务总局邢台市税务局的政府信息公开工作虽然取得了一定的成效，但仍存在税收政策解读形式有待丰富的问题，采取的措施为：优化政策解读形式，通过图文并茂、文字与视频、</w:t>
      </w:r>
      <w:proofErr w:type="gramStart"/>
      <w:r w:rsidRPr="00F11EAD">
        <w:rPr>
          <w:rFonts w:ascii="FangSong_GB2312" w:eastAsia="FangSong_GB2312" w:hAnsi="FangSong_GB2312" w:cs="SimSun" w:hint="eastAsia"/>
          <w:color w:val="000000"/>
          <w:kern w:val="0"/>
          <w:sz w:val="32"/>
          <w:szCs w:val="32"/>
        </w:rPr>
        <w:t>动漫等等</w:t>
      </w:r>
      <w:proofErr w:type="gramEnd"/>
      <w:r w:rsidRPr="00F11EAD">
        <w:rPr>
          <w:rFonts w:ascii="FangSong_GB2312" w:eastAsia="FangSong_GB2312" w:hAnsi="FangSong_GB2312" w:cs="SimSun" w:hint="eastAsia"/>
          <w:color w:val="000000"/>
          <w:kern w:val="0"/>
          <w:sz w:val="32"/>
          <w:szCs w:val="32"/>
        </w:rPr>
        <w:t>方式，提高政策解读能力，满足纳税人、缴费人多元化解读需求。</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000000"/>
          <w:kern w:val="0"/>
          <w:szCs w:val="21"/>
        </w:rPr>
      </w:pPr>
      <w:r w:rsidRPr="00F11EAD">
        <w:rPr>
          <w:rFonts w:ascii="SimHei" w:eastAsia="SimHei" w:hAnsi="SimHei" w:cs="SimSun"/>
          <w:color w:val="000000"/>
          <w:kern w:val="0"/>
          <w:sz w:val="32"/>
          <w:szCs w:val="32"/>
        </w:rPr>
        <w:t>六、其他需要报告的事项</w:t>
      </w:r>
    </w:p>
    <w:p w:rsidR="00F11EAD" w:rsidRPr="00F11EAD" w:rsidRDefault="00F11EAD" w:rsidP="00F11EAD">
      <w:pPr>
        <w:widowControl/>
        <w:shd w:val="clear" w:color="auto" w:fill="FFFFFF"/>
        <w:wordWrap w:val="0"/>
        <w:spacing w:line="450" w:lineRule="atLeast"/>
        <w:ind w:firstLine="640"/>
        <w:rPr>
          <w:rFonts w:ascii="Calibri" w:eastAsia="SimSun" w:hAnsi="Calibri" w:cs="SimSun"/>
          <w:color w:val="000000"/>
          <w:kern w:val="0"/>
          <w:szCs w:val="21"/>
        </w:rPr>
      </w:pPr>
      <w:r w:rsidRPr="00F11EAD">
        <w:rPr>
          <w:rFonts w:ascii="FangSong_GB2312" w:eastAsia="FangSong_GB2312" w:hAnsi="FangSong_GB2312" w:cs="SimSun" w:hint="eastAsia"/>
          <w:color w:val="000000"/>
          <w:kern w:val="0"/>
          <w:sz w:val="32"/>
          <w:szCs w:val="32"/>
        </w:rPr>
        <w:t>2022年本机关未收取信息处理费。</w:t>
      </w:r>
    </w:p>
    <w:p w:rsidR="007C46BA" w:rsidRDefault="007C46BA"/>
    <w:sectPr w:rsidR="007C46BA">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angSong_GB2312">
    <w:panose1 w:val="02010609060101010101"/>
    <w:charset w:val="86"/>
    <w:family w:val="modern"/>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AD"/>
    <w:rsid w:val="007C46BA"/>
    <w:rsid w:val="00F1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1EAD"/>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1EAD"/>
    <w:rPr>
      <w:rFonts w:ascii="SimSun" w:eastAsia="SimSun" w:hAnsi="SimSun" w:cs="SimSun"/>
      <w:b/>
      <w:bCs/>
      <w:kern w:val="36"/>
      <w:sz w:val="48"/>
      <w:szCs w:val="48"/>
    </w:rPr>
  </w:style>
  <w:style w:type="paragraph" w:styleId="a3">
    <w:name w:val="Normal (Web)"/>
    <w:basedOn w:val="a"/>
    <w:uiPriority w:val="99"/>
    <w:semiHidden/>
    <w:unhideWhenUsed/>
    <w:rsid w:val="00F11EAD"/>
    <w:pPr>
      <w:widowControl/>
      <w:spacing w:before="100" w:beforeAutospacing="1" w:after="100" w:afterAutospacing="1"/>
      <w:jc w:val="left"/>
    </w:pPr>
    <w:rPr>
      <w:rFonts w:ascii="SimSun" w:eastAsia="SimSun" w:hAnsi="SimSun" w:cs="SimSun"/>
      <w:kern w:val="0"/>
      <w:sz w:val="24"/>
      <w:szCs w:val="24"/>
    </w:rPr>
  </w:style>
  <w:style w:type="character" w:styleId="a4">
    <w:name w:val="Hyperlink"/>
    <w:basedOn w:val="a0"/>
    <w:uiPriority w:val="99"/>
    <w:semiHidden/>
    <w:unhideWhenUsed/>
    <w:rsid w:val="00F11E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1EAD"/>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1EAD"/>
    <w:rPr>
      <w:rFonts w:ascii="SimSun" w:eastAsia="SimSun" w:hAnsi="SimSun" w:cs="SimSun"/>
      <w:b/>
      <w:bCs/>
      <w:kern w:val="36"/>
      <w:sz w:val="48"/>
      <w:szCs w:val="48"/>
    </w:rPr>
  </w:style>
  <w:style w:type="paragraph" w:styleId="a3">
    <w:name w:val="Normal (Web)"/>
    <w:basedOn w:val="a"/>
    <w:uiPriority w:val="99"/>
    <w:semiHidden/>
    <w:unhideWhenUsed/>
    <w:rsid w:val="00F11EAD"/>
    <w:pPr>
      <w:widowControl/>
      <w:spacing w:before="100" w:beforeAutospacing="1" w:after="100" w:afterAutospacing="1"/>
      <w:jc w:val="left"/>
    </w:pPr>
    <w:rPr>
      <w:rFonts w:ascii="SimSun" w:eastAsia="SimSun" w:hAnsi="SimSun" w:cs="SimSun"/>
      <w:kern w:val="0"/>
      <w:sz w:val="24"/>
      <w:szCs w:val="24"/>
    </w:rPr>
  </w:style>
  <w:style w:type="character" w:styleId="a4">
    <w:name w:val="Hyperlink"/>
    <w:basedOn w:val="a0"/>
    <w:uiPriority w:val="99"/>
    <w:semiHidden/>
    <w:unhideWhenUsed/>
    <w:rsid w:val="00F11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51438">
      <w:bodyDiv w:val="1"/>
      <w:marLeft w:val="0"/>
      <w:marRight w:val="0"/>
      <w:marTop w:val="0"/>
      <w:marBottom w:val="0"/>
      <w:divBdr>
        <w:top w:val="none" w:sz="0" w:space="0" w:color="auto"/>
        <w:left w:val="none" w:sz="0" w:space="0" w:color="auto"/>
        <w:bottom w:val="none" w:sz="0" w:space="0" w:color="auto"/>
        <w:right w:val="none" w:sz="0" w:space="0" w:color="auto"/>
      </w:divBdr>
      <w:divsChild>
        <w:div w:id="1842772557">
          <w:marLeft w:val="0"/>
          <w:marRight w:val="0"/>
          <w:marTop w:val="0"/>
          <w:marBottom w:val="150"/>
          <w:divBdr>
            <w:top w:val="none" w:sz="0" w:space="0" w:color="auto"/>
            <w:left w:val="none" w:sz="0" w:space="0" w:color="auto"/>
            <w:bottom w:val="single" w:sz="6" w:space="0" w:color="E6E6E6"/>
            <w:right w:val="none" w:sz="0" w:space="0" w:color="auto"/>
          </w:divBdr>
        </w:div>
        <w:div w:id="1756198482">
          <w:marLeft w:val="0"/>
          <w:marRight w:val="0"/>
          <w:marTop w:val="0"/>
          <w:marBottom w:val="0"/>
          <w:divBdr>
            <w:top w:val="none" w:sz="0" w:space="0" w:color="auto"/>
            <w:left w:val="none" w:sz="0" w:space="0" w:color="auto"/>
            <w:bottom w:val="none" w:sz="0" w:space="0" w:color="auto"/>
            <w:right w:val="none" w:sz="0" w:space="0" w:color="auto"/>
          </w:divBdr>
          <w:divsChild>
            <w:div w:id="20421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2023-02-22T04:25:00Z</dcterms:created>
  <dc:creator>PC</dc:creator>
  <cp:lastModifiedBy>PC</cp:lastModifiedBy>
  <cp:lastPrinted>2023-02-22T04:26:00Z</cp:lastPrinted>
  <dcterms:modified xsi:type="dcterms:W3CDTF">2023-02-22T04:26:00Z</dcterms:modified>
  <cp:revision>1</cp:revision>
</cp:coreProperties>
</file>