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：YF</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YF.</w:t>
      </w:r>
      <w:r>
        <w:rPr>
          <w:rFonts w:hint="eastAsia" w:hAnsi="黑体"/>
          <w:lang w:val="en-US" w:eastAsia="zh-CN"/>
        </w:rPr>
        <w:t>210.</w:t>
      </w:r>
      <w:r>
        <w:rPr>
          <w:rFonts w:hAnsi="黑体"/>
        </w:rPr>
        <w:t>002—2022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办公用房建设和改造初审工作规范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6"/>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118280983"/>
      <w:bookmarkStart w:id="4" w:name="_Toc4951802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办公用房管理科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宋体"/>
          <w:color w:val="000000"/>
          <w:szCs w:val="21"/>
          <w:u w:val="single"/>
        </w:rPr>
        <w:t>办公用房管理科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郝建树、吴茜雅、方琰</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苏岩</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宋体"/>
          <w:color w:val="000000"/>
          <w:szCs w:val="21"/>
          <w:u w:val="single"/>
          <w:lang w:val="en-US" w:eastAsia="zh-CN"/>
        </w:rPr>
        <w:t>5</w:t>
      </w:r>
      <w:bookmarkStart w:id="24" w:name="_GoBack"/>
      <w:bookmarkEnd w:id="24"/>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2022-08-31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hint="eastAsia"/>
              </w:rPr>
            </w:pPr>
            <w:r>
              <w:rPr>
                <w:rFonts w:hint="eastAsia"/>
              </w:rPr>
              <w:t>1.0</w:t>
            </w:r>
          </w:p>
        </w:tc>
        <w:tc>
          <w:tcPr>
            <w:tcW w:w="1651" w:type="dxa"/>
          </w:tcPr>
          <w:p>
            <w:pPr>
              <w:jc w:val="center"/>
              <w:rPr>
                <w:rFonts w:hint="eastAsia"/>
              </w:rPr>
            </w:pPr>
            <w:r>
              <w:rPr>
                <w:rFonts w:hint="eastAsia"/>
              </w:rPr>
              <w:t>2020-10-20</w:t>
            </w:r>
          </w:p>
        </w:tc>
        <w:tc>
          <w:tcPr>
            <w:tcW w:w="1227" w:type="dxa"/>
          </w:tcPr>
          <w:p>
            <w:pPr>
              <w:jc w:val="center"/>
              <w:rPr>
                <w:rFonts w:hint="eastAsia"/>
              </w:rPr>
            </w:pPr>
            <w:r>
              <w:rPr>
                <w:rFonts w:hint="eastAsia"/>
              </w:rPr>
              <w:t>创建</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hint="eastAsia"/>
              </w:rPr>
            </w:pPr>
            <w:r>
              <w:rPr>
                <w:rFonts w:hint="eastAsia"/>
              </w:rPr>
              <w:t>2.0</w:t>
            </w:r>
          </w:p>
        </w:tc>
        <w:tc>
          <w:tcPr>
            <w:tcW w:w="1651" w:type="dxa"/>
          </w:tcPr>
          <w:p>
            <w:pPr>
              <w:jc w:val="center"/>
              <w:rPr>
                <w:rFonts w:hint="eastAsia"/>
              </w:rPr>
            </w:pPr>
            <w:r>
              <w:rPr>
                <w:rFonts w:hint="eastAsia"/>
              </w:rPr>
              <w:t>2022-09-01</w:t>
            </w:r>
          </w:p>
        </w:tc>
        <w:tc>
          <w:tcPr>
            <w:tcW w:w="1227" w:type="dxa"/>
          </w:tcPr>
          <w:p>
            <w:pPr>
              <w:jc w:val="center"/>
            </w:pPr>
            <w:r>
              <w:rPr>
                <w:rFonts w:hint="eastAsia"/>
              </w:rPr>
              <w:t>更改</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办公用房权属登记管理规范</w:t>
      </w:r>
    </w:p>
    <w:p>
      <w:pPr>
        <w:pStyle w:val="46"/>
        <w:spacing w:before="312" w:after="312"/>
      </w:pPr>
      <w:bookmarkStart w:id="6" w:name="_Toc118280984"/>
      <w:r>
        <w:rPr>
          <w:rFonts w:hint="eastAsia"/>
        </w:rPr>
        <w:t>范围</w:t>
      </w:r>
      <w:bookmarkEnd w:id="6"/>
    </w:p>
    <w:p>
      <w:pPr>
        <w:pStyle w:val="25"/>
        <w:tabs>
          <w:tab w:val="clear" w:pos="4201"/>
          <w:tab w:val="clear" w:pos="9298"/>
        </w:tabs>
      </w:pPr>
      <w:r>
        <w:rPr>
          <w:rFonts w:hint="eastAsia"/>
        </w:rPr>
        <w:t>本文件规定了邢台市市级机关不动产权属登记工作的术语和定义、基本要求、登记办理的要求。</w:t>
      </w:r>
    </w:p>
    <w:p>
      <w:pPr>
        <w:pStyle w:val="25"/>
      </w:pPr>
      <w:r>
        <w:rPr>
          <w:rFonts w:hint="eastAsia"/>
        </w:rPr>
        <w:t>本文件适用于邢台市机关后勤服务中心开展市级机关办公用房权属登记工作。</w:t>
      </w:r>
    </w:p>
    <w:p>
      <w:pPr>
        <w:pStyle w:val="46"/>
        <w:spacing w:before="312" w:after="312"/>
      </w:pPr>
      <w:bookmarkStart w:id="7" w:name="_Toc118280985"/>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《机关事务管理条例》（中华人民共和国国务院令第621号）</w:t>
      </w:r>
    </w:p>
    <w:p>
      <w:pPr>
        <w:pStyle w:val="25"/>
        <w:rPr>
          <w:rFonts w:hint="eastAsia"/>
        </w:rPr>
      </w:pPr>
      <w:r>
        <w:rPr>
          <w:rFonts w:hint="eastAsia"/>
        </w:rPr>
        <w:t>《河北省机关事务管理办法》（省政府令〔2013〕第4号）</w:t>
      </w:r>
    </w:p>
    <w:p>
      <w:pPr>
        <w:pStyle w:val="25"/>
        <w:rPr>
          <w:rFonts w:hint="eastAsia"/>
        </w:rPr>
      </w:pPr>
      <w:r>
        <w:rPr>
          <w:rFonts w:hint="eastAsia"/>
        </w:rPr>
        <w:t>《党政机关厉行节约反对浪费条例》（中发〔2013〕13号）</w:t>
      </w:r>
    </w:p>
    <w:p>
      <w:pPr>
        <w:pStyle w:val="25"/>
        <w:rPr>
          <w:rFonts w:hint="eastAsia"/>
        </w:rPr>
      </w:pPr>
      <w:r>
        <w:rPr>
          <w:rFonts w:hint="eastAsia"/>
        </w:rPr>
        <w:t>《党政机关办公用房管理办法》（中办发〔2017〕70号）</w:t>
      </w:r>
    </w:p>
    <w:p>
      <w:pPr>
        <w:pStyle w:val="25"/>
        <w:rPr>
          <w:rFonts w:hint="eastAsia"/>
        </w:rPr>
      </w:pPr>
      <w:r>
        <w:rPr>
          <w:rFonts w:hint="eastAsia"/>
        </w:rPr>
        <w:t>《河北省党政机关办公用房管理实施办法》（冀办发〔2018〕42号）</w:t>
      </w:r>
    </w:p>
    <w:p>
      <w:pPr>
        <w:pStyle w:val="25"/>
        <w:rPr>
          <w:color w:val="0070C0"/>
        </w:rPr>
      </w:pPr>
      <w:r>
        <w:rPr>
          <w:rFonts w:hint="eastAsia"/>
        </w:rPr>
        <w:t>《邢台市党政机关办公用房管理实施办法》（邢办发〔2020〕15号）</w:t>
      </w:r>
    </w:p>
    <w:p>
      <w:pPr>
        <w:pStyle w:val="46"/>
        <w:spacing w:before="312" w:after="312"/>
      </w:pPr>
      <w:bookmarkStart w:id="8" w:name="_Toc118280986"/>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党政机关</w:t>
      </w:r>
    </w:p>
    <w:p>
      <w:pPr>
        <w:pStyle w:val="25"/>
        <w:rPr>
          <w:rFonts w:ascii="Tahoma" w:hAnsi="Tahoma" w:cs="Tahoma"/>
          <w:color w:val="000000"/>
          <w:szCs w:val="21"/>
          <w:shd w:val="clear" w:color="auto" w:fill="FFFFFF"/>
        </w:rPr>
      </w:pPr>
      <w:r>
        <w:rPr>
          <w:rFonts w:hint="eastAsia"/>
        </w:rPr>
        <w:t>党的机关、人大机关、行政机关、政协机关、监察机关、监察机关、以及工会、共青团、妇联的等人民团体机关、各民主党派机关以及上述部门所属的行政单位和参照公务员法管理的事业单位。</w:t>
      </w:r>
    </w:p>
    <w:p>
      <w:pPr>
        <w:pStyle w:val="146"/>
      </w:pPr>
    </w:p>
    <w:p>
      <w:pPr>
        <w:pStyle w:val="148"/>
      </w:pPr>
      <w:r>
        <w:rPr>
          <w:rFonts w:hint="eastAsia"/>
        </w:rPr>
        <w:t>办公用房</w:t>
      </w:r>
    </w:p>
    <w:p>
      <w:pPr>
        <w:pStyle w:val="25"/>
        <w:rPr>
          <w:rFonts w:ascii="Tahoma" w:hAnsi="Tahoma" w:cs="Tahoma"/>
          <w:color w:val="000000"/>
          <w:szCs w:val="21"/>
          <w:shd w:val="clear" w:color="auto" w:fill="FFFFFF"/>
        </w:rPr>
      </w:pPr>
      <w:r>
        <w:rPr>
          <w:rFonts w:hint="eastAsia"/>
        </w:rPr>
        <w:t>党政机关占有、使用或者可以确认属于机关资产的，为保障党政机关正常运行需要设置的基本工作场所，包括办公室、服务用房、设备用房和附属用房。</w:t>
      </w:r>
    </w:p>
    <w:p>
      <w:pPr>
        <w:pStyle w:val="146"/>
      </w:pPr>
    </w:p>
    <w:p>
      <w:pPr>
        <w:pStyle w:val="148"/>
      </w:pPr>
      <w:r>
        <w:rPr>
          <w:rFonts w:hint="eastAsia"/>
        </w:rPr>
        <w:t>办公用房权属</w:t>
      </w:r>
    </w:p>
    <w:p>
      <w:pPr>
        <w:pStyle w:val="25"/>
        <w:rPr>
          <w:rFonts w:ascii="Tahoma" w:hAnsi="Tahoma" w:cs="Tahoma"/>
          <w:color w:val="000000"/>
          <w:szCs w:val="21"/>
          <w:shd w:val="clear" w:color="auto" w:fill="FFFFFF"/>
        </w:rPr>
      </w:pPr>
      <w:r>
        <w:rPr>
          <w:rFonts w:hint="eastAsia"/>
        </w:rPr>
        <w:t>办公用房权属包括房屋所有权、土地使用权等不动产权利。</w:t>
      </w:r>
    </w:p>
    <w:p>
      <w:pPr>
        <w:pStyle w:val="46"/>
        <w:spacing w:before="312" w:after="312"/>
      </w:pPr>
      <w:bookmarkStart w:id="9" w:name="_Toc118280987"/>
      <w:r>
        <w:rPr>
          <w:rFonts w:hint="eastAsia"/>
        </w:rPr>
        <w:t>总体要求</w:t>
      </w:r>
      <w:bookmarkEnd w:id="9"/>
    </w:p>
    <w:p>
      <w:pPr>
        <w:pStyle w:val="43"/>
        <w:spacing w:before="156" w:after="156"/>
        <w:rPr>
          <w:rFonts w:hint="eastAsia"/>
        </w:rPr>
      </w:pPr>
      <w:bookmarkStart w:id="10" w:name="_Toc118280988"/>
      <w:r>
        <w:rPr>
          <w:rFonts w:hint="eastAsia"/>
        </w:rPr>
        <w:t>总体原则</w:t>
      </w:r>
      <w:bookmarkEnd w:id="10"/>
    </w:p>
    <w:p>
      <w:pPr>
        <w:pStyle w:val="25"/>
        <w:rPr>
          <w:rFonts w:hint="eastAsia"/>
        </w:rPr>
      </w:pPr>
      <w:r>
        <w:rPr>
          <w:rFonts w:hint="eastAsia"/>
        </w:rPr>
        <w:t>市级党政机关办公用房权属应统一登记至市机关后勤服务中心名下，市机关后勤服务中心行使办公用房的产权人及其相应土地使用权人的职能。技术业务用房参照执行。</w:t>
      </w:r>
    </w:p>
    <w:p>
      <w:pPr>
        <w:pStyle w:val="43"/>
        <w:spacing w:before="156" w:after="156"/>
        <w:rPr>
          <w:rFonts w:hint="eastAsia"/>
        </w:rPr>
      </w:pPr>
      <w:bookmarkStart w:id="11" w:name="_Toc118280989"/>
      <w:r>
        <w:rPr>
          <w:rFonts w:hint="eastAsia"/>
        </w:rPr>
        <w:t>备案要求</w:t>
      </w:r>
      <w:bookmarkEnd w:id="11"/>
    </w:p>
    <w:p>
      <w:pPr>
        <w:pStyle w:val="147"/>
        <w:rPr>
          <w:rFonts w:hint="eastAsia"/>
        </w:rPr>
      </w:pPr>
      <w:r>
        <w:rPr>
          <w:rFonts w:hint="eastAsia"/>
        </w:rPr>
        <w:t>市级党政机关所属垂直管理机构、派出机构和驻外机构的办公用房权属应当登记在行政主管部门名下，其权属证书报市机关后勤服务中心备案。</w:t>
      </w:r>
    </w:p>
    <w:p>
      <w:pPr>
        <w:pStyle w:val="147"/>
        <w:rPr>
          <w:rFonts w:hint="eastAsia"/>
        </w:rPr>
      </w:pPr>
      <w:r>
        <w:rPr>
          <w:rFonts w:hint="eastAsia"/>
        </w:rPr>
        <w:t>涉及国家秘密、国家安全等特殊情况的，经市机关后勤服务中心核准，可以将办公用房权属登记在使用单位名下，其权属证书报市机关后勤服务中心备案。</w:t>
      </w:r>
    </w:p>
    <w:p>
      <w:pPr>
        <w:pStyle w:val="46"/>
        <w:spacing w:before="312" w:after="312"/>
        <w:rPr>
          <w:rFonts w:hint="eastAsia"/>
        </w:rPr>
      </w:pPr>
      <w:bookmarkStart w:id="12" w:name="_Toc118280990"/>
      <w:r>
        <w:rPr>
          <w:rFonts w:hint="eastAsia"/>
        </w:rPr>
        <w:t>登记情形</w:t>
      </w:r>
      <w:bookmarkEnd w:id="12"/>
    </w:p>
    <w:p>
      <w:pPr>
        <w:pStyle w:val="43"/>
        <w:spacing w:before="156" w:after="156"/>
        <w:rPr>
          <w:rFonts w:hint="eastAsia"/>
        </w:rPr>
      </w:pPr>
      <w:bookmarkStart w:id="13" w:name="_Toc118280991"/>
      <w:r>
        <w:rPr>
          <w:rFonts w:hint="eastAsia"/>
        </w:rPr>
        <w:t>初始登记和变更登记</w:t>
      </w:r>
      <w:bookmarkEnd w:id="13"/>
    </w:p>
    <w:p>
      <w:pPr>
        <w:pStyle w:val="147"/>
        <w:rPr>
          <w:rFonts w:hint="eastAsia"/>
        </w:rPr>
      </w:pPr>
      <w:r>
        <w:rPr>
          <w:rFonts w:hint="eastAsia"/>
        </w:rPr>
        <w:t>办公用房权属统一登记至市机关后勤服务中心前，权属应清晰、无纠纷、无争议，权源资料齐全，不应存在抵押、债务问题，并满足不动产登记部门办理初始登记或变更登记的相关要求。</w:t>
      </w:r>
    </w:p>
    <w:p>
      <w:pPr>
        <w:pStyle w:val="147"/>
        <w:rPr>
          <w:rFonts w:hint="eastAsia"/>
        </w:rPr>
      </w:pPr>
      <w:r>
        <w:rPr>
          <w:rFonts w:hint="eastAsia"/>
        </w:rPr>
        <w:t>权属不清、有争议的办公用房，由使用单位会同市机关后勤服务中心协调当事人，理清权属后办理权属登记手续。协调不成的，按照《土地权属争议调查处理办法》等有关规定，报请有关部门调处后办理权属登记手续。</w:t>
      </w:r>
    </w:p>
    <w:p>
      <w:pPr>
        <w:pStyle w:val="147"/>
        <w:rPr>
          <w:rFonts w:hint="eastAsia"/>
        </w:rPr>
      </w:pPr>
      <w:r>
        <w:rPr>
          <w:rFonts w:hint="eastAsia"/>
        </w:rPr>
        <w:t>市级自然资源、住房城乡建设部门应当加强对本级党政机关办公用房权属统一登记工作的指导和监督。</w:t>
      </w:r>
    </w:p>
    <w:p>
      <w:pPr>
        <w:pStyle w:val="147"/>
        <w:rPr>
          <w:rFonts w:hint="eastAsia"/>
        </w:rPr>
      </w:pPr>
      <w:r>
        <w:rPr>
          <w:rFonts w:hint="eastAsia"/>
        </w:rPr>
        <w:t>未经市机关后勤服务中心核准，使用单位不得自行处置办公用房权属，有关自然资源、住房城乡建设等有关部门及其工作机构不得直接受理使用单位提出的不动产权属登记申请事项。</w:t>
      </w:r>
    </w:p>
    <w:p>
      <w:pPr>
        <w:pStyle w:val="43"/>
        <w:spacing w:before="156" w:after="156"/>
        <w:rPr>
          <w:rFonts w:hint="eastAsia"/>
        </w:rPr>
      </w:pPr>
      <w:bookmarkStart w:id="14" w:name="_Toc118280992"/>
      <w:r>
        <w:rPr>
          <w:rFonts w:hint="eastAsia"/>
        </w:rPr>
        <w:t>办理程序</w:t>
      </w:r>
      <w:bookmarkEnd w:id="14"/>
    </w:p>
    <w:p>
      <w:pPr>
        <w:pStyle w:val="147"/>
        <w:rPr>
          <w:rFonts w:hint="eastAsia"/>
        </w:rPr>
      </w:pPr>
      <w:r>
        <w:rPr>
          <w:rFonts w:hint="eastAsia"/>
        </w:rPr>
        <w:t>按照“房地一体”的原则办理登记手续。暂不具备“房地一体”登记条件的，优先办理国有土地使用权登记，待条件具备后，再连同地上合法取得的房屋等建（构）筑物一体办理登记手续。</w:t>
      </w:r>
    </w:p>
    <w:p>
      <w:pPr>
        <w:pStyle w:val="147"/>
        <w:rPr>
          <w:rFonts w:hint="eastAsia"/>
        </w:rPr>
      </w:pPr>
      <w:r>
        <w:rPr>
          <w:rFonts w:hint="eastAsia"/>
        </w:rPr>
        <w:t>办公用房权属尚未办理初始登记的，使用单位应当在接到市机关后勤服务中心权属登记通知之日起 60日内，提供不动产登记所需材料，经市机关后勤服务中心审核到当地办理首次登记手续。</w:t>
      </w:r>
    </w:p>
    <w:p>
      <w:pPr>
        <w:pStyle w:val="147"/>
        <w:rPr>
          <w:rFonts w:hint="eastAsia"/>
        </w:rPr>
      </w:pPr>
      <w:r>
        <w:rPr>
          <w:rFonts w:hint="eastAsia"/>
        </w:rPr>
        <w:t>办公用房权属已作登记的，使用单位应当在接到市机关后勤服务中心权属登记通知之日起 60日内，将《不动产权证书》或《房屋所有权证》《国有土地使用权证》及其他原始购、建档案材料报送市机关后勤服务中心审核后，将权属变更登记到市机关后勤服务中心名下。</w:t>
      </w:r>
    </w:p>
    <w:p>
      <w:pPr>
        <w:pStyle w:val="147"/>
        <w:rPr>
          <w:rFonts w:hint="eastAsia"/>
        </w:rPr>
      </w:pPr>
      <w:r>
        <w:rPr>
          <w:rFonts w:hint="eastAsia"/>
        </w:rPr>
        <w:t>权属已作登记且有变化的，使用单位应当将有关变动情况整理成文字报告与变动批准文件资料、图件和权属证书等，报送市机关后勤服务中心审核后，将办公用房权属变更登记到市机关后勤服务中心名下。</w:t>
      </w:r>
    </w:p>
    <w:p>
      <w:pPr>
        <w:pStyle w:val="147"/>
        <w:rPr>
          <w:rFonts w:hint="eastAsia"/>
        </w:rPr>
      </w:pPr>
      <w:r>
        <w:rPr>
          <w:rFonts w:hint="eastAsia"/>
        </w:rPr>
        <w:t>新取得土地、新建成房屋以及办公用房权属统一登记后，发生区划调整或坐落、界址、用途、面积、国有建设用地使用权的权利期限等变化，以及发生征收、转让、互换、拆除、购置等行为的，使用单位应当在事项确定之日起 60日内，根据不动产登记类型，提供相应批准文件或证明资料、图件，报送市机关后勤服务中心审核后，办理相应权属登记手续。</w:t>
      </w:r>
    </w:p>
    <w:p>
      <w:pPr>
        <w:pStyle w:val="147"/>
        <w:rPr>
          <w:rFonts w:hint="eastAsia"/>
        </w:rPr>
      </w:pPr>
      <w:r>
        <w:rPr>
          <w:rFonts w:hint="eastAsia"/>
        </w:rPr>
        <w:t>权属资料遗失或者不齐全，以及原项目建设单位已撤销、合并的办公用房权属，由使用单位会同市机关后勤服务中心核实出具来源说明或证明文件，经有关市、县政府或自然资源、住房城乡建设等部门及其工作机构审核核实后，办理登记手续。具体情况包括：</w:t>
      </w:r>
    </w:p>
    <w:p>
      <w:pPr>
        <w:pStyle w:val="49"/>
        <w:rPr>
          <w:rFonts w:hint="eastAsia"/>
        </w:rPr>
      </w:pPr>
      <w:r>
        <w:rPr>
          <w:rFonts w:hint="eastAsia"/>
        </w:rPr>
        <w:t>原项目建设单位已撤销、合并的，由使用单位出具来源说明或证明文件，报市机关后勤服务中心出具审核意见办理登记手续。</w:t>
      </w:r>
    </w:p>
    <w:p>
      <w:pPr>
        <w:pStyle w:val="49"/>
        <w:rPr>
          <w:rFonts w:hint="eastAsia"/>
        </w:rPr>
      </w:pPr>
      <w:r>
        <w:rPr>
          <w:rFonts w:hint="eastAsia"/>
        </w:rPr>
        <w:t>不动产权属资料遗失或者不齐全的，由市机关后勤服务中心组织有关使用单位进行全面摸查，摸清基本情况，分类梳理汇总，建立台账。有关使用单位要主动全力收集齐全登记要件，主动协调主管部门或地方政府补办相关手续或出具同效文件代替登记要件。相关处理方法如下：</w:t>
      </w:r>
    </w:p>
    <w:p>
      <w:pPr>
        <w:pStyle w:val="50"/>
        <w:rPr>
          <w:rFonts w:hint="eastAsia"/>
        </w:rPr>
      </w:pPr>
      <w:r>
        <w:rPr>
          <w:rFonts w:hint="eastAsia"/>
        </w:rPr>
        <w:t>土地权属来源材料遗失或者不齐全的。对土地权属无争议、界线清楚的，使用单位会同市机关后勤服务中心核实情况，由市机关后勤服务中心出具确认盖章的权属来源说明函，经当地自然资源主管部门核实，依法由县级以上政府对认定合法使用的出具土地确权文件，载明土地使用权人、权利类型、权利性质、四至、用途、坐落、面积等情况，再办理相应不动产登记手续；</w:t>
      </w:r>
    </w:p>
    <w:p>
      <w:pPr>
        <w:pStyle w:val="50"/>
      </w:pPr>
      <w:r>
        <w:rPr>
          <w:rFonts w:hint="eastAsia"/>
        </w:rPr>
        <w:t>对原登记或批准用途与现用途不符、具备独立分宗或合宗条件和使用功能的地块，当地自然资源主管部门可按照市机关后勤服务中心审核意见和有关技术规范，办理土地分宗或合宗批准手续后办理登记；</w:t>
      </w:r>
    </w:p>
    <w:p>
      <w:pPr>
        <w:pStyle w:val="50"/>
        <w:rPr>
          <w:rFonts w:hint="eastAsia"/>
        </w:rPr>
      </w:pPr>
      <w:r>
        <w:rPr>
          <w:rFonts w:hint="eastAsia"/>
        </w:rPr>
        <w:t>不具备分宗或合宗条件的，待具备相应条件后再办理土地分宗或合宗批准手续。</w:t>
      </w:r>
    </w:p>
    <w:p>
      <w:pPr>
        <w:pStyle w:val="46"/>
        <w:spacing w:before="312" w:after="312"/>
        <w:rPr>
          <w:rFonts w:hint="eastAsia"/>
        </w:rPr>
      </w:pPr>
      <w:bookmarkStart w:id="15" w:name="_Toc118280993"/>
      <w:r>
        <w:rPr>
          <w:rFonts w:hint="eastAsia"/>
        </w:rPr>
        <w:t>审核程序</w:t>
      </w:r>
      <w:bookmarkEnd w:id="15"/>
    </w:p>
    <w:p>
      <w:pPr>
        <w:pStyle w:val="43"/>
        <w:spacing w:before="156" w:after="156"/>
        <w:rPr>
          <w:rFonts w:hint="eastAsia"/>
        </w:rPr>
      </w:pPr>
      <w:bookmarkStart w:id="16" w:name="_Toc118280994"/>
      <w:r>
        <w:rPr>
          <w:rFonts w:hint="eastAsia"/>
        </w:rPr>
        <w:t>申报申请</w:t>
      </w:r>
      <w:bookmarkEnd w:id="16"/>
    </w:p>
    <w:p>
      <w:pPr>
        <w:pStyle w:val="25"/>
        <w:rPr>
          <w:rFonts w:hint="eastAsia"/>
        </w:rPr>
      </w:pPr>
      <w:r>
        <w:rPr>
          <w:rFonts w:hint="eastAsia"/>
        </w:rPr>
        <w:t>办理不动产登记前，使用单位或管理单位应经行政主管部门书面报请市机关事务管理部门，并提供要件材料，确定办理代理人。</w:t>
      </w:r>
    </w:p>
    <w:p>
      <w:pPr>
        <w:pStyle w:val="43"/>
        <w:spacing w:before="156" w:after="156"/>
        <w:rPr>
          <w:rFonts w:hint="eastAsia"/>
        </w:rPr>
      </w:pPr>
      <w:bookmarkStart w:id="17" w:name="_Toc118280995"/>
      <w:r>
        <w:rPr>
          <w:rFonts w:hint="eastAsia"/>
        </w:rPr>
        <w:t>要件材料</w:t>
      </w:r>
      <w:bookmarkEnd w:id="17"/>
    </w:p>
    <w:p>
      <w:pPr>
        <w:pStyle w:val="47"/>
        <w:spacing w:before="156" w:after="156"/>
        <w:rPr>
          <w:rFonts w:hint="eastAsia"/>
        </w:rPr>
      </w:pPr>
      <w:r>
        <w:rPr>
          <w:rFonts w:hint="eastAsia"/>
        </w:rPr>
        <w:t>国有建设用地使用权登记</w:t>
      </w:r>
    </w:p>
    <w:p>
      <w:pPr>
        <w:pStyle w:val="52"/>
      </w:pPr>
      <w:r>
        <w:rPr>
          <w:rFonts w:hint="eastAsia"/>
        </w:rPr>
        <w:t>首次登记</w:t>
      </w:r>
    </w:p>
    <w:p>
      <w:pPr>
        <w:pStyle w:val="25"/>
        <w:rPr>
          <w:rFonts w:hint="eastAsia"/>
        </w:rPr>
      </w:pPr>
      <w:r>
        <w:rPr>
          <w:rFonts w:hint="eastAsia"/>
        </w:rPr>
        <w:t>项目立项、批准用地文件和规划许可、征用地红线图、划拨决定书（或出让、租赁协议书、交缴土地出让金或租金凭证、作价出资或入股、授权经营批准文件）、不动产籍调查表、宗地图、界址点坐标成果表、地籍调查报告、门牌号码使用证明和纠纷争议解决后的协议书、不动产权属争议原由书等。</w:t>
      </w:r>
    </w:p>
    <w:p>
      <w:pPr>
        <w:pStyle w:val="52"/>
      </w:pPr>
      <w:r>
        <w:rPr>
          <w:rFonts w:hint="eastAsia"/>
        </w:rPr>
        <w:t>变更登记</w:t>
      </w:r>
    </w:p>
    <w:p>
      <w:pPr>
        <w:pStyle w:val="56"/>
        <w:spacing w:before="0" w:beforeLines="0" w:after="0" w:afterLines="0"/>
        <w:rPr>
          <w:rFonts w:eastAsiaTheme="minorEastAsia"/>
        </w:rPr>
      </w:pPr>
      <w:r>
        <w:rPr>
          <w:rFonts w:hint="eastAsia" w:eastAsiaTheme="minorEastAsia"/>
        </w:rPr>
        <w:t>门牌坐落发生变化的证明、土地面积、界址范围变更后的不动产地籍调查表、宗地图、宗地界址点坐标地籍调查报告和旧地籍调查表、宗地图、界址点成果表和市有关部门对土地变化的批复意见等。</w:t>
      </w:r>
    </w:p>
    <w:p>
      <w:pPr>
        <w:pStyle w:val="56"/>
        <w:spacing w:before="0" w:beforeLines="0" w:after="0" w:afterLines="0"/>
        <w:rPr>
          <w:rFonts w:eastAsiaTheme="minorEastAsia"/>
        </w:rPr>
      </w:pPr>
      <w:r>
        <w:rPr>
          <w:rFonts w:hint="eastAsia" w:eastAsiaTheme="minorEastAsia"/>
        </w:rPr>
        <w:t>部分土地灭失的，还需提交证实土地灭失的材料。</w:t>
      </w:r>
    </w:p>
    <w:p>
      <w:pPr>
        <w:pStyle w:val="56"/>
        <w:spacing w:before="0" w:beforeLines="0" w:after="0" w:afterLines="0"/>
        <w:rPr>
          <w:rFonts w:eastAsiaTheme="minorEastAsia"/>
        </w:rPr>
      </w:pPr>
      <w:r>
        <w:rPr>
          <w:rFonts w:hint="eastAsia" w:eastAsiaTheme="minorEastAsia"/>
        </w:rPr>
        <w:t>土地用途变更的，还需提交自然资源和规划部门出具的批准用地文件，土地出让合同补充协议以及补交土地出让价款凭证。</w:t>
      </w:r>
    </w:p>
    <w:p>
      <w:pPr>
        <w:pStyle w:val="56"/>
        <w:spacing w:before="0" w:beforeLines="0" w:after="0" w:afterLines="0"/>
        <w:rPr>
          <w:rFonts w:eastAsiaTheme="minorEastAsia"/>
        </w:rPr>
      </w:pPr>
      <w:r>
        <w:rPr>
          <w:rFonts w:hint="eastAsia" w:eastAsiaTheme="minorEastAsia"/>
        </w:rPr>
        <w:t>权利期限发生变化的，还需提交自然资源和规划部门出具的批准文件、出让合同补充协议以及补交清土地出让价款凭证。</w:t>
      </w:r>
    </w:p>
    <w:p>
      <w:pPr>
        <w:pStyle w:val="56"/>
        <w:spacing w:before="0" w:beforeLines="0" w:after="0" w:afterLines="0"/>
        <w:rPr>
          <w:rFonts w:hint="eastAsia" w:eastAsiaTheme="minorEastAsia"/>
        </w:rPr>
      </w:pPr>
      <w:r>
        <w:rPr>
          <w:rFonts w:hint="eastAsia" w:eastAsiaTheme="minorEastAsia"/>
        </w:rPr>
        <w:t>同一权利人土地分割或者合并国有建设用地的，还需提交自然资源和规划部门同意分割合并的批准文件等。</w:t>
      </w:r>
    </w:p>
    <w:p>
      <w:pPr>
        <w:pStyle w:val="52"/>
      </w:pPr>
      <w:r>
        <w:rPr>
          <w:rFonts w:hint="eastAsia"/>
        </w:rPr>
        <w:t>转移登记</w:t>
      </w:r>
    </w:p>
    <w:p>
      <w:pPr>
        <w:pStyle w:val="25"/>
        <w:rPr>
          <w:rFonts w:hint="eastAsia"/>
        </w:rPr>
      </w:pPr>
      <w:r>
        <w:rPr>
          <w:rFonts w:hint="eastAsia"/>
        </w:rPr>
        <w:t>买卖合同、互换合同、人民法院或仲裁委员会生效的法律文书、有批准权人民政府的批准文件和市有关部门对土地转移的批复意见、地籍调查表、宗地图、界址点坐标成果表、转移登记前的不动产权证书等。</w:t>
      </w:r>
    </w:p>
    <w:p>
      <w:pPr>
        <w:pStyle w:val="52"/>
      </w:pPr>
      <w:r>
        <w:rPr>
          <w:rFonts w:hint="eastAsia"/>
        </w:rPr>
        <w:t>注销登记</w:t>
      </w:r>
    </w:p>
    <w:p>
      <w:pPr>
        <w:pStyle w:val="25"/>
        <w:rPr>
          <w:rFonts w:hint="eastAsia"/>
        </w:rPr>
      </w:pPr>
      <w:r>
        <w:rPr>
          <w:rFonts w:hint="eastAsia"/>
        </w:rPr>
        <w:t>提交灭失材料、被收回国有建设用地使用权的，提交人民政府生效的决定书、人民法院或仲裁委员会生效的法律文书和市有关部门对土地灭失的批复意见、地籍调查表、宗地图、界址点成果表、地籍调查报告等。</w:t>
      </w:r>
    </w:p>
    <w:p>
      <w:pPr>
        <w:pStyle w:val="47"/>
        <w:spacing w:before="156" w:after="156"/>
        <w:rPr>
          <w:rFonts w:hint="eastAsia"/>
        </w:rPr>
      </w:pPr>
      <w:r>
        <w:rPr>
          <w:rFonts w:hint="eastAsia"/>
        </w:rPr>
        <w:t>国有建设用地使用权及房屋所有权登记</w:t>
      </w:r>
    </w:p>
    <w:p>
      <w:pPr>
        <w:pStyle w:val="52"/>
      </w:pPr>
      <w:r>
        <w:rPr>
          <w:rFonts w:hint="eastAsia"/>
        </w:rPr>
        <w:t>首次登记</w:t>
      </w:r>
    </w:p>
    <w:p>
      <w:pPr>
        <w:pStyle w:val="25"/>
        <w:rPr>
          <w:rFonts w:hint="eastAsia"/>
        </w:rPr>
      </w:pPr>
      <w:r>
        <w:rPr>
          <w:rFonts w:hint="eastAsia"/>
        </w:rPr>
        <w:t>建设用地使用权证明、建设工程符合规划的证明、建设规划竣工验收合格函、房屋已竣工证明、房屋测绘报告、房屋和构（建）筑物调查表地籍调查表、落宗图、界址点坐标成果表、城建收费完费证明、门牌号码使用证明、原地上建筑物是否注销的情况说明、规划审批的总平面图及各层平面图。</w:t>
      </w:r>
    </w:p>
    <w:p>
      <w:pPr>
        <w:pStyle w:val="52"/>
      </w:pPr>
      <w:r>
        <w:rPr>
          <w:rFonts w:hint="eastAsia"/>
        </w:rPr>
        <w:t>变更登记</w:t>
      </w:r>
    </w:p>
    <w:p>
      <w:pPr>
        <w:pStyle w:val="25"/>
        <w:rPr>
          <w:rFonts w:hint="eastAsia"/>
        </w:rPr>
      </w:pPr>
      <w:r>
        <w:rPr>
          <w:rFonts w:hint="eastAsia"/>
        </w:rPr>
        <w:t>房屋面积、界址范围发生变化的，应提交变更后的不动产权籍调查表、宗地图、宗地界址点成果表外，再提供部分土地收回引起房屋面积、界址变更的人民政府收回决定书，改建扩建引起房屋面积、界址变更的再提供规划验收和房屋竣工验收文件，部分房屋灭失的提交房屋灭失的材料，其他面积、界址变更情形提交有权机关出具的批准文件，用途发生变化的，提交自然资源规划部门批准文件、签订的土地出让合同和土地出让价款和相关税费交缴凭证，同一权利人分割或合并不动产，应提交相关部门同意分割合并批准文件等。</w:t>
      </w:r>
    </w:p>
    <w:p>
      <w:pPr>
        <w:pStyle w:val="52"/>
      </w:pPr>
      <w:r>
        <w:rPr>
          <w:rFonts w:hint="eastAsia"/>
        </w:rPr>
        <w:t>转移登记</w:t>
      </w:r>
    </w:p>
    <w:p>
      <w:pPr>
        <w:pStyle w:val="25"/>
        <w:rPr>
          <w:rFonts w:hint="eastAsia"/>
        </w:rPr>
      </w:pPr>
      <w:r>
        <w:rPr>
          <w:rFonts w:hint="eastAsia"/>
        </w:rPr>
        <w:t>买卖合同、互换协议、有关部门批准的划转、作价出资（入股）、分割合并文件、人民法院或仲裁委员会生效的法律文书、不动产权籍调查表、宗地图、宗地界址点成果表等。</w:t>
      </w:r>
    </w:p>
    <w:p>
      <w:pPr>
        <w:pStyle w:val="52"/>
      </w:pPr>
      <w:r>
        <w:rPr>
          <w:rFonts w:hint="eastAsia"/>
        </w:rPr>
        <w:t>注销登记</w:t>
      </w:r>
    </w:p>
    <w:p>
      <w:pPr>
        <w:pStyle w:val="25"/>
        <w:rPr>
          <w:rFonts w:hint="eastAsia"/>
        </w:rPr>
      </w:pPr>
      <w:r>
        <w:rPr>
          <w:rFonts w:hint="eastAsia"/>
        </w:rPr>
        <w:t>不动产灭失的材料，人民政府征收、收回不动产的生效决定书，人民法院或仲裁委员会生效的法律文书、不动产权籍调查表、宗地图、宗地界址点成果表等。</w:t>
      </w:r>
    </w:p>
    <w:p>
      <w:pPr>
        <w:pStyle w:val="46"/>
        <w:spacing w:before="312" w:after="312"/>
        <w:rPr>
          <w:rFonts w:hint="eastAsia"/>
        </w:rPr>
      </w:pPr>
      <w:bookmarkStart w:id="18" w:name="_Toc118280996"/>
      <w:r>
        <w:rPr>
          <w:rFonts w:hint="eastAsia"/>
        </w:rPr>
        <w:t>审核结果</w:t>
      </w:r>
      <w:bookmarkEnd w:id="18"/>
    </w:p>
    <w:p>
      <w:pPr>
        <w:pStyle w:val="25"/>
        <w:rPr>
          <w:rFonts w:hint="eastAsia"/>
        </w:rPr>
      </w:pPr>
      <w:r>
        <w:rPr>
          <w:rFonts w:hint="eastAsia"/>
        </w:rPr>
        <w:t>审核完毕后，根据申请单位申请情形，出具认定书，办理相应委托手续。</w:t>
      </w:r>
    </w:p>
    <w:p>
      <w:pPr>
        <w:pStyle w:val="46"/>
        <w:spacing w:before="312" w:after="312"/>
        <w:rPr>
          <w:rFonts w:hint="eastAsia"/>
        </w:rPr>
      </w:pPr>
      <w:bookmarkStart w:id="19" w:name="_Toc118280997"/>
      <w:r>
        <w:rPr>
          <w:rFonts w:hint="eastAsia"/>
        </w:rPr>
        <w:t>登记成果</w:t>
      </w:r>
      <w:bookmarkEnd w:id="19"/>
    </w:p>
    <w:p>
      <w:pPr>
        <w:pStyle w:val="146"/>
        <w:rPr>
          <w:rFonts w:hint="eastAsia"/>
        </w:rPr>
      </w:pPr>
      <w:r>
        <w:rPr>
          <w:rFonts w:hint="eastAsia"/>
        </w:rPr>
        <w:t>除注销登记外的不动产权证书。</w:t>
      </w:r>
    </w:p>
    <w:p>
      <w:pPr>
        <w:pStyle w:val="146"/>
        <w:rPr>
          <w:rFonts w:hint="eastAsia"/>
        </w:rPr>
      </w:pPr>
      <w:r>
        <w:rPr>
          <w:rFonts w:hint="eastAsia"/>
        </w:rPr>
        <w:t>单位领取不动产权证书 15日内，将其交市机关后勤服务中心统一保管。</w:t>
      </w:r>
    </w:p>
    <w:p>
      <w:pPr>
        <w:pStyle w:val="46"/>
        <w:spacing w:before="312" w:after="312"/>
        <w:rPr>
          <w:rFonts w:hint="eastAsia"/>
        </w:rPr>
      </w:pPr>
      <w:bookmarkStart w:id="20" w:name="_Toc118280998"/>
      <w:r>
        <w:rPr>
          <w:rFonts w:hint="eastAsia"/>
        </w:rPr>
        <w:t>相关文件样式</w:t>
      </w:r>
      <w:bookmarkEnd w:id="20"/>
    </w:p>
    <w:p>
      <w:pPr>
        <w:pStyle w:val="25"/>
        <w:rPr>
          <w:rFonts w:hint="eastAsia"/>
        </w:rPr>
      </w:pPr>
      <w:r>
        <w:rPr>
          <w:rFonts w:hint="eastAsia"/>
        </w:rPr>
        <w:t>邢台市市直机关不动产产权登记认定书样式见附录A；授权委托书样式见附录B。</w:t>
      </w:r>
    </w:p>
    <w:p>
      <w:pPr>
        <w:pStyle w:val="149"/>
        <w:numPr>
          <w:ilvl w:val="0"/>
          <w:numId w:val="0"/>
        </w:numPr>
        <w:ind w:firstLine="420"/>
      </w:pPr>
    </w:p>
    <w:p>
      <w:pPr>
        <w:pStyle w:val="25"/>
      </w:pPr>
    </w:p>
    <w:p>
      <w:pPr>
        <w:pStyle w:val="99"/>
      </w:pPr>
    </w:p>
    <w:p>
      <w:pPr>
        <w:pStyle w:val="87"/>
        <w:tabs>
          <w:tab w:val="clear" w:pos="0"/>
        </w:tabs>
      </w:pPr>
    </w:p>
    <w:p>
      <w:pPr>
        <w:pStyle w:val="85"/>
        <w:numPr>
          <w:ilvl w:val="0"/>
          <w:numId w:val="20"/>
        </w:numPr>
        <w:tabs>
          <w:tab w:val="clear" w:pos="360"/>
        </w:tabs>
      </w:pPr>
      <w:r>
        <w:br w:type="textWrapping"/>
      </w:r>
      <w:bookmarkStart w:id="21" w:name="_Toc59893881"/>
      <w:bookmarkStart w:id="22" w:name="_Toc118280999"/>
      <w:r>
        <w:rPr>
          <w:rFonts w:hint="eastAsia"/>
        </w:rPr>
        <w:t>（资料性）</w:t>
      </w:r>
      <w:r>
        <w:br w:type="textWrapping"/>
      </w:r>
      <w:bookmarkEnd w:id="21"/>
      <w:r>
        <w:rPr>
          <w:rFonts w:hint="eastAsia"/>
        </w:rPr>
        <w:t>邢台市市直机关不动产产权登记认定书样式</w:t>
      </w:r>
      <w:bookmarkEnd w:id="22"/>
    </w:p>
    <w:p>
      <w:pPr>
        <w:jc w:val="center"/>
        <w:rPr>
          <w:b/>
          <w:bCs/>
          <w:color w:val="000000"/>
          <w:sz w:val="36"/>
          <w:szCs w:val="36"/>
        </w:rPr>
      </w:pPr>
      <w:r>
        <w:rPr>
          <w:rFonts w:hint="eastAsia"/>
          <w:b/>
          <w:bCs/>
          <w:color w:val="000000"/>
          <w:sz w:val="36"/>
          <w:szCs w:val="36"/>
        </w:rPr>
        <w:t>邢台市市直行政事业单位不动产产权登记认定书</w:t>
      </w:r>
    </w:p>
    <w:p>
      <w:pPr>
        <w:jc w:val="center"/>
        <w:rPr>
          <w:color w:val="000000"/>
        </w:rPr>
      </w:pPr>
      <w:r>
        <w:rPr>
          <w:rFonts w:hint="eastAsia"/>
          <w:color w:val="000000"/>
        </w:rPr>
        <w:t>（存   根）</w:t>
      </w:r>
    </w:p>
    <w:p>
      <w:pPr>
        <w:jc w:val="center"/>
        <w:rPr>
          <w:color w:val="000000"/>
        </w:rPr>
      </w:pPr>
    </w:p>
    <w:p>
      <w:pPr>
        <w:spacing w:after="156" w:afterLines="50"/>
        <w:rPr>
          <w:color w:val="000000"/>
          <w:sz w:val="30"/>
          <w:szCs w:val="30"/>
        </w:rPr>
      </w:pPr>
      <w:r>
        <w:rPr>
          <w:rFonts w:hint="eastAsia"/>
          <w:color w:val="000000"/>
          <w:sz w:val="30"/>
          <w:szCs w:val="30"/>
        </w:rPr>
        <w:t>编号：     年第      号</w:t>
      </w:r>
    </w:p>
    <w:p>
      <w:pPr>
        <w:ind w:firstLine="600" w:firstLineChars="200"/>
        <w:jc w:val="left"/>
        <w:rPr>
          <w:color w:val="000000"/>
          <w:sz w:val="30"/>
          <w:szCs w:val="30"/>
        </w:rPr>
      </w:pPr>
      <w:r>
        <w:rPr>
          <w:rFonts w:hint="eastAsia"/>
          <w:color w:val="000000"/>
          <w:sz w:val="30"/>
          <w:szCs w:val="30"/>
        </w:rPr>
        <w:t>国用</w:t>
      </w:r>
      <w:r>
        <w:rPr>
          <w:rFonts w:hint="eastAsia"/>
          <w:color w:val="000000"/>
          <w:sz w:val="30"/>
          <w:szCs w:val="30"/>
          <w:u w:val="single"/>
        </w:rPr>
        <w:t>（ ）</w:t>
      </w:r>
      <w:r>
        <w:rPr>
          <w:rFonts w:hint="eastAsia"/>
          <w:color w:val="000000"/>
          <w:sz w:val="30"/>
          <w:szCs w:val="30"/>
        </w:rPr>
        <w:t>字第</w:t>
      </w:r>
      <w:r>
        <w:rPr>
          <w:rFonts w:hint="eastAsia"/>
          <w:color w:val="000000"/>
          <w:sz w:val="30"/>
          <w:szCs w:val="30"/>
          <w:u w:val="single"/>
        </w:rPr>
        <w:t xml:space="preserve">    </w:t>
      </w:r>
      <w:r>
        <w:rPr>
          <w:rFonts w:hint="eastAsia"/>
          <w:color w:val="000000"/>
          <w:sz w:val="30"/>
          <w:szCs w:val="30"/>
        </w:rPr>
        <w:t>号土地证登记在</w:t>
      </w:r>
      <w:r>
        <w:rPr>
          <w:rFonts w:hint="eastAsia"/>
          <w:color w:val="000000"/>
          <w:sz w:val="30"/>
          <w:szCs w:val="30"/>
          <w:u w:val="single"/>
        </w:rPr>
        <w:t xml:space="preserve">    </w:t>
      </w:r>
      <w:r>
        <w:rPr>
          <w:rFonts w:hint="eastAsia"/>
          <w:color w:val="000000"/>
          <w:sz w:val="30"/>
          <w:szCs w:val="30"/>
        </w:rPr>
        <w:t>名下</w:t>
      </w:r>
      <w:r>
        <w:rPr>
          <w:rFonts w:hint="eastAsia"/>
          <w:color w:val="000000"/>
          <w:sz w:val="30"/>
          <w:szCs w:val="30"/>
          <w:u w:val="single"/>
        </w:rPr>
        <w:t xml:space="preserve">    </w:t>
      </w:r>
      <w:r>
        <w:rPr>
          <w:rFonts w:hint="eastAsia"/>
          <w:color w:val="000000"/>
          <w:sz w:val="30"/>
          <w:szCs w:val="30"/>
        </w:rPr>
        <w:t>区</w:t>
      </w:r>
      <w:r>
        <w:rPr>
          <w:rFonts w:hint="eastAsia"/>
          <w:color w:val="000000"/>
          <w:sz w:val="30"/>
          <w:szCs w:val="30"/>
          <w:u w:val="single"/>
        </w:rPr>
        <w:t xml:space="preserve">    </w:t>
      </w:r>
      <w:r>
        <w:rPr>
          <w:rFonts w:hint="eastAsia"/>
          <w:color w:val="000000"/>
          <w:sz w:val="30"/>
          <w:szCs w:val="30"/>
        </w:rPr>
        <w:t>路</w:t>
      </w:r>
      <w:r>
        <w:rPr>
          <w:rFonts w:hint="eastAsia"/>
          <w:color w:val="000000"/>
          <w:sz w:val="30"/>
          <w:szCs w:val="30"/>
          <w:u w:val="single"/>
        </w:rPr>
        <w:t xml:space="preserve">    </w:t>
      </w:r>
      <w:r>
        <w:rPr>
          <w:rFonts w:hint="eastAsia"/>
          <w:color w:val="000000"/>
          <w:sz w:val="30"/>
          <w:szCs w:val="30"/>
        </w:rPr>
        <w:t>号土地使用权（实测面积</w:t>
      </w:r>
      <w:r>
        <w:rPr>
          <w:rFonts w:hint="eastAsia"/>
          <w:color w:val="000000"/>
          <w:sz w:val="30"/>
          <w:szCs w:val="30"/>
          <w:u w:val="single"/>
        </w:rPr>
        <w:t xml:space="preserve">    </w:t>
      </w:r>
      <w:r>
        <w:rPr>
          <w:rFonts w:hint="eastAsia"/>
          <w:color w:val="000000"/>
          <w:sz w:val="30"/>
          <w:szCs w:val="30"/>
        </w:rPr>
        <w:t>平方米，详见</w:t>
      </w:r>
      <w:r>
        <w:rPr>
          <w:rFonts w:hint="eastAsia"/>
          <w:color w:val="000000"/>
          <w:sz w:val="30"/>
          <w:szCs w:val="30"/>
          <w:u w:val="single"/>
        </w:rPr>
        <w:t xml:space="preserve">       </w:t>
      </w:r>
      <w:r>
        <w:rPr>
          <w:rFonts w:hint="eastAsia"/>
          <w:color w:val="000000"/>
          <w:sz w:val="30"/>
          <w:szCs w:val="30"/>
        </w:rPr>
        <w:t>出具的《不动产权籍调查表》宗地代码：</w:t>
      </w:r>
      <w:r>
        <w:rPr>
          <w:rFonts w:hint="eastAsia"/>
          <w:color w:val="000000"/>
          <w:sz w:val="30"/>
          <w:szCs w:val="30"/>
          <w:u w:val="single"/>
        </w:rPr>
        <w:t xml:space="preserve">       </w:t>
      </w:r>
      <w:r>
        <w:rPr>
          <w:rFonts w:hint="eastAsia"/>
          <w:color w:val="000000"/>
          <w:sz w:val="30"/>
          <w:szCs w:val="30"/>
        </w:rPr>
        <w:t>），及</w:t>
      </w:r>
      <w:r>
        <w:rPr>
          <w:rFonts w:hint="eastAsia"/>
          <w:color w:val="000000"/>
          <w:sz w:val="30"/>
          <w:szCs w:val="30"/>
          <w:u w:val="single"/>
        </w:rPr>
        <w:t xml:space="preserve">       </w:t>
      </w:r>
      <w:r>
        <w:rPr>
          <w:rFonts w:hint="eastAsia"/>
          <w:color w:val="000000"/>
          <w:sz w:val="30"/>
          <w:szCs w:val="30"/>
        </w:rPr>
        <w:t>单位新建</w:t>
      </w:r>
      <w:r>
        <w:rPr>
          <w:rFonts w:hint="eastAsia"/>
          <w:color w:val="000000"/>
          <w:sz w:val="30"/>
          <w:szCs w:val="30"/>
          <w:u w:val="single"/>
        </w:rPr>
        <w:t xml:space="preserve">     </w:t>
      </w:r>
      <w:r>
        <w:rPr>
          <w:rFonts w:hint="eastAsia"/>
          <w:color w:val="000000"/>
          <w:sz w:val="30"/>
          <w:szCs w:val="30"/>
        </w:rPr>
        <w:t>楼和</w:t>
      </w:r>
      <w:r>
        <w:rPr>
          <w:rFonts w:hint="eastAsia"/>
          <w:color w:val="000000"/>
          <w:sz w:val="30"/>
          <w:szCs w:val="30"/>
          <w:u w:val="single"/>
        </w:rPr>
        <w:t xml:space="preserve">      </w:t>
      </w:r>
      <w:r>
        <w:rPr>
          <w:rFonts w:hint="eastAsia"/>
          <w:color w:val="000000"/>
          <w:sz w:val="30"/>
          <w:szCs w:val="30"/>
        </w:rPr>
        <w:t>楼建筑面积共计</w:t>
      </w:r>
      <w:r>
        <w:rPr>
          <w:rFonts w:hint="eastAsia"/>
          <w:color w:val="000000"/>
          <w:sz w:val="30"/>
          <w:szCs w:val="30"/>
          <w:u w:val="single"/>
        </w:rPr>
        <w:t xml:space="preserve">   </w:t>
      </w:r>
      <w:r>
        <w:rPr>
          <w:rFonts w:hint="eastAsia"/>
          <w:color w:val="000000"/>
          <w:sz w:val="30"/>
          <w:szCs w:val="30"/>
        </w:rPr>
        <w:t>平方米（含地下</w:t>
      </w:r>
      <w:r>
        <w:rPr>
          <w:rFonts w:hint="eastAsia"/>
          <w:color w:val="000000"/>
          <w:sz w:val="30"/>
          <w:szCs w:val="30"/>
          <w:u w:val="single"/>
        </w:rPr>
        <w:t xml:space="preserve">     </w:t>
      </w:r>
      <w:r>
        <w:rPr>
          <w:rFonts w:hint="eastAsia"/>
          <w:color w:val="000000"/>
          <w:sz w:val="30"/>
          <w:szCs w:val="30"/>
        </w:rPr>
        <w:t>平方米，详见</w:t>
      </w:r>
      <w:r>
        <w:rPr>
          <w:rFonts w:hint="eastAsia"/>
          <w:color w:val="000000"/>
          <w:sz w:val="30"/>
          <w:szCs w:val="30"/>
          <w:u w:val="single"/>
        </w:rPr>
        <w:t xml:space="preserve">       </w:t>
      </w:r>
      <w:r>
        <w:rPr>
          <w:rFonts w:hint="eastAsia"/>
          <w:color w:val="000000"/>
          <w:sz w:val="30"/>
          <w:szCs w:val="30"/>
        </w:rPr>
        <w:t>出具的《房屋面积测算成果表》</w:t>
      </w:r>
      <w:r>
        <w:rPr>
          <w:rFonts w:hint="eastAsia"/>
          <w:color w:val="000000"/>
          <w:sz w:val="30"/>
          <w:szCs w:val="30"/>
          <w:u w:val="single"/>
        </w:rPr>
        <w:t xml:space="preserve">    </w:t>
      </w:r>
      <w:r>
        <w:rPr>
          <w:rFonts w:hint="eastAsia"/>
          <w:color w:val="000000"/>
          <w:sz w:val="30"/>
          <w:szCs w:val="30"/>
        </w:rPr>
        <w:t>字</w:t>
      </w:r>
      <w:r>
        <w:rPr>
          <w:rFonts w:hint="eastAsia"/>
          <w:color w:val="000000"/>
          <w:sz w:val="30"/>
          <w:szCs w:val="30"/>
          <w:u w:val="single"/>
        </w:rPr>
        <w:t>〔   〕</w:t>
      </w:r>
      <w:r>
        <w:rPr>
          <w:rFonts w:hint="eastAsia"/>
          <w:color w:val="000000"/>
          <w:sz w:val="30"/>
          <w:szCs w:val="30"/>
        </w:rPr>
        <w:t>号，不含</w:t>
      </w:r>
      <w:r>
        <w:rPr>
          <w:rFonts w:hint="eastAsia"/>
          <w:color w:val="000000"/>
          <w:sz w:val="30"/>
          <w:szCs w:val="30"/>
          <w:u w:val="single"/>
        </w:rPr>
        <w:t xml:space="preserve">      </w:t>
      </w:r>
      <w:r>
        <w:rPr>
          <w:rFonts w:hint="eastAsia"/>
          <w:color w:val="000000"/>
          <w:sz w:val="30"/>
          <w:szCs w:val="30"/>
        </w:rPr>
        <w:t>掌握的不动产登记规范不予登记的</w:t>
      </w:r>
      <w:r>
        <w:rPr>
          <w:rFonts w:hint="eastAsia"/>
          <w:color w:val="000000"/>
          <w:sz w:val="30"/>
          <w:szCs w:val="30"/>
          <w:u w:val="single"/>
        </w:rPr>
        <w:t xml:space="preserve">    </w:t>
      </w:r>
      <w:r>
        <w:rPr>
          <w:rFonts w:hint="eastAsia"/>
          <w:color w:val="000000"/>
          <w:sz w:val="30"/>
          <w:szCs w:val="30"/>
        </w:rPr>
        <w:t>平方米）的不动产。根据《邢台市党政机关办公用房管理实施办法》等文件规定，其不动产产权需登记到邢台市机关后勤服务中心名下，请</w:t>
      </w:r>
      <w:r>
        <w:rPr>
          <w:rFonts w:hint="eastAsia"/>
          <w:color w:val="000000"/>
          <w:sz w:val="30"/>
          <w:szCs w:val="30"/>
          <w:u w:val="single"/>
        </w:rPr>
        <w:t xml:space="preserve">      </w:t>
      </w:r>
      <w:r>
        <w:rPr>
          <w:rFonts w:hint="eastAsia"/>
          <w:color w:val="000000"/>
          <w:sz w:val="30"/>
          <w:szCs w:val="30"/>
        </w:rPr>
        <w:t>办理以上不动产产权登记事宜。</w:t>
      </w:r>
    </w:p>
    <w:p>
      <w:pPr>
        <w:ind w:firstLine="420"/>
        <w:rPr>
          <w:color w:val="000000"/>
          <w:sz w:val="30"/>
          <w:szCs w:val="30"/>
        </w:rPr>
      </w:pPr>
    </w:p>
    <w:p>
      <w:pPr>
        <w:ind w:firstLine="420"/>
        <w:jc w:val="right"/>
        <w:rPr>
          <w:color w:val="000000"/>
          <w:sz w:val="30"/>
          <w:szCs w:val="30"/>
        </w:rPr>
      </w:pPr>
      <w:r>
        <w:rPr>
          <w:rFonts w:hint="eastAsia"/>
          <w:color w:val="000000"/>
          <w:sz w:val="30"/>
          <w:szCs w:val="30"/>
        </w:rPr>
        <w:t xml:space="preserve">                                                             年    月    日</w:t>
      </w:r>
    </w:p>
    <w:p>
      <w:pPr>
        <w:pStyle w:val="25"/>
      </w:pPr>
    </w:p>
    <w:p>
      <w:pPr>
        <w:pStyle w:val="99"/>
      </w:pPr>
    </w:p>
    <w:p>
      <w:pPr>
        <w:pStyle w:val="87"/>
        <w:tabs>
          <w:tab w:val="clear" w:pos="0"/>
        </w:tabs>
      </w:pPr>
    </w:p>
    <w:p>
      <w:pPr>
        <w:pStyle w:val="85"/>
        <w:numPr>
          <w:ilvl w:val="0"/>
          <w:numId w:val="20"/>
        </w:numPr>
        <w:tabs>
          <w:tab w:val="clear" w:pos="360"/>
        </w:tabs>
      </w:pPr>
      <w:r>
        <w:br w:type="textWrapping"/>
      </w:r>
      <w:bookmarkStart w:id="23" w:name="_Toc118281000"/>
      <w:r>
        <w:rPr>
          <w:rFonts w:hint="eastAsia"/>
        </w:rPr>
        <w:t>（资料性）</w:t>
      </w:r>
      <w:r>
        <w:br w:type="textWrapping"/>
      </w:r>
      <w:r>
        <w:rPr>
          <w:rFonts w:hint="eastAsia"/>
        </w:rPr>
        <w:t>授权委托书样式</w:t>
      </w:r>
      <w:bookmarkEnd w:id="23"/>
    </w:p>
    <w:p>
      <w:pPr>
        <w:jc w:val="center"/>
        <w:rPr>
          <w:b/>
          <w:bCs/>
          <w:color w:val="000000"/>
          <w:sz w:val="44"/>
          <w:szCs w:val="44"/>
        </w:rPr>
      </w:pPr>
      <w:r>
        <w:rPr>
          <w:rFonts w:hint="eastAsia"/>
          <w:b/>
          <w:bCs/>
          <w:color w:val="000000"/>
          <w:sz w:val="44"/>
          <w:szCs w:val="44"/>
        </w:rPr>
        <w:t>授权委托书</w:t>
      </w:r>
    </w:p>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登记一次性使用）</w:t>
      </w:r>
    </w:p>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编号：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年第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号</w:t>
      </w:r>
    </w:p>
    <w:p>
      <w:pPr>
        <w:spacing w:before="156" w:beforeLines="50" w:line="300" w:lineRule="auto"/>
        <w:ind w:firstLine="480" w:firstLineChars="200"/>
        <w:rPr>
          <w:color w:val="000000"/>
          <w:sz w:val="24"/>
        </w:rPr>
      </w:pPr>
      <w:r>
        <w:rPr>
          <w:rFonts w:hint="eastAsia"/>
          <w:color w:val="000000"/>
          <w:sz w:val="24"/>
        </w:rPr>
        <w:t xml:space="preserve">委 </w:t>
      </w:r>
      <w:r>
        <w:rPr>
          <w:color w:val="000000"/>
          <w:sz w:val="24"/>
        </w:rPr>
        <w:t xml:space="preserve"> </w:t>
      </w:r>
      <w:r>
        <w:rPr>
          <w:rFonts w:hint="eastAsia"/>
          <w:color w:val="000000"/>
          <w:sz w:val="24"/>
        </w:rPr>
        <w:t xml:space="preserve">托 </w:t>
      </w:r>
      <w:r>
        <w:rPr>
          <w:color w:val="000000"/>
          <w:sz w:val="24"/>
        </w:rPr>
        <w:t xml:space="preserve"> </w:t>
      </w:r>
      <w:r>
        <w:rPr>
          <w:rFonts w:hint="eastAsia"/>
          <w:color w:val="000000"/>
          <w:sz w:val="24"/>
        </w:rPr>
        <w:t>人：</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邢台市机关后勤服务中心 </w:t>
      </w:r>
      <w:r>
        <w:rPr>
          <w:color w:val="000000"/>
          <w:sz w:val="24"/>
          <w:u w:val="single"/>
        </w:rPr>
        <w:t xml:space="preserve">     </w:t>
      </w:r>
    </w:p>
    <w:p>
      <w:pPr>
        <w:spacing w:line="300" w:lineRule="auto"/>
        <w:ind w:firstLine="480" w:firstLineChars="200"/>
        <w:rPr>
          <w:color w:val="000000"/>
          <w:sz w:val="24"/>
        </w:rPr>
      </w:pPr>
      <w:r>
        <w:rPr>
          <w:rFonts w:hint="eastAsia"/>
          <w:color w:val="000000"/>
          <w:sz w:val="24"/>
        </w:rPr>
        <w:t xml:space="preserve">住 </w:t>
      </w:r>
      <w:r>
        <w:rPr>
          <w:color w:val="000000"/>
          <w:sz w:val="24"/>
        </w:rPr>
        <w:t xml:space="preserve"> </w:t>
      </w:r>
      <w:r>
        <w:rPr>
          <w:rFonts w:hint="eastAsia"/>
          <w:color w:val="000000"/>
          <w:sz w:val="24"/>
        </w:rPr>
        <w:t xml:space="preserve">所 </w:t>
      </w:r>
      <w:r>
        <w:rPr>
          <w:color w:val="000000"/>
          <w:sz w:val="24"/>
        </w:rPr>
        <w:t xml:space="preserve"> </w:t>
      </w:r>
      <w:r>
        <w:rPr>
          <w:rFonts w:hint="eastAsia"/>
          <w:color w:val="000000"/>
          <w:sz w:val="24"/>
        </w:rPr>
        <w:t>地：</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路北区西山道3号    </w:t>
      </w:r>
      <w:r>
        <w:rPr>
          <w:color w:val="000000"/>
          <w:sz w:val="24"/>
          <w:u w:val="single"/>
        </w:rPr>
        <w:t xml:space="preserve">     </w:t>
      </w:r>
    </w:p>
    <w:p>
      <w:pPr>
        <w:spacing w:line="300" w:lineRule="auto"/>
        <w:ind w:firstLine="480" w:firstLineChars="200"/>
        <w:rPr>
          <w:color w:val="000000"/>
          <w:sz w:val="24"/>
        </w:rPr>
      </w:pPr>
      <w:r>
        <w:rPr>
          <w:rFonts w:hint="eastAsia"/>
          <w:color w:val="000000"/>
          <w:sz w:val="24"/>
        </w:rPr>
        <w:t>统一社会信用代码：</w:t>
      </w:r>
      <w:r>
        <w:rPr>
          <w:color w:val="000000"/>
          <w:sz w:val="24"/>
          <w:u w:val="single"/>
        </w:rPr>
        <w:t xml:space="preserve">11130200MB1718663R0         </w:t>
      </w:r>
    </w:p>
    <w:p>
      <w:pPr>
        <w:spacing w:line="300" w:lineRule="auto"/>
        <w:ind w:firstLine="480" w:firstLineChars="200"/>
        <w:rPr>
          <w:color w:val="000000"/>
          <w:sz w:val="24"/>
          <w:u w:val="single"/>
        </w:rPr>
      </w:pPr>
      <w:r>
        <w:rPr>
          <w:rFonts w:hint="eastAsia"/>
          <w:color w:val="000000"/>
          <w:sz w:val="24"/>
        </w:rPr>
        <w:t>法定代表人：</w:t>
      </w:r>
      <w:r>
        <w:rPr>
          <w:rFonts w:hint="eastAsia"/>
          <w:color w:val="000000"/>
          <w:sz w:val="24"/>
          <w:u w:val="single"/>
        </w:rPr>
        <w:t xml:space="preserve">                                   </w:t>
      </w:r>
    </w:p>
    <w:p>
      <w:pPr>
        <w:spacing w:line="300" w:lineRule="auto"/>
        <w:ind w:firstLine="480" w:firstLineChars="200"/>
        <w:rPr>
          <w:color w:val="000000"/>
          <w:sz w:val="24"/>
          <w:u w:val="single"/>
        </w:rPr>
      </w:pPr>
      <w:r>
        <w:rPr>
          <w:rFonts w:hint="eastAsia"/>
          <w:color w:val="000000"/>
          <w:sz w:val="24"/>
        </w:rPr>
        <w:t>身份证号码：</w:t>
      </w:r>
      <w:r>
        <w:rPr>
          <w:rFonts w:hint="eastAsia"/>
          <w:color w:val="000000"/>
          <w:sz w:val="24"/>
          <w:u w:val="single"/>
        </w:rPr>
        <w:t xml:space="preserve">                                   </w:t>
      </w:r>
    </w:p>
    <w:p>
      <w:pPr>
        <w:spacing w:line="300" w:lineRule="auto"/>
        <w:ind w:firstLine="480" w:firstLineChars="200"/>
        <w:rPr>
          <w:color w:val="000000"/>
          <w:sz w:val="24"/>
          <w:u w:val="single"/>
        </w:rPr>
      </w:pPr>
      <w:r>
        <w:rPr>
          <w:rFonts w:hint="eastAsia"/>
          <w:color w:val="000000"/>
          <w:sz w:val="24"/>
        </w:rPr>
        <w:t xml:space="preserve">受 </w:t>
      </w:r>
      <w:r>
        <w:rPr>
          <w:color w:val="000000"/>
          <w:sz w:val="24"/>
        </w:rPr>
        <w:t xml:space="preserve"> </w:t>
      </w:r>
      <w:r>
        <w:rPr>
          <w:rFonts w:hint="eastAsia"/>
          <w:color w:val="000000"/>
          <w:sz w:val="24"/>
        </w:rPr>
        <w:t xml:space="preserve">托 </w:t>
      </w:r>
      <w:r>
        <w:rPr>
          <w:color w:val="000000"/>
          <w:sz w:val="24"/>
        </w:rPr>
        <w:t xml:space="preserve"> </w:t>
      </w:r>
      <w:r>
        <w:rPr>
          <w:rFonts w:hint="eastAsia"/>
          <w:color w:val="000000"/>
          <w:sz w:val="24"/>
        </w:rPr>
        <w:t>人：</w:t>
      </w:r>
      <w:r>
        <w:rPr>
          <w:rFonts w:hint="eastAsia"/>
          <w:color w:val="000000"/>
          <w:sz w:val="24"/>
          <w:u w:val="single"/>
        </w:rPr>
        <w:t xml:space="preserve">                                   </w:t>
      </w:r>
    </w:p>
    <w:p>
      <w:pPr>
        <w:spacing w:line="300" w:lineRule="auto"/>
        <w:ind w:firstLine="480" w:firstLineChars="200"/>
        <w:rPr>
          <w:color w:val="000000"/>
          <w:sz w:val="24"/>
        </w:rPr>
      </w:pPr>
      <w:r>
        <w:rPr>
          <w:rFonts w:hint="eastAsia"/>
          <w:color w:val="000000"/>
          <w:sz w:val="24"/>
        </w:rPr>
        <w:t>身份证号码：</w:t>
      </w:r>
      <w:r>
        <w:rPr>
          <w:rFonts w:hint="eastAsia"/>
          <w:color w:val="000000"/>
          <w:sz w:val="24"/>
          <w:u w:val="single"/>
        </w:rPr>
        <w:t xml:space="preserve">                 </w:t>
      </w:r>
      <w:r>
        <w:rPr>
          <w:color w:val="000000"/>
          <w:sz w:val="24"/>
          <w:u w:val="single"/>
        </w:rPr>
        <w:t xml:space="preserve">                  </w:t>
      </w:r>
    </w:p>
    <w:p>
      <w:pPr>
        <w:spacing w:before="312" w:beforeLines="100"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市不动产登记中心：</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根据《邢台市党政机关办公用房管理实施办法》规定，今委托</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同志，全权代表我单位办理坐落于</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市</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区</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街</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号不动产产权土地面积</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平方米，以及地上    幢、总建筑面积</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平方米房产）登记到邢台市机关后勤服务中心名下登记事宜。受托人的代理权限为：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办理上述不动产登记；</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领取《不动产权证书》。</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代理期间受托人所签署的有关法律文件，委托人均予以承认，并承担法律责任。</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受托人无转委托的权利。</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自签订本委托书之日起生效至领取《不动产权证书》时止。</w:t>
      </w:r>
    </w:p>
    <w:p>
      <w:pPr>
        <w:rPr>
          <w:color w:val="000000"/>
          <w:sz w:val="24"/>
        </w:rPr>
      </w:pPr>
    </w:p>
    <w:p>
      <w:pPr>
        <w:rPr>
          <w:color w:val="000000"/>
          <w:sz w:val="24"/>
        </w:rPr>
      </w:pPr>
      <w:r>
        <w:rPr>
          <w:rFonts w:hint="eastAsia"/>
          <w:color w:val="000000"/>
          <w:sz w:val="24"/>
        </w:rPr>
        <w:t>委托人（盖章）：邢台市机关后勤服务中心               受托人（签章）：</w:t>
      </w:r>
    </w:p>
    <w:p>
      <w:pPr>
        <w:rPr>
          <w:color w:val="000000"/>
          <w:sz w:val="24"/>
        </w:rPr>
      </w:pPr>
    </w:p>
    <w:p>
      <w:r>
        <w:rPr>
          <w:rFonts w:hint="eastAsia"/>
          <w:color w:val="000000"/>
          <w:sz w:val="24"/>
        </w:rPr>
        <mc:AlternateContent>
          <mc:Choice Requires="wps">
            <w:drawing>
              <wp:anchor distT="0" distB="0" distL="114300" distR="114300" simplePos="0" relativeHeight="251660288" behindDoc="0" locked="0" layoutInCell="1" allowOverlap="1">
                <wp:simplePos x="0" y="0"/>
                <wp:positionH relativeFrom="column">
                  <wp:posOffset>1671320</wp:posOffset>
                </wp:positionH>
                <wp:positionV relativeFrom="paragraph">
                  <wp:posOffset>659765</wp:posOffset>
                </wp:positionV>
                <wp:extent cx="27432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1.6pt;margin-top:51.95pt;height:0pt;width:216pt;z-index:251660288;mso-width-relative:page;mso-height-relative:page;" filled="f" stroked="t" coordsize="21600,21600" o:gfxdata="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FRQ9HXAAAACwEAAA8AAAAA&#10;AAAAAQAgAAAAOAAAAGRycy9kb3ducmV2LnhtbFBLAQIUABQAAAAIAIdO4kCo73oDxgEAAGMDAAAO&#10;AAAAAAAAAAEAIAAAADwBAABkcnMvZTJvRG9jLnhtbFBLBQYAAAAABgAGAFkBAAB0BQAAAAA=&#10;">
                <v:fill on="f" focussize="0,0"/>
                <v:stroke weight="0.5pt" color="#000000 [3200]" miterlimit="8" joinstyle="miter"/>
                <v:imagedata o:title=""/>
                <o:lock v:ext="edit" aspectratio="f"/>
              </v:line>
            </w:pict>
          </mc:Fallback>
        </mc:AlternateContent>
      </w:r>
      <w:r>
        <w:rPr>
          <w:rFonts w:hint="eastAsia"/>
          <w:color w:val="000000"/>
          <w:sz w:val="24"/>
        </w:rPr>
        <w:t xml:space="preserve">法定代表人（签章）：                                </w:t>
      </w:r>
      <w:r>
        <w:rPr>
          <w:color w:val="000000"/>
          <w:sz w:val="24"/>
        </w:rPr>
        <w:t xml:space="preserve">       </w:t>
      </w:r>
      <w:r>
        <w:rPr>
          <w:rFonts w:hint="eastAsia"/>
          <w:color w:val="000000"/>
          <w:sz w:val="24"/>
        </w:rPr>
        <w:t xml:space="preserve">   年    月</w:t>
      </w:r>
      <w:r>
        <w:rPr>
          <w:rFonts w:hint="eastAsia"/>
          <w:color w:val="000000"/>
          <w:sz w:val="28"/>
          <w:szCs w:val="28"/>
        </w:rPr>
        <w:t xml:space="preserve">   日</w:t>
      </w: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10</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YF</w:t>
    </w:r>
    <w:r>
      <w:rPr>
        <w:rFonts w:hint="eastAsia"/>
      </w:rPr>
      <w:t>.</w:t>
    </w:r>
    <w:r>
      <w:rPr>
        <w:rFonts w:hint="eastAsia"/>
        <w:lang w:val="en-US" w:eastAsia="zh-CN"/>
      </w:rPr>
      <w:t>210.</w:t>
    </w:r>
    <w:r>
      <w:t>002</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YF</w:t>
    </w:r>
    <w:r>
      <w:rPr>
        <w:rFonts w:hint="eastAsia"/>
      </w:rPr>
      <w:t>.</w:t>
    </w:r>
    <w:r>
      <w:rPr>
        <w:rFonts w:hint="eastAsia"/>
        <w:lang w:val="en-US" w:eastAsia="zh-CN"/>
      </w:rPr>
      <w:t>210.</w:t>
    </w:r>
    <w:r>
      <w:t>002</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568"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F6"/>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8751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1B9"/>
    <w:rsid w:val="00382EAB"/>
    <w:rsid w:val="00383191"/>
    <w:rsid w:val="00386DED"/>
    <w:rsid w:val="003912E7"/>
    <w:rsid w:val="00393947"/>
    <w:rsid w:val="003A170B"/>
    <w:rsid w:val="003A1C6A"/>
    <w:rsid w:val="003A2275"/>
    <w:rsid w:val="003A2A45"/>
    <w:rsid w:val="003A5313"/>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76F"/>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3D7"/>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07A24"/>
    <w:rsid w:val="008127A2"/>
    <w:rsid w:val="00813900"/>
    <w:rsid w:val="00814471"/>
    <w:rsid w:val="00815D7E"/>
    <w:rsid w:val="00817A00"/>
    <w:rsid w:val="00820A1E"/>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54965"/>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3DB"/>
    <w:rsid w:val="00B52554"/>
    <w:rsid w:val="00B52A8C"/>
    <w:rsid w:val="00B56150"/>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2EF6"/>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67F3888B"/>
    <w:rsid w:val="697FB64F"/>
    <w:rsid w:val="FE798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100" w:beforeLines="100" w:after="100"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10</Pages>
  <Words>1007</Words>
  <Characters>5745</Characters>
  <Lines>47</Lines>
  <Paragraphs>13</Paragraphs>
  <TotalTime>33</TotalTime>
  <ScaleCrop>false</ScaleCrop>
  <LinksUpToDate>false</LinksUpToDate>
  <CharactersWithSpaces>6739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2022-11-03T02:55:00Z</dcterms:created>
  <dc:creator>路源</dc:creator>
  <cp:lastModifiedBy>kylin</cp:lastModifiedBy>
  <cp:lastPrinted>2020-10-14T07:25:00Z</cp:lastPrinted>
  <dcterms:modified xsi:type="dcterms:W3CDTF">2023-03-18T17:53:09Z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