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hint="eastAsia" w:ascii="Times New Roman"/>
        </w:rPr>
        <w:t>标准</w:t>
      </w:r>
      <w:r>
        <w:rPr>
          <w:rFonts w:ascii="Times New Roman"/>
        </w:rPr>
        <w:t>体系</w:t>
      </w:r>
      <w:r>
        <w:rPr>
          <w:rFonts w:hint="eastAsia" w:ascii="Times New Roman"/>
        </w:rPr>
        <w:t>编号</w:t>
      </w:r>
      <w:r>
        <w:rPr>
          <w:rFonts w:hAnsi="黑体"/>
        </w:rPr>
        <w:t>：YF</w:t>
      </w:r>
    </w:p>
    <w:p>
      <w:pPr>
        <w:pStyle w:val="124"/>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rPr>
          <w:w w:val="100"/>
        </w:rPr>
      </w:pPr>
      <w:bookmarkStart w:id="0" w:name="c3"/>
      <w:r>
        <w:rPr>
          <w:rFonts w:hint="eastAsia"/>
          <w:w w:val="100"/>
        </w:rPr>
        <w:t>邢</w:t>
      </w:r>
      <w:r>
        <w:rPr>
          <w:w w:val="100"/>
        </w:rPr>
        <w:t>JG</w:t>
      </w:r>
      <w:bookmarkEnd w:id="0"/>
    </w:p>
    <w:p>
      <w:pPr>
        <w:pStyle w:val="111"/>
      </w:pPr>
      <w:r>
        <w:rPr>
          <w:rFonts w:hint="eastAsia"/>
        </w:rPr>
        <w:t>邢台市机关后勤服务标准</w:t>
      </w:r>
    </w:p>
    <w:p>
      <w:pPr>
        <w:pStyle w:val="48"/>
        <w:wordWrap w:val="0"/>
        <w:rPr>
          <w:rFonts w:hAnsi="黑体"/>
        </w:rPr>
      </w:pPr>
      <w:r>
        <w:rPr>
          <w:rFonts w:hint="eastAsia" w:ascii="Times New Roman"/>
        </w:rPr>
        <w:t xml:space="preserve">邢JG </w:t>
      </w:r>
      <w:r>
        <w:rPr>
          <w:rFonts w:hAnsi="黑体"/>
        </w:rPr>
        <w:t>YF.</w:t>
      </w:r>
      <w:r>
        <w:rPr>
          <w:rFonts w:hint="eastAsia" w:hAnsi="黑体"/>
          <w:lang w:val="en-US" w:eastAsia="zh-CN"/>
        </w:rPr>
        <w:t>210.</w:t>
      </w:r>
      <w:r>
        <w:rPr>
          <w:rFonts w:hAnsi="黑体"/>
        </w:rPr>
        <w:t>00</w:t>
      </w:r>
      <w:r>
        <w:rPr>
          <w:rFonts w:hint="eastAsia" w:hAnsi="黑体"/>
          <w:lang w:val="en-US" w:eastAsia="zh-CN"/>
        </w:rPr>
        <w:t>3</w:t>
      </w:r>
      <w:r>
        <w:rPr>
          <w:rFonts w:hAnsi="黑体"/>
        </w:rPr>
        <w:t>—2022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rPr>
          <w:rFonts w:hAnsi="黑体"/>
        </w:rPr>
      </w:pPr>
    </w:p>
    <w:p>
      <w:pPr>
        <w:pStyle w:val="48"/>
        <w:rPr>
          <w:rFonts w:hAnsi="黑体"/>
        </w:rPr>
      </w:pPr>
    </w:p>
    <w:p>
      <w:pPr>
        <w:pStyle w:val="79"/>
        <w:ind w:firstLine="1050"/>
      </w:pPr>
      <w:r>
        <w:rPr>
          <w:rFonts w:hint="eastAsia"/>
        </w:rPr>
        <w:t>办公用房建设和改造初审工作规范</w:t>
      </w:r>
    </w:p>
    <w:p>
      <w:pPr>
        <w:pStyle w:val="8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pPr>
      <w:r>
        <w:rPr>
          <w:rFonts w:hint="eastAsia"/>
        </w:rPr>
        <w:t>邢台市机关后勤服务中心</w:t>
      </w:r>
      <w:r>
        <w:rPr>
          <w:rFonts w:hAnsi="黑体"/>
        </w:rPr>
        <w:t> </w:t>
      </w:r>
      <w:r>
        <w:rPr>
          <w:rStyle w:val="74"/>
          <w:rFonts w:hint="eastAsia"/>
        </w:rPr>
        <w:t>发布</w:t>
      </w:r>
    </w:p>
    <w:p>
      <w:pPr>
        <w:pStyle w:val="25"/>
        <w:sectPr>
          <w:headerReference r:id="rId3" w:type="default"/>
          <w:footerReference r:id="rId4" w:type="default"/>
          <w:pgSz w:w="11906" w:h="16838"/>
          <w:pgMar w:top="567" w:right="850" w:bottom="1134" w:left="1418" w:header="0" w:footer="0" w:gutter="0"/>
          <w:pgNumType w:start="16"/>
          <w:cols w:space="425"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438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118281577"/>
      <w:bookmarkStart w:id="3" w:name="_Toc475694823"/>
      <w:bookmarkStart w:id="4" w:name="_Toc49518022"/>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办公用房管理科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宋体"/>
          <w:color w:val="000000"/>
          <w:szCs w:val="21"/>
          <w:u w:val="single"/>
        </w:rPr>
        <w:t>办公用房管理科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郝建树、吴茜雅、方琰</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2022-08-1</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苏岩</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2022-08-1</w:t>
      </w:r>
      <w:r>
        <w:rPr>
          <w:rFonts w:hint="eastAsia" w:cs="宋体"/>
          <w:color w:val="000000"/>
          <w:szCs w:val="21"/>
          <w:u w:val="single"/>
          <w:lang w:val="en-US" w:eastAsia="zh-CN"/>
        </w:rPr>
        <w:t>5</w:t>
      </w:r>
      <w:bookmarkStart w:id="14" w:name="_GoBack"/>
      <w:bookmarkEnd w:id="14"/>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2022-08-31</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hint="eastAsia"/>
              </w:rPr>
            </w:pPr>
            <w:r>
              <w:rPr>
                <w:rFonts w:hint="eastAsia"/>
              </w:rPr>
              <w:t>1.0</w:t>
            </w:r>
          </w:p>
        </w:tc>
        <w:tc>
          <w:tcPr>
            <w:tcW w:w="1651" w:type="dxa"/>
          </w:tcPr>
          <w:p>
            <w:pPr>
              <w:jc w:val="center"/>
              <w:rPr>
                <w:rFonts w:hint="eastAsia"/>
              </w:rPr>
            </w:pPr>
            <w:r>
              <w:rPr>
                <w:rFonts w:hint="eastAsia"/>
              </w:rPr>
              <w:t>2020-10-20</w:t>
            </w:r>
          </w:p>
        </w:tc>
        <w:tc>
          <w:tcPr>
            <w:tcW w:w="1227" w:type="dxa"/>
          </w:tcPr>
          <w:p>
            <w:pPr>
              <w:jc w:val="center"/>
              <w:rPr>
                <w:rFonts w:hint="eastAsia"/>
              </w:rPr>
            </w:pPr>
            <w:r>
              <w:rPr>
                <w:rFonts w:hint="eastAsia"/>
              </w:rPr>
              <w:t>创建</w:t>
            </w: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hint="eastAsia"/>
              </w:rPr>
            </w:pPr>
            <w:r>
              <w:rPr>
                <w:rFonts w:hint="eastAsia"/>
              </w:rPr>
              <w:t>2.0</w:t>
            </w:r>
          </w:p>
        </w:tc>
        <w:tc>
          <w:tcPr>
            <w:tcW w:w="1651" w:type="dxa"/>
          </w:tcPr>
          <w:p>
            <w:pPr>
              <w:jc w:val="center"/>
              <w:rPr>
                <w:rFonts w:hint="eastAsia"/>
              </w:rPr>
            </w:pPr>
            <w:r>
              <w:rPr>
                <w:rFonts w:hint="eastAsia"/>
              </w:rPr>
              <w:t>2022-09-01</w:t>
            </w:r>
          </w:p>
        </w:tc>
        <w:tc>
          <w:tcPr>
            <w:tcW w:w="1227" w:type="dxa"/>
          </w:tcPr>
          <w:p>
            <w:pPr>
              <w:jc w:val="center"/>
            </w:pPr>
            <w:r>
              <w:rPr>
                <w:rFonts w:hint="eastAsia"/>
              </w:rPr>
              <w:t>更改</w:t>
            </w: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25"/>
        <w:sectPr>
          <w:headerReference r:id="rId5" w:type="default"/>
          <w:footerReference r:id="rId6" w:type="default"/>
          <w:pgSz w:w="11906" w:h="16838"/>
          <w:pgMar w:top="567" w:right="1134" w:bottom="1134" w:left="1418" w:header="1418" w:footer="1134" w:gutter="0"/>
          <w:cols w:space="425" w:num="1"/>
          <w:formProt w:val="0"/>
          <w:docGrid w:type="lines" w:linePitch="312" w:charSpace="0"/>
        </w:sectPr>
      </w:pPr>
    </w:p>
    <w:p>
      <w:pPr>
        <w:pStyle w:val="51"/>
      </w:pPr>
      <w:r>
        <w:rPr>
          <w:rFonts w:hint="eastAsia"/>
        </w:rPr>
        <w:t>办公用房清查盘点规范</w:t>
      </w:r>
    </w:p>
    <w:p>
      <w:pPr>
        <w:pStyle w:val="46"/>
        <w:spacing w:before="312" w:after="312"/>
      </w:pPr>
      <w:bookmarkStart w:id="6" w:name="_Toc118281578"/>
      <w:r>
        <w:rPr>
          <w:rFonts w:hint="eastAsia"/>
        </w:rPr>
        <w:t>范围</w:t>
      </w:r>
      <w:bookmarkEnd w:id="6"/>
    </w:p>
    <w:p>
      <w:pPr>
        <w:pStyle w:val="25"/>
        <w:tabs>
          <w:tab w:val="clear" w:pos="4201"/>
          <w:tab w:val="clear" w:pos="9298"/>
        </w:tabs>
      </w:pPr>
      <w:r>
        <w:rPr>
          <w:rFonts w:hint="eastAsia"/>
        </w:rPr>
        <w:t>本文件规定了邢台市市级直机关办公用房清查盘点工作的术语和定义、总体要求、清查盘点的要求。</w:t>
      </w:r>
    </w:p>
    <w:p>
      <w:pPr>
        <w:pStyle w:val="25"/>
      </w:pPr>
      <w:r>
        <w:rPr>
          <w:rFonts w:hint="eastAsia"/>
        </w:rPr>
        <w:t>本文件适用于</w:t>
      </w:r>
      <w:r>
        <w:rPr>
          <w:rFonts w:hint="eastAsia"/>
          <w:color w:val="FF0000"/>
        </w:rPr>
        <w:t>邢台市机关</w:t>
      </w:r>
      <w:r>
        <w:rPr>
          <w:rFonts w:hint="eastAsia"/>
          <w:color w:val="FF0000"/>
          <w:lang w:val="en-US" w:eastAsia="zh-CN"/>
        </w:rPr>
        <w:t>后勤服务中心</w:t>
      </w:r>
      <w:r>
        <w:rPr>
          <w:rFonts w:hint="eastAsia"/>
        </w:rPr>
        <w:t>开展党政机关办公用房清查盘点工作。</w:t>
      </w:r>
    </w:p>
    <w:p>
      <w:pPr>
        <w:pStyle w:val="46"/>
        <w:spacing w:before="312" w:after="312"/>
      </w:pPr>
      <w:bookmarkStart w:id="7" w:name="_Toc118281579"/>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rPr>
          <w:rFonts w:hint="eastAsia"/>
        </w:rPr>
      </w:pPr>
      <w:r>
        <w:rPr>
          <w:rFonts w:hint="eastAsia"/>
        </w:rPr>
        <w:t>《机关事务管理条例》（中华人民共和国国务院令第621号）</w:t>
      </w:r>
    </w:p>
    <w:p>
      <w:pPr>
        <w:pStyle w:val="25"/>
        <w:rPr>
          <w:rFonts w:hint="eastAsia"/>
        </w:rPr>
      </w:pPr>
      <w:r>
        <w:rPr>
          <w:rFonts w:hint="eastAsia"/>
        </w:rPr>
        <w:t>《河北省机关事务管理办法》（省政府令〔2013〕第4号）</w:t>
      </w:r>
    </w:p>
    <w:p>
      <w:pPr>
        <w:pStyle w:val="25"/>
        <w:rPr>
          <w:rFonts w:hint="eastAsia"/>
        </w:rPr>
      </w:pPr>
      <w:r>
        <w:rPr>
          <w:rFonts w:hint="eastAsia"/>
        </w:rPr>
        <w:t>《党政机关厉行节约反对浪费条例》（中发〔2013〕13号）</w:t>
      </w:r>
    </w:p>
    <w:p>
      <w:pPr>
        <w:pStyle w:val="25"/>
        <w:rPr>
          <w:rFonts w:hint="eastAsia"/>
        </w:rPr>
      </w:pPr>
      <w:r>
        <w:rPr>
          <w:rFonts w:hint="eastAsia"/>
        </w:rPr>
        <w:t>《党政机关办公用房管理办法》（中办发〔2017〕70号）</w:t>
      </w:r>
    </w:p>
    <w:p>
      <w:pPr>
        <w:pStyle w:val="25"/>
        <w:rPr>
          <w:rFonts w:hint="eastAsia"/>
        </w:rPr>
      </w:pPr>
      <w:r>
        <w:rPr>
          <w:rFonts w:hint="eastAsia"/>
        </w:rPr>
        <w:t>《河北省党政机关办公用房管理实施办法》（冀办发〔2018〕42号）</w:t>
      </w:r>
    </w:p>
    <w:p>
      <w:pPr>
        <w:pStyle w:val="25"/>
        <w:rPr>
          <w:color w:val="0070C0"/>
        </w:rPr>
      </w:pPr>
      <w:r>
        <w:rPr>
          <w:rFonts w:hint="eastAsia"/>
        </w:rPr>
        <w:t>《邢台市党政机关办公用房管理实施办法》（邢办发〔2020〕15号）</w:t>
      </w:r>
    </w:p>
    <w:p>
      <w:pPr>
        <w:pStyle w:val="46"/>
        <w:spacing w:before="312" w:after="312"/>
      </w:pPr>
      <w:bookmarkStart w:id="8" w:name="_Toc118281580"/>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党政机关</w:t>
      </w:r>
    </w:p>
    <w:p>
      <w:pPr>
        <w:pStyle w:val="25"/>
        <w:rPr>
          <w:rFonts w:ascii="Tahoma" w:hAnsi="Tahoma" w:cs="Tahoma"/>
          <w:color w:val="000000"/>
          <w:szCs w:val="21"/>
          <w:shd w:val="clear" w:color="auto" w:fill="FFFFFF"/>
        </w:rPr>
      </w:pPr>
      <w:r>
        <w:rPr>
          <w:rFonts w:hint="eastAsia"/>
        </w:rPr>
        <w:t>党的机关、人大机关、行政机关、政协机关、监察机关、监察机关、以及工会、共青团、妇联的等人民团体机关、各民主党派机关以及上述部门所属的行政单位和参照公务员法管理的事业单位。</w:t>
      </w:r>
    </w:p>
    <w:p>
      <w:pPr>
        <w:pStyle w:val="146"/>
      </w:pPr>
    </w:p>
    <w:p>
      <w:pPr>
        <w:pStyle w:val="148"/>
      </w:pPr>
      <w:r>
        <w:rPr>
          <w:rFonts w:hint="eastAsia"/>
        </w:rPr>
        <w:t>办公用房</w:t>
      </w:r>
    </w:p>
    <w:p>
      <w:pPr>
        <w:pStyle w:val="25"/>
        <w:rPr>
          <w:rFonts w:ascii="Tahoma" w:hAnsi="Tahoma" w:cs="Tahoma"/>
          <w:color w:val="000000"/>
          <w:szCs w:val="21"/>
          <w:shd w:val="clear" w:color="auto" w:fill="FFFFFF"/>
        </w:rPr>
      </w:pPr>
      <w:r>
        <w:rPr>
          <w:rFonts w:hint="eastAsia"/>
        </w:rPr>
        <w:t>党政机关占有、使用或者可以确认属于机关资产的，为保障党政机关正常运行需要设置的基本工作场所，包括办公室、服务用房、设备用房和附属用房。</w:t>
      </w:r>
    </w:p>
    <w:p>
      <w:pPr>
        <w:pStyle w:val="146"/>
      </w:pPr>
    </w:p>
    <w:p>
      <w:pPr>
        <w:pStyle w:val="25"/>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办公用房清查盘点</w:t>
      </w:r>
    </w:p>
    <w:p>
      <w:pPr>
        <w:pStyle w:val="25"/>
        <w:rPr>
          <w:rFonts w:hint="eastAsia"/>
        </w:rPr>
      </w:pPr>
      <w:r>
        <w:rPr>
          <w:rFonts w:hint="eastAsia"/>
        </w:rPr>
        <w:t>对党政机关办公用房（含技术业务用房）进行帐务清理、资产清查，依法认定各项资产损益和资金挂账，建立资产台账，真实反映办公用房资产占有使用状况的工作。</w:t>
      </w:r>
    </w:p>
    <w:p>
      <w:pPr>
        <w:pStyle w:val="146"/>
      </w:pPr>
    </w:p>
    <w:p>
      <w:pPr>
        <w:pStyle w:val="25"/>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资产总台账</w:t>
      </w:r>
    </w:p>
    <w:p>
      <w:pPr>
        <w:pStyle w:val="25"/>
        <w:rPr>
          <w:rFonts w:hint="eastAsia"/>
        </w:rPr>
      </w:pPr>
      <w:r>
        <w:rPr>
          <w:rFonts w:hint="eastAsia"/>
          <w:color w:val="FF0000"/>
        </w:rPr>
        <w:t>市机关</w:t>
      </w:r>
      <w:r>
        <w:rPr>
          <w:rFonts w:hint="eastAsia"/>
          <w:color w:val="FF0000"/>
          <w:lang w:val="en-US" w:eastAsia="zh-CN"/>
        </w:rPr>
        <w:t>后勤服务中心</w:t>
      </w:r>
      <w:r>
        <w:rPr>
          <w:rFonts w:hint="eastAsia"/>
        </w:rPr>
        <w:t>应建立市级党政机关办公用房资产管理总台账。</w:t>
      </w:r>
    </w:p>
    <w:p>
      <w:pPr>
        <w:pStyle w:val="146"/>
      </w:pPr>
    </w:p>
    <w:p>
      <w:pPr>
        <w:pStyle w:val="25"/>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资产分台账</w:t>
      </w:r>
    </w:p>
    <w:p>
      <w:pPr>
        <w:pStyle w:val="25"/>
        <w:rPr>
          <w:rFonts w:ascii="Tahoma" w:hAnsi="Tahoma" w:cs="Tahoma"/>
          <w:color w:val="000000"/>
          <w:szCs w:val="21"/>
          <w:shd w:val="clear" w:color="auto" w:fill="FFFFFF"/>
        </w:rPr>
      </w:pPr>
      <w:r>
        <w:rPr>
          <w:rFonts w:hint="eastAsia"/>
        </w:rPr>
        <w:t>使用单位应建立本单位办公用房资产管理分台帐。</w:t>
      </w:r>
    </w:p>
    <w:p>
      <w:pPr>
        <w:pStyle w:val="46"/>
        <w:spacing w:before="312" w:after="312"/>
      </w:pPr>
      <w:bookmarkStart w:id="9" w:name="_Toc118281581"/>
      <w:r>
        <w:rPr>
          <w:rFonts w:hint="eastAsia"/>
        </w:rPr>
        <w:t>总体要求</w:t>
      </w:r>
      <w:bookmarkEnd w:id="9"/>
    </w:p>
    <w:p>
      <w:pPr>
        <w:pStyle w:val="25"/>
      </w:pPr>
      <w:r>
        <w:rPr>
          <w:rFonts w:hint="eastAsia"/>
        </w:rPr>
        <w:t>资产信息发生变更后，使用单位应及时调整更新资产分台账，</w:t>
      </w:r>
      <w:r>
        <w:rPr>
          <w:rFonts w:hint="eastAsia"/>
          <w:color w:val="FF0000"/>
        </w:rPr>
        <w:t>市</w:t>
      </w:r>
      <w:r>
        <w:rPr>
          <w:rFonts w:hint="eastAsia"/>
          <w:color w:val="FF0000"/>
          <w:lang w:val="en-US" w:eastAsia="zh-CN"/>
        </w:rPr>
        <w:t>机关后勤服务中心</w:t>
      </w:r>
      <w:r>
        <w:rPr>
          <w:rFonts w:hint="eastAsia"/>
        </w:rPr>
        <w:t>应每年至少组织一次清理盘点，确保总台账信息与分台账信息帐帐相符，与办公用房实际状况相符，与权属证书登记信息基本相符。</w:t>
      </w:r>
    </w:p>
    <w:p>
      <w:pPr>
        <w:pStyle w:val="46"/>
        <w:spacing w:before="312" w:after="312"/>
        <w:rPr>
          <w:rFonts w:hint="eastAsia"/>
        </w:rPr>
      </w:pPr>
      <w:bookmarkStart w:id="10" w:name="_Toc118281582"/>
      <w:r>
        <w:rPr>
          <w:rFonts w:hint="eastAsia"/>
        </w:rPr>
        <w:t>清查盘点</w:t>
      </w:r>
      <w:bookmarkEnd w:id="10"/>
    </w:p>
    <w:p>
      <w:pPr>
        <w:pStyle w:val="43"/>
        <w:spacing w:before="156" w:after="156"/>
        <w:rPr>
          <w:rFonts w:hint="eastAsia"/>
        </w:rPr>
      </w:pPr>
      <w:bookmarkStart w:id="11" w:name="_Toc118281583"/>
      <w:r>
        <w:rPr>
          <w:rFonts w:hint="eastAsia"/>
        </w:rPr>
        <w:t>清查情形</w:t>
      </w:r>
      <w:bookmarkEnd w:id="11"/>
    </w:p>
    <w:p>
      <w:pPr>
        <w:pStyle w:val="25"/>
        <w:rPr>
          <w:rFonts w:hint="eastAsia"/>
        </w:rPr>
      </w:pPr>
      <w:r>
        <w:rPr>
          <w:rFonts w:hint="eastAsia"/>
        </w:rPr>
        <w:t>根据机关事务专项工作要求或者实际工作需要，纳入统一组织的资产清查范围的；机构变动（分立、撤销、合并、改制及隶属关系改变）的；因重大自然灾害等不可抗力造成办公用房资产严重损失的；会计信息严重失真或者国有资产出现重大流失的；会计政策发生重大变更，涉及资产核算方法发生重要变化的；财政部门、主管部门认为应当进行资产清查的其他情形。</w:t>
      </w:r>
    </w:p>
    <w:p>
      <w:pPr>
        <w:pStyle w:val="43"/>
        <w:spacing w:before="156" w:after="156"/>
        <w:rPr>
          <w:rFonts w:hint="eastAsia"/>
        </w:rPr>
      </w:pPr>
      <w:bookmarkStart w:id="12" w:name="_Toc118281584"/>
      <w:r>
        <w:rPr>
          <w:rFonts w:hint="eastAsia"/>
        </w:rPr>
        <w:t>清查内容</w:t>
      </w:r>
      <w:bookmarkEnd w:id="12"/>
    </w:p>
    <w:p>
      <w:pPr>
        <w:pStyle w:val="25"/>
        <w:rPr>
          <w:rFonts w:hint="eastAsia"/>
        </w:rPr>
      </w:pPr>
      <w:r>
        <w:rPr>
          <w:rFonts w:hint="eastAsia"/>
        </w:rPr>
        <w:t>包括办公用房基本情况、使用管理情况和处置利用情况等：</w:t>
      </w:r>
    </w:p>
    <w:p>
      <w:pPr>
        <w:pStyle w:val="49"/>
        <w:rPr>
          <w:rFonts w:hint="eastAsia"/>
        </w:rPr>
      </w:pPr>
      <w:r>
        <w:rPr>
          <w:rFonts w:hint="eastAsia"/>
        </w:rPr>
        <w:t>基本情况包括房产名称、坐落、占地面积、层数、结构、建成时间、状态、建筑面积、使用面积，房产及土地来源，不动产登记等情况；</w:t>
      </w:r>
    </w:p>
    <w:p>
      <w:pPr>
        <w:pStyle w:val="49"/>
        <w:rPr>
          <w:rFonts w:hint="eastAsia"/>
        </w:rPr>
      </w:pPr>
      <w:r>
        <w:rPr>
          <w:rFonts w:hint="eastAsia"/>
        </w:rPr>
        <w:t>使用管理情况包括办公室、服务用房、设备用房和附属用房等各类办公用房的分配、维修改造、物业管理、出租、房屋及附属设施质量等情况；</w:t>
      </w:r>
    </w:p>
    <w:p>
      <w:pPr>
        <w:pStyle w:val="49"/>
        <w:rPr>
          <w:rFonts w:hint="eastAsia"/>
        </w:rPr>
      </w:pPr>
      <w:r>
        <w:rPr>
          <w:rFonts w:hint="eastAsia"/>
        </w:rPr>
        <w:t>处置利用情况包括办公用房的拆除、划转、房屋征收土地收储、调剂利用、转换用途、置换、拍卖等情况。</w:t>
      </w:r>
    </w:p>
    <w:p>
      <w:pPr>
        <w:pStyle w:val="43"/>
        <w:spacing w:before="156" w:after="156"/>
        <w:rPr>
          <w:rFonts w:hint="eastAsia"/>
        </w:rPr>
      </w:pPr>
      <w:bookmarkStart w:id="13" w:name="_Toc118281585"/>
      <w:r>
        <w:rPr>
          <w:rFonts w:hint="eastAsia"/>
        </w:rPr>
        <w:t>清查报告</w:t>
      </w:r>
      <w:bookmarkEnd w:id="13"/>
    </w:p>
    <w:p>
      <w:pPr>
        <w:pStyle w:val="25"/>
      </w:pPr>
      <w:r>
        <w:rPr>
          <w:rFonts w:hint="eastAsia"/>
        </w:rPr>
        <w:t>使用单位应每年进行办公用房资产全面清查盘点，按规定调整相关账卡，做到账实、账卡、账账相符，清查盘点后结束后，使用单位应就办公用房清查工作开展情况、清查结果、发现的问题及原因、整改措施和下一步工作计划等形成年度办公用房清查盘点报告，附清查报表，专项审计报告、证明文件等有关材料报主管部门备案。</w:t>
      </w:r>
    </w:p>
    <w:p>
      <w:pPr>
        <w:rPr>
          <w:color w:val="000000"/>
          <w:sz w:val="24"/>
        </w:rPr>
      </w:pPr>
    </w:p>
    <w:p>
      <w:r>
        <w:rPr>
          <w:rFonts w:hint="eastAsia"/>
          <w:color w:val="000000"/>
          <w:sz w:val="24"/>
        </w:rPr>
        <mc:AlternateContent>
          <mc:Choice Requires="wps">
            <w:drawing>
              <wp:anchor distT="0" distB="0" distL="114300" distR="114300" simplePos="0" relativeHeight="251665408" behindDoc="0" locked="0" layoutInCell="1" allowOverlap="1">
                <wp:simplePos x="0" y="0"/>
                <wp:positionH relativeFrom="column">
                  <wp:posOffset>1785620</wp:posOffset>
                </wp:positionH>
                <wp:positionV relativeFrom="paragraph">
                  <wp:posOffset>1269365</wp:posOffset>
                </wp:positionV>
                <wp:extent cx="27432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0.6pt;margin-top:99.95pt;height:0pt;width:216pt;z-index:251665408;mso-width-relative:page;mso-height-relative:page;" filled="f" stroked="t" coordsize="21600,21600" o:gfxdata="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XBp10tYAAAALAQAADwAAAAAA&#10;AAABACAAAAA4AAAAZHJzL2Rvd25yZXYueG1sUEsBAhQAFAAAAAgAh07iQKjvegPGAQAAYwMAAA4A&#10;AAAAAAAAAQAgAAAAOwEAAGRycy9lMm9Eb2MueG1sUEsFBgAAAAAGAAYAWQEAAHMFAAAAAA==&#10;">
                <v:fill on="f" focussize="0,0"/>
                <v:stroke weight="0.5pt" color="#000000 [3200]" miterlimit="8" joinstyle="miter"/>
                <v:imagedata o:title=""/>
                <o:lock v:ext="edit" aspectratio="f"/>
              </v:line>
            </w:pict>
          </mc:Fallback>
        </mc:AlternateContent>
      </w:r>
    </w:p>
    <w:sectPr>
      <w:headerReference r:id="rId7" w:type="default"/>
      <w:footerReference r:id="rId8" w:type="default"/>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25795"/>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3527172"/>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5</w:t>
        </w:r>
        <w:r>
          <w:fldChar w:fldCharType="end"/>
        </w:r>
      </w:p>
    </w:sdtContent>
  </w:sdt>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wordWrap w:val="0"/>
    </w:pPr>
    <w:r>
      <w:rPr>
        <w:rFonts w:hint="eastAsia"/>
      </w:rPr>
      <w:t xml:space="preserve">邢JG </w:t>
    </w:r>
    <w:r>
      <w:t>YF</w:t>
    </w:r>
    <w:r>
      <w:rPr>
        <w:rFonts w:hint="eastAsia"/>
      </w:rPr>
      <w:t>.</w:t>
    </w:r>
    <w:r>
      <w:rPr>
        <w:rFonts w:hint="eastAsia"/>
        <w:lang w:val="en-US" w:eastAsia="zh-CN"/>
      </w:rPr>
      <w:t>210.</w:t>
    </w:r>
    <w:r>
      <w:t>00</w:t>
    </w:r>
    <w:r>
      <w:rPr>
        <w:rFonts w:hint="eastAsia"/>
        <w:lang w:val="en-US" w:eastAsia="zh-CN"/>
      </w:rPr>
      <w:t>3</w:t>
    </w:r>
    <w:r>
      <w:rPr>
        <w:rFonts w:hint="eastAsia"/>
      </w:rPr>
      <w:t>—202</w:t>
    </w:r>
    <w: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YF</w:t>
    </w:r>
    <w:r>
      <w:rPr>
        <w:rFonts w:hint="eastAsia"/>
      </w:rPr>
      <w:t>.</w:t>
    </w:r>
    <w:r>
      <w:rPr>
        <w:rFonts w:hint="eastAsia"/>
        <w:lang w:val="en-US" w:eastAsia="zh-CN"/>
      </w:rPr>
      <w:t>210.</w:t>
    </w:r>
    <w:r>
      <w:t>00</w:t>
    </w:r>
    <w:r>
      <w:rPr>
        <w:rFonts w:hint="eastAsia"/>
        <w:lang w:val="en-US" w:eastAsia="zh-CN"/>
      </w:rPr>
      <w:t>3</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568"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00EF2EF6"/>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8751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1B9"/>
    <w:rsid w:val="00382EAB"/>
    <w:rsid w:val="00383191"/>
    <w:rsid w:val="00386DED"/>
    <w:rsid w:val="003912E7"/>
    <w:rsid w:val="00393947"/>
    <w:rsid w:val="003A170B"/>
    <w:rsid w:val="003A1C6A"/>
    <w:rsid w:val="003A2275"/>
    <w:rsid w:val="003A2A45"/>
    <w:rsid w:val="003A5313"/>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76F"/>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3D7"/>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1E15"/>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0CA3"/>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07A24"/>
    <w:rsid w:val="008127A2"/>
    <w:rsid w:val="00813900"/>
    <w:rsid w:val="00814471"/>
    <w:rsid w:val="00815D7E"/>
    <w:rsid w:val="00817A00"/>
    <w:rsid w:val="00820A1E"/>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3DB"/>
    <w:rsid w:val="00B52554"/>
    <w:rsid w:val="00B52A8C"/>
    <w:rsid w:val="00B56150"/>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5842"/>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2EF6"/>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D6C5F"/>
    <w:rsid w:val="00FE1C50"/>
    <w:rsid w:val="00FE23DE"/>
    <w:rsid w:val="00FE4D17"/>
    <w:rsid w:val="00FE57AB"/>
    <w:rsid w:val="00FE7D7F"/>
    <w:rsid w:val="00FF04A9"/>
    <w:rsid w:val="0C98550D"/>
    <w:rsid w:val="2EA8435B"/>
    <w:rsid w:val="33251C93"/>
    <w:rsid w:val="4590011C"/>
    <w:rsid w:val="52331739"/>
    <w:rsid w:val="65A10800"/>
    <w:rsid w:val="774F4CBD"/>
    <w:rsid w:val="DF77BC12"/>
    <w:rsid w:val="F3EEC3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100" w:beforeLines="100" w:after="100" w:afterLines="100"/>
      <w:ind w:left="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3"/>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theme/theme1.xml" Type="http://schemas.openxmlformats.org/officeDocument/2006/relationships/theme"/></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5</Pages>
  <Words>1581</Words>
  <Characters>1693</Characters>
  <Lines>18</Lines>
  <Paragraphs>5</Paragraphs>
  <TotalTime>7</TotalTime>
  <ScaleCrop>false</ScaleCrop>
  <LinksUpToDate>false</LinksUpToDate>
  <CharactersWithSpaces>1779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2022-11-03T11:33:00Z</dcterms:created>
  <dc:creator>路源</dc:creator>
  <cp:lastModifiedBy>kylin</cp:lastModifiedBy>
  <cp:lastPrinted>2020-10-14T15:25:00Z</cp:lastPrinted>
  <dcterms:modified xsi:type="dcterms:W3CDTF">2023-03-18T17:54:12Z</dcterms:modified>
  <cp:revision>3</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98AF0C4DE3624F04AA6BD590B51938F5</vt:lpwstr>
  </property>
</Properties>
</file>