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w:t>
      </w:r>
      <w:r>
        <w:rPr>
          <w:rFonts w:hint="eastAsia" w:hAnsi="黑体"/>
          <w:lang w:val="en-US" w:eastAsia="zh-CN"/>
        </w:rPr>
        <w:t>4</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办公用房管理信息统计报告规范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2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85636"/>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15" w:name="_GoBack"/>
      <w:bookmarkEnd w:id="15"/>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1.0</w:t>
            </w:r>
          </w:p>
        </w:tc>
        <w:tc>
          <w:tcPr>
            <w:tcW w:w="1651" w:type="dxa"/>
          </w:tcPr>
          <w:p>
            <w:pPr>
              <w:jc w:val="center"/>
              <w:rPr>
                <w:rFonts w:hint="eastAsia"/>
              </w:rPr>
            </w:pPr>
            <w:r>
              <w:rPr>
                <w:rFonts w:hint="eastAsia"/>
              </w:rPr>
              <w:t>2020-10-20</w:t>
            </w:r>
          </w:p>
        </w:tc>
        <w:tc>
          <w:tcPr>
            <w:tcW w:w="1227" w:type="dxa"/>
          </w:tcPr>
          <w:p>
            <w:pPr>
              <w:jc w:val="center"/>
              <w:rPr>
                <w:rFonts w:hint="eastAsia"/>
              </w:rP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2.0</w:t>
            </w:r>
          </w:p>
        </w:tc>
        <w:tc>
          <w:tcPr>
            <w:tcW w:w="1651" w:type="dxa"/>
          </w:tcPr>
          <w:p>
            <w:pPr>
              <w:jc w:val="center"/>
              <w:rPr>
                <w:rFonts w:hint="eastAsia"/>
              </w:rP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办公用房管理信息统计报告规范</w:t>
      </w:r>
    </w:p>
    <w:p>
      <w:pPr>
        <w:pStyle w:val="46"/>
        <w:spacing w:before="312" w:after="312"/>
      </w:pPr>
      <w:bookmarkStart w:id="6" w:name="_Toc118285637"/>
      <w:r>
        <w:rPr>
          <w:rFonts w:hint="eastAsia"/>
        </w:rPr>
        <w:t>范围</w:t>
      </w:r>
      <w:bookmarkEnd w:id="6"/>
    </w:p>
    <w:p>
      <w:pPr>
        <w:pStyle w:val="25"/>
        <w:tabs>
          <w:tab w:val="clear" w:pos="4201"/>
          <w:tab w:val="clear" w:pos="9298"/>
        </w:tabs>
      </w:pPr>
      <w:r>
        <w:rPr>
          <w:rFonts w:hint="eastAsia"/>
        </w:rPr>
        <w:t>本文件规定了党政机关办公用房管理信息统计报告工作的原则、程序、内容。</w:t>
      </w:r>
    </w:p>
    <w:p>
      <w:pPr>
        <w:pStyle w:val="25"/>
      </w:pPr>
      <w:r>
        <w:rPr>
          <w:rFonts w:hint="eastAsia"/>
        </w:rPr>
        <w:t>本文件适用于各级党政机关本级（含所属垂直管理机构、派出机构和参照公务员法管理的事业单位）办公用房管理信息统计报告工作。</w:t>
      </w:r>
    </w:p>
    <w:p>
      <w:pPr>
        <w:pStyle w:val="46"/>
        <w:spacing w:before="312" w:after="312"/>
      </w:pPr>
      <w:bookmarkStart w:id="7" w:name="_Toc11828563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《党政机关办公用房管理办法》（中办发〔2017〕70号）</w:t>
      </w:r>
    </w:p>
    <w:p>
      <w:pPr>
        <w:pStyle w:val="25"/>
        <w:rPr>
          <w:rFonts w:hint="eastAsia"/>
        </w:rPr>
      </w:pPr>
      <w:r>
        <w:rPr>
          <w:rFonts w:hint="eastAsia"/>
        </w:rPr>
        <w:t>《关于做好全国党政机关办公用房信息统计报告工作的通知》（国管办发〔2019〕22号）</w:t>
      </w:r>
    </w:p>
    <w:p>
      <w:pPr>
        <w:pStyle w:val="25"/>
        <w:rPr>
          <w:rFonts w:hint="eastAsia"/>
        </w:rPr>
      </w:pPr>
      <w:r>
        <w:rPr>
          <w:rFonts w:hint="eastAsia"/>
        </w:rPr>
        <w:t>《河北省党政机关办公用房管理实施办法》（冀办发〔2018〕42号）</w:t>
      </w:r>
    </w:p>
    <w:p>
      <w:pPr>
        <w:pStyle w:val="25"/>
        <w:rPr>
          <w:color w:val="0070C0"/>
        </w:rPr>
      </w:pPr>
      <w:r>
        <w:rPr>
          <w:rFonts w:hint="eastAsia"/>
        </w:rPr>
        <w:t>《邢台市党政机关办公用房管理实施办法》（邢办发〔2020〕15号）</w:t>
      </w:r>
    </w:p>
    <w:p>
      <w:pPr>
        <w:pStyle w:val="46"/>
        <w:spacing w:before="312" w:after="312"/>
      </w:pPr>
      <w:bookmarkStart w:id="8" w:name="_Toc118285639"/>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25"/>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办公用房信息统计</w:t>
      </w:r>
    </w:p>
    <w:p>
      <w:pPr>
        <w:pStyle w:val="25"/>
        <w:rPr>
          <w:rFonts w:hint="eastAsia"/>
        </w:rPr>
      </w:pPr>
      <w:r>
        <w:rPr>
          <w:rFonts w:hint="eastAsia"/>
        </w:rPr>
        <w:t>办公用房管理机关在履行行政管理职能过程中制作或者获取的，以一定形式记录、保存信息数据的统计工作。</w:t>
      </w:r>
    </w:p>
    <w:p>
      <w:pPr>
        <w:pStyle w:val="46"/>
        <w:spacing w:before="312" w:after="312"/>
      </w:pPr>
      <w:bookmarkStart w:id="9" w:name="_Toc118285640"/>
      <w:r>
        <w:rPr>
          <w:rFonts w:hint="eastAsia"/>
        </w:rPr>
        <w:t>总体原则</w:t>
      </w:r>
      <w:bookmarkEnd w:id="9"/>
    </w:p>
    <w:p>
      <w:pPr>
        <w:pStyle w:val="25"/>
        <w:rPr>
          <w:rFonts w:hint="eastAsia"/>
        </w:rPr>
      </w:pPr>
      <w:r>
        <w:rPr>
          <w:rFonts w:hint="eastAsia"/>
        </w:rPr>
        <w:t>党政机关办公用房年度信息统计报告，遵循务实、高效、便捷的原则，逐步提升办公用房精细化、规范化管理水平。</w:t>
      </w:r>
    </w:p>
    <w:p>
      <w:pPr>
        <w:pStyle w:val="46"/>
        <w:spacing w:before="312" w:after="312"/>
        <w:rPr>
          <w:rFonts w:hint="eastAsia"/>
        </w:rPr>
      </w:pPr>
      <w:bookmarkStart w:id="10" w:name="_Toc118285641"/>
      <w:r>
        <w:rPr>
          <w:rFonts w:hint="eastAsia"/>
        </w:rPr>
        <w:t>工作程序</w:t>
      </w:r>
      <w:bookmarkEnd w:id="10"/>
    </w:p>
    <w:p>
      <w:pPr>
        <w:pStyle w:val="146"/>
        <w:rPr>
          <w:rFonts w:hint="eastAsia"/>
        </w:rPr>
      </w:pPr>
      <w:r>
        <w:rPr>
          <w:rFonts w:hint="eastAsia"/>
        </w:rPr>
        <w:t>认真培训，提升办公用房管理信息统计报告工作的水平。</w:t>
      </w:r>
    </w:p>
    <w:p>
      <w:pPr>
        <w:pStyle w:val="146"/>
        <w:rPr>
          <w:rFonts w:hint="eastAsia"/>
        </w:rPr>
      </w:pPr>
      <w:r>
        <w:rPr>
          <w:rFonts w:hint="eastAsia"/>
        </w:rPr>
        <w:t>建立健全通信联络方式，建微信群，确保联络畅通。</w:t>
      </w:r>
    </w:p>
    <w:p>
      <w:pPr>
        <w:pStyle w:val="146"/>
        <w:rPr>
          <w:rFonts w:hint="eastAsia"/>
        </w:rPr>
      </w:pPr>
      <w:r>
        <w:rPr>
          <w:rFonts w:hint="eastAsia"/>
        </w:rPr>
        <w:t>市直、各县（市、区）分别制定办公用房管理信息统计报告工作实施方案。</w:t>
      </w:r>
    </w:p>
    <w:p>
      <w:pPr>
        <w:pStyle w:val="146"/>
        <w:rPr>
          <w:rFonts w:hint="eastAsia"/>
        </w:rPr>
      </w:pPr>
      <w:r>
        <w:rPr>
          <w:rFonts w:hint="eastAsia"/>
        </w:rPr>
        <w:t>逐级汇总审核、上报。</w:t>
      </w:r>
    </w:p>
    <w:p>
      <w:pPr>
        <w:pStyle w:val="146"/>
        <w:rPr>
          <w:rFonts w:hint="eastAsia"/>
        </w:rPr>
      </w:pPr>
      <w:r>
        <w:rPr>
          <w:rFonts w:hint="eastAsia"/>
        </w:rPr>
        <w:t>汇总各级党政机关办公用房信息，形成报告报批。</w:t>
      </w:r>
    </w:p>
    <w:p>
      <w:pPr>
        <w:pStyle w:val="146"/>
        <w:rPr>
          <w:rFonts w:hint="eastAsia"/>
        </w:rPr>
      </w:pPr>
      <w:r>
        <w:rPr>
          <w:rFonts w:hint="eastAsia"/>
        </w:rPr>
        <w:t>每年9月30日前，定方案发通知，督促各级对党政机关办公用房信息进行更新，并通过全国数据库报送至省管理局。</w:t>
      </w:r>
    </w:p>
    <w:p>
      <w:pPr>
        <w:pStyle w:val="46"/>
        <w:spacing w:before="312" w:after="312"/>
        <w:rPr>
          <w:rFonts w:hint="eastAsia"/>
        </w:rPr>
      </w:pPr>
      <w:bookmarkStart w:id="11" w:name="_Toc118285642"/>
      <w:r>
        <w:rPr>
          <w:rFonts w:hint="eastAsia"/>
        </w:rPr>
        <w:t>工作内容</w:t>
      </w:r>
      <w:bookmarkEnd w:id="11"/>
    </w:p>
    <w:p>
      <w:pPr>
        <w:pStyle w:val="146"/>
        <w:rPr>
          <w:rFonts w:hint="eastAsia"/>
        </w:rPr>
      </w:pPr>
      <w:r>
        <w:rPr>
          <w:rFonts w:hint="eastAsia"/>
        </w:rPr>
        <w:t>制定本年度办公用房信息统计报告实施方案。</w:t>
      </w:r>
    </w:p>
    <w:p>
      <w:pPr>
        <w:pStyle w:val="146"/>
        <w:rPr>
          <w:rFonts w:hint="eastAsia"/>
        </w:rPr>
      </w:pPr>
      <w:r>
        <w:rPr>
          <w:rFonts w:hint="eastAsia"/>
        </w:rPr>
        <w:t>报请领导发送办公用房信息统计报告的通知。</w:t>
      </w:r>
    </w:p>
    <w:p>
      <w:pPr>
        <w:pStyle w:val="146"/>
        <w:rPr>
          <w:rFonts w:hint="eastAsia"/>
        </w:rPr>
      </w:pPr>
      <w:r>
        <w:rPr>
          <w:rFonts w:hint="eastAsia"/>
        </w:rPr>
        <w:t>各级如实填报办公用房信息统计表格中（见附录 A、附录 B）的相关内容。</w:t>
      </w:r>
    </w:p>
    <w:p>
      <w:pPr>
        <w:pStyle w:val="146"/>
        <w:rPr>
          <w:rFonts w:hint="eastAsia"/>
        </w:rPr>
      </w:pPr>
      <w:r>
        <w:rPr>
          <w:rFonts w:hint="eastAsia"/>
        </w:rPr>
        <w:t>由下至上汇总审核，并完成上报。</w:t>
      </w:r>
    </w:p>
    <w:p>
      <w:pPr>
        <w:pStyle w:val="146"/>
        <w:rPr>
          <w:rFonts w:hint="eastAsia"/>
        </w:rPr>
      </w:pPr>
      <w:r>
        <w:rPr>
          <w:rFonts w:hint="eastAsia"/>
        </w:rPr>
        <w:t>汇总审核各县（市、区）、市直办公用房信息统计工作。</w:t>
      </w:r>
    </w:p>
    <w:p>
      <w:pPr>
        <w:pStyle w:val="146"/>
      </w:pPr>
      <w:r>
        <w:rPr>
          <w:rFonts w:hint="eastAsia"/>
        </w:rPr>
        <w:t>将汇总的各级党政机关办公用房信息形成报告，报请市委、市政府审批。</w:t>
      </w:r>
    </w:p>
    <w:p>
      <w:pPr>
        <w:rPr>
          <w:color w:val="000000"/>
          <w:sz w:val="24"/>
        </w:rPr>
      </w:pPr>
    </w:p>
    <w:p>
      <w:pPr>
        <w:widowControl/>
        <w:tabs>
          <w:tab w:val="center" w:pos="4201"/>
          <w:tab w:val="right" w:leader="dot" w:pos="9298"/>
        </w:tabs>
        <w:autoSpaceDE w:val="0"/>
        <w:autoSpaceDN w:val="0"/>
        <w:ind w:firstLine="420" w:firstLineChars="200"/>
        <w:rPr>
          <w:rFonts w:ascii="宋体"/>
          <w:kern w:val="0"/>
          <w:szCs w:val="20"/>
        </w:rPr>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pPr>
    </w:p>
    <w:p>
      <w:pPr>
        <w:pStyle w:val="99"/>
      </w:pPr>
    </w:p>
    <w:p>
      <w:pPr>
        <w:pStyle w:val="87"/>
        <w:tabs>
          <w:tab w:val="clear" w:pos="0"/>
        </w:tabs>
      </w:pPr>
    </w:p>
    <w:p>
      <w:pPr>
        <w:pStyle w:val="85"/>
        <w:numPr>
          <w:ilvl w:val="0"/>
          <w:numId w:val="20"/>
        </w:numPr>
      </w:pPr>
      <w:r>
        <w:br w:type="textWrapping"/>
      </w:r>
      <w:bookmarkStart w:id="12" w:name="_Toc118285643"/>
      <w:r>
        <w:rPr>
          <w:rFonts w:hint="eastAsia"/>
        </w:rPr>
        <w:t>（资料性）</w:t>
      </w:r>
      <w:r>
        <w:br w:type="textWrapping"/>
      </w:r>
      <w:r>
        <w:rPr>
          <w:rFonts w:hint="eastAsia"/>
        </w:rPr>
        <w:t>邢台市党政机关办公用房信息统计表样式</w:t>
      </w:r>
      <w:bookmarkEnd w:id="12"/>
    </w:p>
    <w:p>
      <w:pPr>
        <w:pStyle w:val="25"/>
        <w:spacing w:before="156" w:beforeLines="50" w:after="156" w:afterLines="50"/>
        <w:ind w:firstLine="640"/>
        <w:jc w:val="center"/>
        <w:rPr>
          <w:rFonts w:ascii="黑体" w:hAnsi="黑体" w:eastAsia="黑体"/>
          <w:sz w:val="32"/>
          <w:szCs w:val="32"/>
        </w:rPr>
      </w:pPr>
      <w:r>
        <w:rPr>
          <w:rFonts w:hint="eastAsia" w:ascii="黑体" w:hAnsi="黑体" w:eastAsia="黑体"/>
          <w:sz w:val="32"/>
          <w:szCs w:val="32"/>
        </w:rPr>
        <w:t>邢台市党政机关办公用房信息</w:t>
      </w:r>
    </w:p>
    <w:tbl>
      <w:tblPr>
        <w:tblStyle w:val="34"/>
        <w:tblW w:w="140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16"/>
        <w:gridCol w:w="567"/>
        <w:gridCol w:w="567"/>
        <w:gridCol w:w="567"/>
        <w:gridCol w:w="567"/>
        <w:gridCol w:w="567"/>
        <w:gridCol w:w="850"/>
        <w:gridCol w:w="709"/>
        <w:gridCol w:w="425"/>
        <w:gridCol w:w="567"/>
        <w:gridCol w:w="567"/>
        <w:gridCol w:w="567"/>
        <w:gridCol w:w="567"/>
        <w:gridCol w:w="567"/>
        <w:gridCol w:w="567"/>
        <w:gridCol w:w="567"/>
        <w:gridCol w:w="567"/>
        <w:gridCol w:w="567"/>
        <w:gridCol w:w="709"/>
        <w:gridCol w:w="709"/>
        <w:gridCol w:w="567"/>
        <w:gridCol w:w="992"/>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416"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序号</w:t>
            </w:r>
          </w:p>
        </w:tc>
        <w:tc>
          <w:tcPr>
            <w:tcW w:w="567"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地址坐落</w:t>
            </w:r>
          </w:p>
        </w:tc>
        <w:tc>
          <w:tcPr>
            <w:tcW w:w="567"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行政区划</w:t>
            </w:r>
          </w:p>
        </w:tc>
        <w:tc>
          <w:tcPr>
            <w:tcW w:w="567"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用地面积</w:t>
            </w:r>
          </w:p>
          <w:p>
            <w:pPr>
              <w:autoSpaceDE w:val="0"/>
              <w:autoSpaceDN w:val="0"/>
              <w:jc w:val="center"/>
              <w:rPr>
                <w:rFonts w:cs="宋体"/>
                <w:color w:val="000000"/>
              </w:rPr>
            </w:pPr>
          </w:p>
        </w:tc>
        <w:tc>
          <w:tcPr>
            <w:tcW w:w="567"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总建筑面积</w:t>
            </w:r>
          </w:p>
        </w:tc>
        <w:tc>
          <w:tcPr>
            <w:tcW w:w="567"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办公用房建筑面积</w:t>
            </w:r>
          </w:p>
        </w:tc>
        <w:tc>
          <w:tcPr>
            <w:tcW w:w="850"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技术业务用房建筑面积</w:t>
            </w:r>
          </w:p>
        </w:tc>
        <w:tc>
          <w:tcPr>
            <w:tcW w:w="3969" w:type="dxa"/>
            <w:gridSpan w:val="7"/>
            <w:tcBorders>
              <w:tl2br w:val="nil"/>
              <w:tr2bl w:val="nil"/>
            </w:tcBorders>
          </w:tcPr>
          <w:p>
            <w:pPr>
              <w:autoSpaceDE w:val="0"/>
              <w:autoSpaceDN w:val="0"/>
              <w:jc w:val="center"/>
              <w:rPr>
                <w:rFonts w:cs="宋体"/>
                <w:color w:val="000000"/>
              </w:rPr>
            </w:pPr>
            <w:r>
              <w:rPr>
                <w:rFonts w:hint="eastAsia" w:ascii="宋体" w:hAnsi="宋体" w:cs="宋体"/>
                <w:color w:val="000000"/>
              </w:rPr>
              <w:t>使用单位（多个单位填多条）及批复编制情况（人）</w:t>
            </w:r>
          </w:p>
        </w:tc>
        <w:tc>
          <w:tcPr>
            <w:tcW w:w="2268" w:type="dxa"/>
            <w:gridSpan w:val="4"/>
            <w:tcBorders>
              <w:tl2br w:val="nil"/>
              <w:tr2bl w:val="nil"/>
            </w:tcBorders>
          </w:tcPr>
          <w:p>
            <w:pPr>
              <w:autoSpaceDE w:val="0"/>
              <w:autoSpaceDN w:val="0"/>
              <w:jc w:val="center"/>
              <w:rPr>
                <w:rFonts w:cs="宋体"/>
                <w:color w:val="000000"/>
              </w:rPr>
            </w:pPr>
            <w:r>
              <w:rPr>
                <w:rFonts w:hint="eastAsia" w:ascii="宋体" w:hAnsi="宋体" w:cs="宋体"/>
                <w:color w:val="000000"/>
              </w:rPr>
              <w:t>基本办公用房使用面积</w:t>
            </w:r>
            <w:r>
              <w:rPr>
                <w:rFonts w:hint="eastAsia" w:cs="宋体"/>
                <w:color w:val="000000"/>
              </w:rPr>
              <w:t>（㎡）</w:t>
            </w:r>
          </w:p>
        </w:tc>
        <w:tc>
          <w:tcPr>
            <w:tcW w:w="709"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附属用房建筑面积</w:t>
            </w:r>
          </w:p>
        </w:tc>
        <w:tc>
          <w:tcPr>
            <w:tcW w:w="709"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权属登记情况</w:t>
            </w:r>
          </w:p>
        </w:tc>
        <w:tc>
          <w:tcPr>
            <w:tcW w:w="567"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建设年代</w:t>
            </w:r>
          </w:p>
        </w:tc>
        <w:tc>
          <w:tcPr>
            <w:tcW w:w="992"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是否为租(借)用</w:t>
            </w:r>
          </w:p>
        </w:tc>
        <w:tc>
          <w:tcPr>
            <w:tcW w:w="709" w:type="dxa"/>
            <w:vMerge w:val="restart"/>
            <w:tcBorders>
              <w:tl2br w:val="nil"/>
              <w:tr2bl w:val="nil"/>
            </w:tcBorders>
          </w:tcPr>
          <w:p>
            <w:pPr>
              <w:autoSpaceDE w:val="0"/>
              <w:autoSpaceDN w:val="0"/>
              <w:jc w:val="center"/>
              <w:rPr>
                <w:rFonts w:cs="宋体"/>
                <w:color w:val="000000"/>
              </w:rPr>
            </w:pPr>
            <w:r>
              <w:rPr>
                <w:rFonts w:hint="eastAsia" w:ascii="宋体" w:hAnsi="宋体" w:cs="宋体"/>
                <w:color w:val="00000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416" w:type="dxa"/>
            <w:vMerge w:val="continue"/>
            <w:tcBorders>
              <w:tl2br w:val="nil"/>
              <w:tr2bl w:val="nil"/>
            </w:tcBorders>
          </w:tcPr>
          <w:p>
            <w:pPr>
              <w:autoSpaceDE w:val="0"/>
              <w:autoSpaceDN w:val="0"/>
              <w:ind w:firstLine="420"/>
              <w:jc w:val="center"/>
              <w:rPr>
                <w:rFonts w:cs="宋体"/>
                <w:color w:val="000000"/>
              </w:rPr>
            </w:pPr>
          </w:p>
        </w:tc>
        <w:tc>
          <w:tcPr>
            <w:tcW w:w="567" w:type="dxa"/>
            <w:vMerge w:val="continue"/>
            <w:tcBorders>
              <w:tl2br w:val="nil"/>
              <w:tr2bl w:val="nil"/>
            </w:tcBorders>
          </w:tcPr>
          <w:p>
            <w:pPr>
              <w:autoSpaceDE w:val="0"/>
              <w:autoSpaceDN w:val="0"/>
              <w:ind w:firstLine="420"/>
              <w:jc w:val="center"/>
              <w:rPr>
                <w:rFonts w:cs="宋体"/>
                <w:color w:val="000000"/>
              </w:rPr>
            </w:pPr>
          </w:p>
        </w:tc>
        <w:tc>
          <w:tcPr>
            <w:tcW w:w="567" w:type="dxa"/>
            <w:vMerge w:val="continue"/>
            <w:tcBorders>
              <w:tl2br w:val="nil"/>
              <w:tr2bl w:val="nil"/>
            </w:tcBorders>
          </w:tcPr>
          <w:p>
            <w:pPr>
              <w:autoSpaceDE w:val="0"/>
              <w:autoSpaceDN w:val="0"/>
              <w:ind w:firstLine="420"/>
              <w:jc w:val="center"/>
              <w:rPr>
                <w:rFonts w:cs="宋体"/>
                <w:color w:val="000000"/>
              </w:rPr>
            </w:pPr>
          </w:p>
        </w:tc>
        <w:tc>
          <w:tcPr>
            <w:tcW w:w="567" w:type="dxa"/>
            <w:vMerge w:val="continue"/>
            <w:tcBorders>
              <w:tl2br w:val="nil"/>
              <w:tr2bl w:val="nil"/>
            </w:tcBorders>
          </w:tcPr>
          <w:p>
            <w:pPr>
              <w:autoSpaceDE w:val="0"/>
              <w:autoSpaceDN w:val="0"/>
              <w:ind w:firstLine="420"/>
              <w:jc w:val="center"/>
              <w:rPr>
                <w:rFonts w:cs="宋体"/>
                <w:color w:val="000000"/>
              </w:rPr>
            </w:pPr>
          </w:p>
        </w:tc>
        <w:tc>
          <w:tcPr>
            <w:tcW w:w="567" w:type="dxa"/>
            <w:vMerge w:val="continue"/>
            <w:tcBorders>
              <w:tl2br w:val="nil"/>
              <w:tr2bl w:val="nil"/>
            </w:tcBorders>
          </w:tcPr>
          <w:p>
            <w:pPr>
              <w:autoSpaceDE w:val="0"/>
              <w:autoSpaceDN w:val="0"/>
              <w:ind w:firstLine="420"/>
              <w:jc w:val="center"/>
              <w:rPr>
                <w:rFonts w:cs="宋体"/>
                <w:color w:val="000000"/>
              </w:rPr>
            </w:pPr>
          </w:p>
        </w:tc>
        <w:tc>
          <w:tcPr>
            <w:tcW w:w="567" w:type="dxa"/>
            <w:vMerge w:val="continue"/>
            <w:tcBorders>
              <w:tl2br w:val="nil"/>
              <w:tr2bl w:val="nil"/>
            </w:tcBorders>
          </w:tcPr>
          <w:p>
            <w:pPr>
              <w:autoSpaceDE w:val="0"/>
              <w:autoSpaceDN w:val="0"/>
              <w:ind w:firstLine="420"/>
              <w:jc w:val="center"/>
              <w:rPr>
                <w:rFonts w:cs="宋体"/>
                <w:color w:val="000000"/>
              </w:rPr>
            </w:pPr>
          </w:p>
        </w:tc>
        <w:tc>
          <w:tcPr>
            <w:tcW w:w="850" w:type="dxa"/>
            <w:vMerge w:val="continue"/>
            <w:tcBorders>
              <w:tl2br w:val="nil"/>
              <w:tr2bl w:val="nil"/>
            </w:tcBorders>
          </w:tcPr>
          <w:p>
            <w:pPr>
              <w:autoSpaceDE w:val="0"/>
              <w:autoSpaceDN w:val="0"/>
              <w:ind w:firstLine="420"/>
              <w:jc w:val="center"/>
              <w:rPr>
                <w:rFonts w:cs="宋体"/>
                <w:color w:val="000000"/>
              </w:rPr>
            </w:pPr>
          </w:p>
        </w:tc>
        <w:tc>
          <w:tcPr>
            <w:tcW w:w="709" w:type="dxa"/>
            <w:tcBorders>
              <w:tl2br w:val="nil"/>
              <w:tr2bl w:val="nil"/>
            </w:tcBorders>
          </w:tcPr>
          <w:p>
            <w:pPr>
              <w:autoSpaceDE w:val="0"/>
              <w:autoSpaceDN w:val="0"/>
              <w:jc w:val="center"/>
              <w:rPr>
                <w:rFonts w:cs="宋体"/>
                <w:color w:val="000000"/>
              </w:rPr>
            </w:pPr>
            <w:r>
              <w:rPr>
                <w:rFonts w:hint="eastAsia" w:ascii="宋体" w:hAnsi="宋体" w:cs="宋体"/>
                <w:color w:val="000000"/>
              </w:rPr>
              <w:t>单位名称</w:t>
            </w:r>
          </w:p>
        </w:tc>
        <w:tc>
          <w:tcPr>
            <w:tcW w:w="425" w:type="dxa"/>
            <w:tcBorders>
              <w:tl2br w:val="nil"/>
              <w:tr2bl w:val="nil"/>
            </w:tcBorders>
          </w:tcPr>
          <w:p>
            <w:pPr>
              <w:autoSpaceDE w:val="0"/>
              <w:autoSpaceDN w:val="0"/>
              <w:jc w:val="center"/>
              <w:rPr>
                <w:rFonts w:cs="宋体"/>
                <w:color w:val="000000"/>
              </w:rPr>
            </w:pPr>
            <w:r>
              <w:rPr>
                <w:rFonts w:hint="eastAsia" w:ascii="宋体" w:hAnsi="宋体" w:cs="宋体"/>
                <w:color w:val="000000"/>
              </w:rPr>
              <w:t>类别</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正处级</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副处级</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正科级</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副科级</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科级以下</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办公室</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服务用房</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设备用房</w:t>
            </w:r>
          </w:p>
        </w:tc>
        <w:tc>
          <w:tcPr>
            <w:tcW w:w="567" w:type="dxa"/>
            <w:tcBorders>
              <w:tl2br w:val="nil"/>
              <w:tr2bl w:val="nil"/>
            </w:tcBorders>
          </w:tcPr>
          <w:p>
            <w:pPr>
              <w:autoSpaceDE w:val="0"/>
              <w:autoSpaceDN w:val="0"/>
              <w:jc w:val="center"/>
              <w:rPr>
                <w:rFonts w:cs="宋体"/>
                <w:color w:val="000000"/>
              </w:rPr>
            </w:pPr>
            <w:r>
              <w:rPr>
                <w:rFonts w:hint="eastAsia" w:ascii="宋体" w:hAnsi="宋体" w:cs="宋体"/>
                <w:color w:val="000000"/>
              </w:rPr>
              <w:t>合计</w:t>
            </w:r>
          </w:p>
        </w:tc>
        <w:tc>
          <w:tcPr>
            <w:tcW w:w="709" w:type="dxa"/>
            <w:vMerge w:val="continue"/>
            <w:tcBorders>
              <w:tl2br w:val="nil"/>
              <w:tr2bl w:val="nil"/>
            </w:tcBorders>
          </w:tcPr>
          <w:p>
            <w:pPr>
              <w:autoSpaceDE w:val="0"/>
              <w:autoSpaceDN w:val="0"/>
              <w:ind w:firstLine="420"/>
              <w:jc w:val="center"/>
              <w:rPr>
                <w:rFonts w:cs="宋体"/>
                <w:color w:val="000000"/>
              </w:rPr>
            </w:pPr>
          </w:p>
        </w:tc>
        <w:tc>
          <w:tcPr>
            <w:tcW w:w="709" w:type="dxa"/>
            <w:vMerge w:val="continue"/>
            <w:tcBorders>
              <w:tl2br w:val="nil"/>
              <w:tr2bl w:val="nil"/>
            </w:tcBorders>
          </w:tcPr>
          <w:p>
            <w:pPr>
              <w:autoSpaceDE w:val="0"/>
              <w:autoSpaceDN w:val="0"/>
              <w:ind w:firstLine="420"/>
              <w:jc w:val="center"/>
              <w:rPr>
                <w:rFonts w:cs="宋体"/>
                <w:color w:val="000000"/>
              </w:rPr>
            </w:pPr>
          </w:p>
        </w:tc>
        <w:tc>
          <w:tcPr>
            <w:tcW w:w="567" w:type="dxa"/>
            <w:vMerge w:val="continue"/>
            <w:tcBorders>
              <w:tl2br w:val="nil"/>
              <w:tr2bl w:val="nil"/>
            </w:tcBorders>
          </w:tcPr>
          <w:p>
            <w:pPr>
              <w:autoSpaceDE w:val="0"/>
              <w:autoSpaceDN w:val="0"/>
              <w:ind w:firstLine="420"/>
              <w:jc w:val="center"/>
              <w:rPr>
                <w:rFonts w:cs="宋体"/>
                <w:color w:val="000000"/>
              </w:rPr>
            </w:pPr>
          </w:p>
        </w:tc>
        <w:tc>
          <w:tcPr>
            <w:tcW w:w="992" w:type="dxa"/>
            <w:vMerge w:val="continue"/>
            <w:tcBorders>
              <w:tl2br w:val="nil"/>
              <w:tr2bl w:val="nil"/>
            </w:tcBorders>
          </w:tcPr>
          <w:p>
            <w:pPr>
              <w:autoSpaceDE w:val="0"/>
              <w:autoSpaceDN w:val="0"/>
              <w:ind w:firstLine="420"/>
              <w:jc w:val="center"/>
              <w:rPr>
                <w:rFonts w:cs="宋体"/>
                <w:color w:val="000000"/>
              </w:rPr>
            </w:pPr>
          </w:p>
        </w:tc>
        <w:tc>
          <w:tcPr>
            <w:tcW w:w="709" w:type="dxa"/>
            <w:vMerge w:val="continue"/>
            <w:tcBorders>
              <w:tl2br w:val="nil"/>
              <w:tr2bl w:val="nil"/>
            </w:tcBorders>
          </w:tcPr>
          <w:p>
            <w:pPr>
              <w:autoSpaceDE w:val="0"/>
              <w:autoSpaceDN w:val="0"/>
              <w:ind w:firstLine="420"/>
              <w:jc w:val="center"/>
              <w:rPr>
                <w:rFonts w:cs="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416" w:type="dxa"/>
            <w:vMerge w:val="restart"/>
            <w:tcBorders>
              <w:tl2br w:val="nil"/>
              <w:tr2bl w:val="nil"/>
            </w:tcBorders>
            <w:vAlign w:val="center"/>
          </w:tcPr>
          <w:p>
            <w:pPr>
              <w:autoSpaceDE w:val="0"/>
              <w:autoSpaceDN w:val="0"/>
              <w:jc w:val="center"/>
              <w:rPr>
                <w:rFonts w:cs="宋体"/>
                <w:color w:val="000000"/>
              </w:rPr>
            </w:pPr>
            <w:r>
              <w:rPr>
                <w:rFonts w:ascii="宋体" w:hAnsi="宋体" w:cs="宋体"/>
                <w:color w:val="000000"/>
              </w:rPr>
              <w:t>1</w:t>
            </w:r>
          </w:p>
        </w:tc>
        <w:tc>
          <w:tcPr>
            <w:tcW w:w="567" w:type="dxa"/>
            <w:vMerge w:val="restart"/>
            <w:tcBorders>
              <w:tl2br w:val="nil"/>
              <w:tr2bl w:val="nil"/>
            </w:tcBorders>
            <w:vAlign w:val="center"/>
          </w:tcPr>
          <w:p>
            <w:pPr>
              <w:autoSpaceDE w:val="0"/>
              <w:autoSpaceDN w:val="0"/>
              <w:jc w:val="left"/>
              <w:rPr>
                <w:rFonts w:cs="宋体"/>
                <w:color w:val="000000"/>
              </w:rPr>
            </w:pPr>
          </w:p>
        </w:tc>
        <w:tc>
          <w:tcPr>
            <w:tcW w:w="567" w:type="dxa"/>
            <w:vMerge w:val="restart"/>
            <w:tcBorders>
              <w:tl2br w:val="nil"/>
              <w:tr2bl w:val="nil"/>
            </w:tcBorders>
            <w:vAlign w:val="center"/>
          </w:tcPr>
          <w:p>
            <w:pPr>
              <w:autoSpaceDE w:val="0"/>
              <w:autoSpaceDN w:val="0"/>
              <w:jc w:val="left"/>
              <w:rPr>
                <w:rFonts w:cs="宋体"/>
                <w:color w:val="000000"/>
              </w:rPr>
            </w:pPr>
          </w:p>
        </w:tc>
        <w:tc>
          <w:tcPr>
            <w:tcW w:w="567" w:type="dxa"/>
            <w:vMerge w:val="restart"/>
            <w:tcBorders>
              <w:tl2br w:val="nil"/>
              <w:tr2bl w:val="nil"/>
            </w:tcBorders>
            <w:vAlign w:val="center"/>
          </w:tcPr>
          <w:p>
            <w:pPr>
              <w:autoSpaceDE w:val="0"/>
              <w:autoSpaceDN w:val="0"/>
              <w:jc w:val="left"/>
              <w:rPr>
                <w:rFonts w:cs="宋体"/>
                <w:color w:val="000000"/>
              </w:rPr>
            </w:pPr>
          </w:p>
        </w:tc>
        <w:tc>
          <w:tcPr>
            <w:tcW w:w="567" w:type="dxa"/>
            <w:vMerge w:val="restart"/>
            <w:tcBorders>
              <w:tl2br w:val="nil"/>
              <w:tr2bl w:val="nil"/>
            </w:tcBorders>
            <w:vAlign w:val="center"/>
          </w:tcPr>
          <w:p>
            <w:pPr>
              <w:autoSpaceDE w:val="0"/>
              <w:autoSpaceDN w:val="0"/>
              <w:jc w:val="left"/>
              <w:rPr>
                <w:rFonts w:cs="宋体"/>
                <w:color w:val="000000"/>
              </w:rPr>
            </w:pPr>
          </w:p>
        </w:tc>
        <w:tc>
          <w:tcPr>
            <w:tcW w:w="567" w:type="dxa"/>
            <w:vMerge w:val="restart"/>
            <w:tcBorders>
              <w:tl2br w:val="nil"/>
              <w:tr2bl w:val="nil"/>
            </w:tcBorders>
            <w:vAlign w:val="center"/>
          </w:tcPr>
          <w:p>
            <w:pPr>
              <w:autoSpaceDE w:val="0"/>
              <w:autoSpaceDN w:val="0"/>
              <w:jc w:val="left"/>
              <w:rPr>
                <w:rFonts w:cs="宋体"/>
                <w:color w:val="000000"/>
              </w:rPr>
            </w:pPr>
          </w:p>
        </w:tc>
        <w:tc>
          <w:tcPr>
            <w:tcW w:w="850" w:type="dxa"/>
            <w:vMerge w:val="restart"/>
            <w:tcBorders>
              <w:tl2br w:val="nil"/>
              <w:tr2bl w:val="nil"/>
            </w:tcBorders>
            <w:vAlign w:val="center"/>
          </w:tcPr>
          <w:p>
            <w:pPr>
              <w:autoSpaceDE w:val="0"/>
              <w:autoSpaceDN w:val="0"/>
              <w:jc w:val="left"/>
              <w:rPr>
                <w:rFonts w:cs="宋体"/>
                <w:color w:val="000000"/>
              </w:rPr>
            </w:pPr>
          </w:p>
        </w:tc>
        <w:tc>
          <w:tcPr>
            <w:tcW w:w="709" w:type="dxa"/>
            <w:tcBorders>
              <w:tl2br w:val="nil"/>
              <w:tr2bl w:val="nil"/>
            </w:tcBorders>
            <w:vAlign w:val="center"/>
          </w:tcPr>
          <w:p>
            <w:pPr>
              <w:autoSpaceDE w:val="0"/>
              <w:autoSpaceDN w:val="0"/>
              <w:jc w:val="left"/>
              <w:rPr>
                <w:rFonts w:cs="宋体"/>
                <w:color w:val="000000"/>
              </w:rPr>
            </w:pPr>
          </w:p>
        </w:tc>
        <w:tc>
          <w:tcPr>
            <w:tcW w:w="425"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709" w:type="dxa"/>
            <w:vMerge w:val="restart"/>
            <w:tcBorders>
              <w:tl2br w:val="nil"/>
              <w:tr2bl w:val="nil"/>
            </w:tcBorders>
            <w:vAlign w:val="center"/>
          </w:tcPr>
          <w:p>
            <w:pPr>
              <w:autoSpaceDE w:val="0"/>
              <w:autoSpaceDN w:val="0"/>
              <w:jc w:val="left"/>
              <w:rPr>
                <w:rFonts w:cs="宋体"/>
                <w:color w:val="000000"/>
              </w:rPr>
            </w:pPr>
          </w:p>
        </w:tc>
        <w:tc>
          <w:tcPr>
            <w:tcW w:w="709" w:type="dxa"/>
            <w:vMerge w:val="restart"/>
            <w:tcBorders>
              <w:tl2br w:val="nil"/>
              <w:tr2bl w:val="nil"/>
            </w:tcBorders>
            <w:vAlign w:val="center"/>
          </w:tcPr>
          <w:p>
            <w:pPr>
              <w:autoSpaceDE w:val="0"/>
              <w:autoSpaceDN w:val="0"/>
              <w:jc w:val="left"/>
              <w:rPr>
                <w:rFonts w:cs="宋体"/>
                <w:color w:val="000000"/>
              </w:rPr>
            </w:pPr>
          </w:p>
        </w:tc>
        <w:tc>
          <w:tcPr>
            <w:tcW w:w="567" w:type="dxa"/>
            <w:vMerge w:val="restart"/>
            <w:tcBorders>
              <w:tl2br w:val="nil"/>
              <w:tr2bl w:val="nil"/>
            </w:tcBorders>
            <w:vAlign w:val="center"/>
          </w:tcPr>
          <w:p>
            <w:pPr>
              <w:autoSpaceDE w:val="0"/>
              <w:autoSpaceDN w:val="0"/>
              <w:jc w:val="left"/>
              <w:rPr>
                <w:rFonts w:cs="宋体"/>
                <w:color w:val="000000"/>
              </w:rPr>
            </w:pPr>
          </w:p>
        </w:tc>
        <w:tc>
          <w:tcPr>
            <w:tcW w:w="992" w:type="dxa"/>
            <w:vMerge w:val="restart"/>
            <w:tcBorders>
              <w:tl2br w:val="nil"/>
              <w:tr2bl w:val="nil"/>
            </w:tcBorders>
            <w:vAlign w:val="center"/>
          </w:tcPr>
          <w:p>
            <w:pPr>
              <w:autoSpaceDE w:val="0"/>
              <w:autoSpaceDN w:val="0"/>
              <w:jc w:val="left"/>
              <w:rPr>
                <w:rFonts w:cs="宋体"/>
                <w:color w:val="000000"/>
              </w:rPr>
            </w:pPr>
          </w:p>
        </w:tc>
        <w:tc>
          <w:tcPr>
            <w:tcW w:w="709" w:type="dxa"/>
            <w:vMerge w:val="restart"/>
            <w:tcBorders>
              <w:tl2br w:val="nil"/>
              <w:tr2bl w:val="nil"/>
            </w:tcBorders>
            <w:vAlign w:val="center"/>
          </w:tcPr>
          <w:p>
            <w:pPr>
              <w:autoSpaceDE w:val="0"/>
              <w:autoSpaceDN w:val="0"/>
              <w:jc w:val="left"/>
              <w:rPr>
                <w:rFonts w:cs="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55" w:hRule="atLeast"/>
          <w:jc w:val="center"/>
        </w:trPr>
        <w:tc>
          <w:tcPr>
            <w:tcW w:w="416" w:type="dxa"/>
            <w:vMerge w:val="continue"/>
            <w:tcBorders>
              <w:tl2br w:val="nil"/>
              <w:tr2bl w:val="nil"/>
            </w:tcBorders>
            <w:vAlign w:val="center"/>
          </w:tcPr>
          <w:p>
            <w:pPr>
              <w:autoSpaceDE w:val="0"/>
              <w:autoSpaceDN w:val="0"/>
              <w:jc w:val="center"/>
              <w:rPr>
                <w:rFonts w:ascii="宋体" w:hAnsi="宋体" w:cs="宋体"/>
                <w:color w:val="000000"/>
              </w:rPr>
            </w:pPr>
          </w:p>
        </w:tc>
        <w:tc>
          <w:tcPr>
            <w:tcW w:w="567" w:type="dxa"/>
            <w:vMerge w:val="continue"/>
            <w:tcBorders>
              <w:tl2br w:val="nil"/>
              <w:tr2bl w:val="nil"/>
            </w:tcBorders>
            <w:vAlign w:val="center"/>
          </w:tcPr>
          <w:p>
            <w:pPr>
              <w:autoSpaceDE w:val="0"/>
              <w:autoSpaceDN w:val="0"/>
              <w:jc w:val="left"/>
              <w:rPr>
                <w:rFonts w:cs="宋体"/>
                <w:color w:val="000000"/>
              </w:rPr>
            </w:pPr>
          </w:p>
        </w:tc>
        <w:tc>
          <w:tcPr>
            <w:tcW w:w="567" w:type="dxa"/>
            <w:vMerge w:val="continue"/>
            <w:tcBorders>
              <w:tl2br w:val="nil"/>
              <w:tr2bl w:val="nil"/>
            </w:tcBorders>
            <w:vAlign w:val="center"/>
          </w:tcPr>
          <w:p>
            <w:pPr>
              <w:autoSpaceDE w:val="0"/>
              <w:autoSpaceDN w:val="0"/>
              <w:jc w:val="left"/>
              <w:rPr>
                <w:rFonts w:cs="宋体"/>
                <w:color w:val="000000"/>
              </w:rPr>
            </w:pPr>
          </w:p>
        </w:tc>
        <w:tc>
          <w:tcPr>
            <w:tcW w:w="567" w:type="dxa"/>
            <w:vMerge w:val="continue"/>
            <w:tcBorders>
              <w:tl2br w:val="nil"/>
              <w:tr2bl w:val="nil"/>
            </w:tcBorders>
            <w:vAlign w:val="center"/>
          </w:tcPr>
          <w:p>
            <w:pPr>
              <w:autoSpaceDE w:val="0"/>
              <w:autoSpaceDN w:val="0"/>
              <w:jc w:val="left"/>
              <w:rPr>
                <w:rFonts w:cs="宋体"/>
                <w:color w:val="000000"/>
              </w:rPr>
            </w:pPr>
          </w:p>
        </w:tc>
        <w:tc>
          <w:tcPr>
            <w:tcW w:w="567" w:type="dxa"/>
            <w:vMerge w:val="continue"/>
            <w:tcBorders>
              <w:tl2br w:val="nil"/>
              <w:tr2bl w:val="nil"/>
            </w:tcBorders>
            <w:vAlign w:val="center"/>
          </w:tcPr>
          <w:p>
            <w:pPr>
              <w:autoSpaceDE w:val="0"/>
              <w:autoSpaceDN w:val="0"/>
              <w:jc w:val="left"/>
              <w:rPr>
                <w:rFonts w:cs="宋体"/>
                <w:color w:val="000000"/>
              </w:rPr>
            </w:pPr>
          </w:p>
        </w:tc>
        <w:tc>
          <w:tcPr>
            <w:tcW w:w="567" w:type="dxa"/>
            <w:vMerge w:val="continue"/>
            <w:tcBorders>
              <w:tl2br w:val="nil"/>
              <w:tr2bl w:val="nil"/>
            </w:tcBorders>
            <w:vAlign w:val="center"/>
          </w:tcPr>
          <w:p>
            <w:pPr>
              <w:autoSpaceDE w:val="0"/>
              <w:autoSpaceDN w:val="0"/>
              <w:jc w:val="left"/>
              <w:rPr>
                <w:rFonts w:cs="宋体"/>
                <w:color w:val="000000"/>
              </w:rPr>
            </w:pPr>
          </w:p>
        </w:tc>
        <w:tc>
          <w:tcPr>
            <w:tcW w:w="850" w:type="dxa"/>
            <w:vMerge w:val="continue"/>
            <w:tcBorders>
              <w:tl2br w:val="nil"/>
              <w:tr2bl w:val="nil"/>
            </w:tcBorders>
            <w:vAlign w:val="center"/>
          </w:tcPr>
          <w:p>
            <w:pPr>
              <w:autoSpaceDE w:val="0"/>
              <w:autoSpaceDN w:val="0"/>
              <w:jc w:val="left"/>
              <w:rPr>
                <w:rFonts w:cs="宋体"/>
                <w:color w:val="000000"/>
              </w:rPr>
            </w:pPr>
          </w:p>
        </w:tc>
        <w:tc>
          <w:tcPr>
            <w:tcW w:w="709" w:type="dxa"/>
            <w:tcBorders>
              <w:tl2br w:val="nil"/>
              <w:tr2bl w:val="nil"/>
            </w:tcBorders>
            <w:vAlign w:val="center"/>
          </w:tcPr>
          <w:p>
            <w:pPr>
              <w:autoSpaceDE w:val="0"/>
              <w:autoSpaceDN w:val="0"/>
              <w:jc w:val="left"/>
              <w:rPr>
                <w:rFonts w:cs="宋体"/>
                <w:color w:val="000000"/>
              </w:rPr>
            </w:pPr>
          </w:p>
        </w:tc>
        <w:tc>
          <w:tcPr>
            <w:tcW w:w="425"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709" w:type="dxa"/>
            <w:vMerge w:val="continue"/>
            <w:tcBorders>
              <w:tl2br w:val="nil"/>
              <w:tr2bl w:val="nil"/>
            </w:tcBorders>
            <w:vAlign w:val="center"/>
          </w:tcPr>
          <w:p>
            <w:pPr>
              <w:autoSpaceDE w:val="0"/>
              <w:autoSpaceDN w:val="0"/>
              <w:jc w:val="left"/>
              <w:rPr>
                <w:rFonts w:cs="宋体"/>
                <w:color w:val="000000"/>
              </w:rPr>
            </w:pPr>
          </w:p>
        </w:tc>
        <w:tc>
          <w:tcPr>
            <w:tcW w:w="709" w:type="dxa"/>
            <w:vMerge w:val="continue"/>
            <w:tcBorders>
              <w:tl2br w:val="nil"/>
              <w:tr2bl w:val="nil"/>
            </w:tcBorders>
            <w:vAlign w:val="center"/>
          </w:tcPr>
          <w:p>
            <w:pPr>
              <w:autoSpaceDE w:val="0"/>
              <w:autoSpaceDN w:val="0"/>
              <w:jc w:val="left"/>
              <w:rPr>
                <w:rFonts w:cs="宋体"/>
                <w:color w:val="000000"/>
              </w:rPr>
            </w:pPr>
          </w:p>
        </w:tc>
        <w:tc>
          <w:tcPr>
            <w:tcW w:w="567" w:type="dxa"/>
            <w:vMerge w:val="continue"/>
            <w:tcBorders>
              <w:tl2br w:val="nil"/>
              <w:tr2bl w:val="nil"/>
            </w:tcBorders>
            <w:vAlign w:val="center"/>
          </w:tcPr>
          <w:p>
            <w:pPr>
              <w:autoSpaceDE w:val="0"/>
              <w:autoSpaceDN w:val="0"/>
              <w:jc w:val="left"/>
              <w:rPr>
                <w:rFonts w:cs="宋体"/>
                <w:color w:val="000000"/>
              </w:rPr>
            </w:pPr>
          </w:p>
        </w:tc>
        <w:tc>
          <w:tcPr>
            <w:tcW w:w="992" w:type="dxa"/>
            <w:vMerge w:val="continue"/>
            <w:tcBorders>
              <w:tl2br w:val="nil"/>
              <w:tr2bl w:val="nil"/>
            </w:tcBorders>
            <w:vAlign w:val="center"/>
          </w:tcPr>
          <w:p>
            <w:pPr>
              <w:autoSpaceDE w:val="0"/>
              <w:autoSpaceDN w:val="0"/>
              <w:jc w:val="left"/>
              <w:rPr>
                <w:rFonts w:cs="宋体"/>
                <w:color w:val="000000"/>
              </w:rPr>
            </w:pPr>
          </w:p>
        </w:tc>
        <w:tc>
          <w:tcPr>
            <w:tcW w:w="709" w:type="dxa"/>
            <w:vMerge w:val="continue"/>
            <w:tcBorders>
              <w:tl2br w:val="nil"/>
              <w:tr2bl w:val="nil"/>
            </w:tcBorders>
            <w:vAlign w:val="center"/>
          </w:tcPr>
          <w:p>
            <w:pPr>
              <w:autoSpaceDE w:val="0"/>
              <w:autoSpaceDN w:val="0"/>
              <w:jc w:val="left"/>
              <w:rPr>
                <w:rFonts w:cs="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16" w:type="dxa"/>
            <w:tcBorders>
              <w:tl2br w:val="nil"/>
              <w:tr2bl w:val="nil"/>
            </w:tcBorders>
            <w:vAlign w:val="center"/>
          </w:tcPr>
          <w:p>
            <w:pPr>
              <w:autoSpaceDE w:val="0"/>
              <w:autoSpaceDN w:val="0"/>
              <w:jc w:val="center"/>
              <w:rPr>
                <w:rFonts w:hint="eastAsia" w:ascii="宋体" w:hAnsi="宋体" w:cs="宋体"/>
                <w:color w:val="000000"/>
              </w:rPr>
            </w:pPr>
            <w:r>
              <w:rPr>
                <w:rFonts w:hint="eastAsia" w:ascii="宋体" w:hAnsi="宋体" w:cs="宋体"/>
                <w:color w:val="000000"/>
              </w:rPr>
              <w:t>2</w:t>
            </w: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850" w:type="dxa"/>
            <w:tcBorders>
              <w:tl2br w:val="nil"/>
              <w:tr2bl w:val="nil"/>
            </w:tcBorders>
            <w:vAlign w:val="center"/>
          </w:tcPr>
          <w:p>
            <w:pPr>
              <w:autoSpaceDE w:val="0"/>
              <w:autoSpaceDN w:val="0"/>
              <w:jc w:val="left"/>
              <w:rPr>
                <w:rFonts w:cs="宋体"/>
                <w:color w:val="000000"/>
              </w:rPr>
            </w:pPr>
          </w:p>
        </w:tc>
        <w:tc>
          <w:tcPr>
            <w:tcW w:w="709" w:type="dxa"/>
            <w:tcBorders>
              <w:tl2br w:val="nil"/>
              <w:tr2bl w:val="nil"/>
            </w:tcBorders>
            <w:vAlign w:val="center"/>
          </w:tcPr>
          <w:p>
            <w:pPr>
              <w:autoSpaceDE w:val="0"/>
              <w:autoSpaceDN w:val="0"/>
              <w:jc w:val="left"/>
              <w:rPr>
                <w:rFonts w:cs="宋体"/>
                <w:color w:val="000000"/>
              </w:rPr>
            </w:pPr>
          </w:p>
        </w:tc>
        <w:tc>
          <w:tcPr>
            <w:tcW w:w="425"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709" w:type="dxa"/>
            <w:tcBorders>
              <w:tl2br w:val="nil"/>
              <w:tr2bl w:val="nil"/>
            </w:tcBorders>
            <w:vAlign w:val="center"/>
          </w:tcPr>
          <w:p>
            <w:pPr>
              <w:autoSpaceDE w:val="0"/>
              <w:autoSpaceDN w:val="0"/>
              <w:jc w:val="left"/>
              <w:rPr>
                <w:rFonts w:cs="宋体"/>
                <w:color w:val="000000"/>
              </w:rPr>
            </w:pPr>
          </w:p>
        </w:tc>
        <w:tc>
          <w:tcPr>
            <w:tcW w:w="709" w:type="dxa"/>
            <w:tcBorders>
              <w:tl2br w:val="nil"/>
              <w:tr2bl w:val="nil"/>
            </w:tcBorders>
            <w:vAlign w:val="center"/>
          </w:tcPr>
          <w:p>
            <w:pPr>
              <w:autoSpaceDE w:val="0"/>
              <w:autoSpaceDN w:val="0"/>
              <w:jc w:val="left"/>
              <w:rPr>
                <w:rFonts w:cs="宋体"/>
                <w:color w:val="000000"/>
              </w:rPr>
            </w:pPr>
          </w:p>
        </w:tc>
        <w:tc>
          <w:tcPr>
            <w:tcW w:w="567" w:type="dxa"/>
            <w:tcBorders>
              <w:tl2br w:val="nil"/>
              <w:tr2bl w:val="nil"/>
            </w:tcBorders>
            <w:vAlign w:val="center"/>
          </w:tcPr>
          <w:p>
            <w:pPr>
              <w:autoSpaceDE w:val="0"/>
              <w:autoSpaceDN w:val="0"/>
              <w:jc w:val="left"/>
              <w:rPr>
                <w:rFonts w:cs="宋体"/>
                <w:color w:val="000000"/>
              </w:rPr>
            </w:pPr>
          </w:p>
        </w:tc>
        <w:tc>
          <w:tcPr>
            <w:tcW w:w="992" w:type="dxa"/>
            <w:tcBorders>
              <w:tl2br w:val="nil"/>
              <w:tr2bl w:val="nil"/>
            </w:tcBorders>
            <w:vAlign w:val="center"/>
          </w:tcPr>
          <w:p>
            <w:pPr>
              <w:autoSpaceDE w:val="0"/>
              <w:autoSpaceDN w:val="0"/>
              <w:jc w:val="left"/>
              <w:rPr>
                <w:rFonts w:cs="宋体"/>
                <w:color w:val="000000"/>
              </w:rPr>
            </w:pPr>
          </w:p>
        </w:tc>
        <w:tc>
          <w:tcPr>
            <w:tcW w:w="709" w:type="dxa"/>
            <w:tcBorders>
              <w:tl2br w:val="nil"/>
              <w:tr2bl w:val="nil"/>
            </w:tcBorders>
            <w:vAlign w:val="center"/>
          </w:tcPr>
          <w:p>
            <w:pPr>
              <w:autoSpaceDE w:val="0"/>
              <w:autoSpaceDN w:val="0"/>
              <w:jc w:val="left"/>
              <w:rPr>
                <w:rFonts w:cs="宋体"/>
                <w:color w:val="000000"/>
              </w:rPr>
            </w:pPr>
          </w:p>
        </w:tc>
      </w:tr>
    </w:tbl>
    <w:p>
      <w:pPr>
        <w:jc w:val="center"/>
        <w:rPr>
          <w:color w:val="000000"/>
        </w:rPr>
      </w:pPr>
    </w:p>
    <w:p>
      <w:pPr>
        <w:jc w:val="center"/>
        <w:rPr>
          <w:rFonts w:hint="eastAsia"/>
          <w:color w:val="000000"/>
        </w:rPr>
      </w:pPr>
    </w:p>
    <w:p>
      <w:pPr>
        <w:jc w:val="center"/>
        <w:rPr>
          <w:color w:val="000000"/>
        </w:rPr>
      </w:pPr>
    </w:p>
    <w:p>
      <w:pPr>
        <w:widowControl/>
        <w:tabs>
          <w:tab w:val="center" w:pos="4201"/>
          <w:tab w:val="right" w:leader="dot" w:pos="9298"/>
        </w:tabs>
        <w:autoSpaceDE w:val="0"/>
        <w:autoSpaceDN w:val="0"/>
        <w:ind w:firstLine="420" w:firstLineChars="200"/>
        <w:rPr>
          <w:rFonts w:ascii="宋体"/>
          <w:kern w:val="0"/>
          <w:szCs w:val="20"/>
        </w:rPr>
      </w:pPr>
    </w:p>
    <w:p>
      <w:pPr>
        <w:keepNext/>
        <w:pageBreakBefore/>
        <w:widowControl/>
        <w:spacing w:line="14" w:lineRule="exact"/>
        <w:ind w:firstLine="363"/>
        <w:jc w:val="center"/>
        <w:outlineLvl w:val="0"/>
        <w:rPr>
          <w:color w:val="FFFFFF"/>
        </w:rPr>
      </w:pPr>
    </w:p>
    <w:p>
      <w:pPr>
        <w:spacing w:line="14" w:lineRule="exact"/>
        <w:ind w:left="811" w:hanging="448"/>
        <w:jc w:val="center"/>
        <w:outlineLvl w:val="0"/>
        <w:rPr>
          <w:color w:val="FFFFFF"/>
        </w:rPr>
      </w:pPr>
    </w:p>
    <w:p>
      <w:pPr>
        <w:pStyle w:val="85"/>
        <w:numPr>
          <w:ilvl w:val="0"/>
          <w:numId w:val="20"/>
        </w:numPr>
      </w:pPr>
      <w:r>
        <w:br w:type="textWrapping"/>
      </w:r>
      <w:bookmarkStart w:id="13" w:name="_Toc118281000"/>
      <w:bookmarkStart w:id="14" w:name="_Toc118285644"/>
      <w:r>
        <w:rPr>
          <w:rFonts w:hint="eastAsia"/>
        </w:rPr>
        <w:t>（资料性）</w:t>
      </w:r>
      <w:r>
        <w:br w:type="textWrapping"/>
      </w:r>
      <w:bookmarkEnd w:id="13"/>
      <w:r>
        <w:rPr>
          <w:rFonts w:hint="eastAsia"/>
        </w:rPr>
        <w:t>办公区外技术业务用房信息统计表样式</w:t>
      </w:r>
      <w:bookmarkEnd w:id="14"/>
    </w:p>
    <w:p>
      <w:pPr>
        <w:jc w:val="center"/>
        <w:rPr>
          <w:b/>
          <w:bCs/>
          <w:color w:val="000000"/>
          <w:sz w:val="32"/>
          <w:szCs w:val="28"/>
        </w:rPr>
      </w:pPr>
      <w:r>
        <w:rPr>
          <w:rFonts w:hint="eastAsia"/>
          <w:b/>
          <w:bCs/>
          <w:color w:val="000000"/>
          <w:sz w:val="32"/>
          <w:szCs w:val="28"/>
        </w:rPr>
        <w:t>办公区外技术业务用房信息</w:t>
      </w:r>
    </w:p>
    <w:p>
      <w:pPr>
        <w:jc w:val="righ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（单位：㎡）</w:t>
      </w:r>
    </w:p>
    <w:tbl>
      <w:tblPr>
        <w:tblStyle w:val="34"/>
        <w:tblW w:w="14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72"/>
        <w:gridCol w:w="1134"/>
        <w:gridCol w:w="1134"/>
        <w:gridCol w:w="1276"/>
        <w:gridCol w:w="4536"/>
        <w:gridCol w:w="1701"/>
        <w:gridCol w:w="1701"/>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1" w:type="dxa"/>
            <w:tcBorders>
              <w:tl2br w:val="nil"/>
              <w:tr2bl w:val="nil"/>
            </w:tcBorders>
            <w:vAlign w:val="center"/>
          </w:tcPr>
          <w:p>
            <w:pPr>
              <w:jc w:val="center"/>
              <w:rPr>
                <w:color w:val="000000"/>
              </w:rPr>
            </w:pPr>
            <w:r>
              <w:rPr>
                <w:rFonts w:hint="eastAsia"/>
                <w:color w:val="000000"/>
              </w:rPr>
              <w:t>序号</w:t>
            </w:r>
          </w:p>
        </w:tc>
        <w:tc>
          <w:tcPr>
            <w:tcW w:w="1272" w:type="dxa"/>
            <w:tcBorders>
              <w:tl2br w:val="nil"/>
              <w:tr2bl w:val="nil"/>
            </w:tcBorders>
            <w:vAlign w:val="center"/>
          </w:tcPr>
          <w:p>
            <w:pPr>
              <w:jc w:val="center"/>
              <w:rPr>
                <w:color w:val="000000"/>
              </w:rPr>
            </w:pPr>
            <w:r>
              <w:rPr>
                <w:rFonts w:hint="eastAsia"/>
                <w:color w:val="000000"/>
              </w:rPr>
              <w:t>地址坐落</w:t>
            </w:r>
          </w:p>
        </w:tc>
        <w:tc>
          <w:tcPr>
            <w:tcW w:w="1134" w:type="dxa"/>
            <w:tcBorders>
              <w:tl2br w:val="nil"/>
              <w:tr2bl w:val="nil"/>
            </w:tcBorders>
            <w:vAlign w:val="center"/>
          </w:tcPr>
          <w:p>
            <w:pPr>
              <w:jc w:val="center"/>
              <w:rPr>
                <w:color w:val="000000"/>
              </w:rPr>
            </w:pPr>
            <w:r>
              <w:rPr>
                <w:rFonts w:hint="eastAsia"/>
                <w:color w:val="000000"/>
              </w:rPr>
              <w:t>行政区划</w:t>
            </w:r>
          </w:p>
        </w:tc>
        <w:tc>
          <w:tcPr>
            <w:tcW w:w="1134" w:type="dxa"/>
            <w:tcBorders>
              <w:tl2br w:val="nil"/>
              <w:tr2bl w:val="nil"/>
            </w:tcBorders>
            <w:vAlign w:val="center"/>
          </w:tcPr>
          <w:p>
            <w:pPr>
              <w:jc w:val="center"/>
              <w:rPr>
                <w:color w:val="000000"/>
              </w:rPr>
            </w:pPr>
            <w:r>
              <w:rPr>
                <w:rFonts w:hint="eastAsia"/>
                <w:color w:val="000000"/>
              </w:rPr>
              <w:t>用地面积</w:t>
            </w:r>
          </w:p>
        </w:tc>
        <w:tc>
          <w:tcPr>
            <w:tcW w:w="1276" w:type="dxa"/>
            <w:tcBorders>
              <w:tl2br w:val="nil"/>
              <w:tr2bl w:val="nil"/>
            </w:tcBorders>
            <w:vAlign w:val="center"/>
          </w:tcPr>
          <w:p>
            <w:pPr>
              <w:jc w:val="center"/>
              <w:rPr>
                <w:color w:val="000000"/>
              </w:rPr>
            </w:pPr>
            <w:r>
              <w:rPr>
                <w:rFonts w:hint="eastAsia"/>
                <w:color w:val="000000"/>
              </w:rPr>
              <w:t>总建筑面积</w:t>
            </w:r>
          </w:p>
        </w:tc>
        <w:tc>
          <w:tcPr>
            <w:tcW w:w="4536" w:type="dxa"/>
            <w:tcBorders>
              <w:tl2br w:val="nil"/>
              <w:tr2bl w:val="nil"/>
            </w:tcBorders>
            <w:vAlign w:val="center"/>
          </w:tcPr>
          <w:p>
            <w:pPr>
              <w:jc w:val="center"/>
              <w:rPr>
                <w:color w:val="000000"/>
              </w:rPr>
            </w:pPr>
            <w:r>
              <w:rPr>
                <w:rFonts w:hint="eastAsia"/>
                <w:color w:val="000000"/>
              </w:rPr>
              <w:t>主要使用单位</w:t>
            </w:r>
          </w:p>
          <w:p>
            <w:pPr>
              <w:jc w:val="center"/>
              <w:rPr>
                <w:color w:val="000000"/>
              </w:rPr>
            </w:pPr>
            <w:r>
              <w:rPr>
                <w:rFonts w:hint="eastAsia"/>
                <w:color w:val="000000"/>
              </w:rPr>
              <w:t>（可填多个）</w:t>
            </w:r>
          </w:p>
        </w:tc>
        <w:tc>
          <w:tcPr>
            <w:tcW w:w="1701" w:type="dxa"/>
            <w:tcBorders>
              <w:tl2br w:val="nil"/>
              <w:tr2bl w:val="nil"/>
            </w:tcBorders>
            <w:vAlign w:val="center"/>
          </w:tcPr>
          <w:p>
            <w:pPr>
              <w:jc w:val="center"/>
              <w:rPr>
                <w:color w:val="000000"/>
              </w:rPr>
            </w:pPr>
            <w:r>
              <w:rPr>
                <w:rFonts w:hint="eastAsia"/>
                <w:color w:val="000000"/>
              </w:rPr>
              <w:t>权属登记情况</w:t>
            </w:r>
          </w:p>
        </w:tc>
        <w:tc>
          <w:tcPr>
            <w:tcW w:w="1701" w:type="dxa"/>
            <w:tcBorders>
              <w:tl2br w:val="nil"/>
              <w:tr2bl w:val="nil"/>
            </w:tcBorders>
            <w:vAlign w:val="center"/>
          </w:tcPr>
          <w:p>
            <w:pPr>
              <w:jc w:val="center"/>
              <w:rPr>
                <w:color w:val="000000"/>
              </w:rPr>
            </w:pPr>
            <w:r>
              <w:rPr>
                <w:rFonts w:hint="eastAsia"/>
                <w:color w:val="000000"/>
              </w:rPr>
              <w:t>建设年代</w:t>
            </w:r>
          </w:p>
        </w:tc>
        <w:tc>
          <w:tcPr>
            <w:tcW w:w="850" w:type="dxa"/>
            <w:tcBorders>
              <w:tl2br w:val="nil"/>
              <w:tr2bl w:val="nil"/>
            </w:tcBorders>
            <w:vAlign w:val="center"/>
          </w:tcPr>
          <w:p>
            <w:pPr>
              <w:jc w:val="center"/>
              <w:rPr>
                <w:color w:val="000000"/>
              </w:rPr>
            </w:pPr>
            <w:r>
              <w:rPr>
                <w:rFonts w:hint="eastAsia"/>
                <w:color w:val="00000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61" w:type="dxa"/>
            <w:tcBorders>
              <w:tl2br w:val="nil"/>
              <w:tr2bl w:val="nil"/>
            </w:tcBorders>
            <w:vAlign w:val="center"/>
          </w:tcPr>
          <w:p>
            <w:pPr>
              <w:jc w:val="center"/>
              <w:rPr>
                <w:color w:val="000000"/>
              </w:rPr>
            </w:pPr>
            <w:r>
              <w:rPr>
                <w:rFonts w:hint="eastAsia"/>
                <w:color w:val="000000"/>
              </w:rPr>
              <w:t>1</w:t>
            </w:r>
          </w:p>
        </w:tc>
        <w:tc>
          <w:tcPr>
            <w:tcW w:w="1272"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134"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134"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276"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4536"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701"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701"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850"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61" w:type="dxa"/>
            <w:tcBorders>
              <w:tl2br w:val="nil"/>
              <w:tr2bl w:val="nil"/>
            </w:tcBorders>
            <w:vAlign w:val="center"/>
          </w:tcPr>
          <w:p>
            <w:pPr>
              <w:jc w:val="center"/>
              <w:rPr>
                <w:color w:val="000000"/>
              </w:rPr>
            </w:pPr>
            <w:r>
              <w:rPr>
                <w:rFonts w:hint="eastAsia"/>
                <w:color w:val="000000"/>
              </w:rPr>
              <w:t>2</w:t>
            </w:r>
          </w:p>
        </w:tc>
        <w:tc>
          <w:tcPr>
            <w:tcW w:w="1272"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134"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134"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276"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4536"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701"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1701"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c>
          <w:tcPr>
            <w:tcW w:w="850" w:type="dxa"/>
            <w:tcBorders>
              <w:tl2br w:val="nil"/>
              <w:tr2bl w:val="nil"/>
            </w:tcBorders>
            <w:vAlign w:val="center"/>
          </w:tcPr>
          <w:p>
            <w:pPr>
              <w:autoSpaceDE w:val="0"/>
              <w:autoSpaceDN w:val="0"/>
              <w:spacing w:before="600" w:line="219" w:lineRule="exact"/>
              <w:ind w:firstLine="420"/>
              <w:jc w:val="center"/>
              <w:rPr>
                <w:rFonts w:ascii="楷体" w:hAnsi="楷体" w:eastAsia="楷体" w:cs="楷体"/>
                <w:color w:val="000000"/>
                <w:lang w:eastAsia="en-US"/>
              </w:rPr>
            </w:pPr>
          </w:p>
        </w:tc>
      </w:tr>
    </w:tbl>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mc:AlternateContent>
          <mc:Choice Requires="wps">
            <w:drawing>
              <wp:anchor distT="0" distB="0" distL="114300" distR="114300" simplePos="0" relativeHeight="251660288" behindDoc="0" locked="0" layoutInCell="1" allowOverlap="1">
                <wp:simplePos x="0" y="0"/>
                <wp:positionH relativeFrom="column">
                  <wp:posOffset>3281045</wp:posOffset>
                </wp:positionH>
                <wp:positionV relativeFrom="paragraph">
                  <wp:posOffset>1807845</wp:posOffset>
                </wp:positionV>
                <wp:extent cx="30480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8.35pt;margin-top:142.35pt;height:0pt;width:240pt;z-index:251660288;mso-width-relative:page;mso-height-relative:page;" filled="f" stroked="t" coordsize="21600,21600" o:gfxdata="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iKZE7tcAAAALAQAADwAA&#10;AAAAAAABACAAAAA4AAAAZHJzL2Rvd25yZXYueG1sUEsBAhQAFAAAAAgAh07iQAnu7ivIAQAAYwMA&#10;AA4AAAAAAAAAAQAgAAAAPAEAAGRycy9lMm9Eb2MueG1sUEsFBgAAAAAGAAYAWQEAAHYFAAAAAA==&#10;">
                <v:fill on="f" focussize="0,0"/>
                <v:stroke weight="0.5pt" color="#000000 [3200]" miterlimit="8" joinstyle="miter"/>
                <v:imagedata o:title=""/>
                <o:lock v:ext="edit" aspectratio="f"/>
              </v:line>
            </w:pict>
          </mc:Fallback>
        </mc:AlternateContent>
      </w:r>
    </w:p>
    <w:sectPr>
      <w:pgSz w:w="16838" w:h="11906" w:orient="landscape"/>
      <w:pgMar w:top="1134" w:right="1418" w:bottom="1134" w:left="1418" w:header="1134" w:footer="907"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4</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473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0AE5"/>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0EC2"/>
    <w:rsid w:val="00421E5E"/>
    <w:rsid w:val="00425082"/>
    <w:rsid w:val="00427D04"/>
    <w:rsid w:val="00431DEB"/>
    <w:rsid w:val="0043263E"/>
    <w:rsid w:val="00436B51"/>
    <w:rsid w:val="00445A1D"/>
    <w:rsid w:val="00446B29"/>
    <w:rsid w:val="00453F9A"/>
    <w:rsid w:val="00455CE5"/>
    <w:rsid w:val="00462CEC"/>
    <w:rsid w:val="00464F47"/>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2DA7"/>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E15"/>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4A0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26EE"/>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842"/>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6C5F"/>
    <w:rsid w:val="00FE1C50"/>
    <w:rsid w:val="00FE23DE"/>
    <w:rsid w:val="00FE4D17"/>
    <w:rsid w:val="00FE57AB"/>
    <w:rsid w:val="00FE7D7F"/>
    <w:rsid w:val="00FF04A9"/>
    <w:rsid w:val="2EA8435B"/>
    <w:rsid w:val="33251C93"/>
    <w:rsid w:val="33FFECD2"/>
    <w:rsid w:val="4590011C"/>
    <w:rsid w:val="52331739"/>
    <w:rsid w:val="5DF62485"/>
    <w:rsid w:val="736B88DB"/>
    <w:rsid w:val="7FDF6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408</Words>
  <Characters>2327</Characters>
  <Lines>19</Lines>
  <Paragraphs>5</Paragraphs>
  <TotalTime>24</TotalTime>
  <ScaleCrop>false</ScaleCrop>
  <LinksUpToDate>false</LinksUpToDate>
  <CharactersWithSpaces>2730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2022-11-03T12:21:00Z</dcterms:created>
  <dc:creator>路源</dc:creator>
  <cp:lastModifiedBy>kylin</cp:lastModifiedBy>
  <cp:lastPrinted>2020-10-14T15:25:00Z</cp:lastPrinted>
  <dcterms:modified xsi:type="dcterms:W3CDTF">2023-03-18T17:54:31Z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