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：YF</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YF.</w:t>
      </w:r>
      <w:r>
        <w:rPr>
          <w:rFonts w:hint="eastAsia" w:hAnsi="黑体"/>
          <w:lang w:val="en-US" w:eastAsia="zh-CN"/>
        </w:rPr>
        <w:t>210.</w:t>
      </w:r>
      <w:r>
        <w:rPr>
          <w:rFonts w:hAnsi="黑体"/>
        </w:rPr>
        <w:t>00</w:t>
      </w:r>
      <w:r>
        <w:rPr>
          <w:rFonts w:hint="eastAsia" w:hAnsi="黑体"/>
          <w:lang w:val="en-US" w:eastAsia="zh-CN"/>
        </w:rPr>
        <w:t>5</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办公用房档案管理规范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28"/>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118286245"/>
      <w:bookmarkStart w:id="3" w:name="_Toc49518022"/>
      <w:bookmarkStart w:id="4" w:name="_Toc47569482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办公用房管理科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宋体"/>
          <w:color w:val="000000"/>
          <w:szCs w:val="21"/>
          <w:u w:val="single"/>
        </w:rPr>
        <w:t>办公用房管理科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郝建树、吴茜雅、方琰</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苏岩</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2022-08-1</w:t>
      </w:r>
      <w:r>
        <w:rPr>
          <w:rFonts w:hint="eastAsia" w:cs="宋体"/>
          <w:color w:val="000000"/>
          <w:szCs w:val="21"/>
          <w:u w:val="single"/>
          <w:lang w:val="en-US" w:eastAsia="zh-CN"/>
        </w:rPr>
        <w:t>5</w:t>
      </w:r>
      <w:bookmarkStart w:id="14" w:name="_GoBack"/>
      <w:bookmarkEnd w:id="14"/>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宋体"/>
          <w:color w:val="000000"/>
          <w:szCs w:val="21"/>
          <w:u w:val="single"/>
        </w:rPr>
        <w:t>2022-08-31</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1.0</w:t>
            </w:r>
          </w:p>
        </w:tc>
        <w:tc>
          <w:tcPr>
            <w:tcW w:w="1651" w:type="dxa"/>
          </w:tcPr>
          <w:p>
            <w:pPr>
              <w:jc w:val="center"/>
            </w:pPr>
            <w:r>
              <w:rPr>
                <w:rFonts w:hint="eastAsia"/>
              </w:rPr>
              <w:t>2020-10-20</w:t>
            </w:r>
          </w:p>
        </w:tc>
        <w:tc>
          <w:tcPr>
            <w:tcW w:w="1227" w:type="dxa"/>
          </w:tcPr>
          <w:p>
            <w:pPr>
              <w:jc w:val="center"/>
            </w:pPr>
            <w:r>
              <w:rPr>
                <w:rFonts w:hint="eastAsia"/>
              </w:rPr>
              <w:t>创建</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pPr>
            <w:r>
              <w:rPr>
                <w:rFonts w:hint="eastAsia"/>
              </w:rPr>
              <w:t>2.0</w:t>
            </w:r>
          </w:p>
        </w:tc>
        <w:tc>
          <w:tcPr>
            <w:tcW w:w="1651" w:type="dxa"/>
          </w:tcPr>
          <w:p>
            <w:pPr>
              <w:jc w:val="center"/>
            </w:pPr>
            <w:r>
              <w:rPr>
                <w:rFonts w:hint="eastAsia"/>
              </w:rPr>
              <w:t>2022-09-01</w:t>
            </w:r>
          </w:p>
        </w:tc>
        <w:tc>
          <w:tcPr>
            <w:tcW w:w="1227" w:type="dxa"/>
          </w:tcPr>
          <w:p>
            <w:pPr>
              <w:jc w:val="center"/>
            </w:pPr>
            <w:r>
              <w:rPr>
                <w:rFonts w:hint="eastAsia"/>
              </w:rPr>
              <w:t>更改</w:t>
            </w: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p>
        </w:tc>
        <w:tc>
          <w:tcPr>
            <w:tcW w:w="1651" w:type="dxa"/>
          </w:tcPr>
          <w:p>
            <w:pPr>
              <w:jc w:val="center"/>
              <w:rPr>
                <w:rFonts w:cs="仿宋_GB2312" w:asciiTheme="minorEastAsia" w:hAnsiTheme="minorEastAsia" w:eastAsiaTheme="minorEastAsia"/>
                <w:kern w:val="0"/>
                <w:sz w:val="18"/>
                <w:szCs w:val="18"/>
              </w:rPr>
            </w:pPr>
          </w:p>
        </w:tc>
        <w:tc>
          <w:tcPr>
            <w:tcW w:w="1227" w:type="dxa"/>
          </w:tcPr>
          <w:p>
            <w:pPr>
              <w:jc w:val="center"/>
              <w:rPr>
                <w:rFonts w:cs="仿宋_GB2312" w:asciiTheme="minorEastAsia" w:hAnsiTheme="minorEastAsia" w:eastAsiaTheme="minorEastAsia"/>
                <w:kern w:val="0"/>
                <w:sz w:val="18"/>
                <w:szCs w:val="18"/>
              </w:rPr>
            </w:pPr>
          </w:p>
        </w:tc>
        <w:tc>
          <w:tcPr>
            <w:tcW w:w="5386" w:type="dxa"/>
          </w:tcPr>
          <w:p>
            <w:pPr>
              <w:jc w:val="left"/>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25"/>
        <w:sectPr>
          <w:headerReference r:id="rId5" w:type="default"/>
          <w:footerReference r:id="rId6" w:type="default"/>
          <w:pgSz w:w="11906" w:h="16838"/>
          <w:pgMar w:top="567" w:right="1134" w:bottom="1134" w:left="1418" w:header="1418" w:footer="1134" w:gutter="0"/>
          <w:cols w:space="425" w:num="1"/>
          <w:formProt w:val="0"/>
          <w:docGrid w:type="lines" w:linePitch="312" w:charSpace="0"/>
        </w:sectPr>
      </w:pPr>
    </w:p>
    <w:p>
      <w:pPr>
        <w:pStyle w:val="51"/>
      </w:pPr>
      <w:r>
        <w:rPr>
          <w:rFonts w:hint="eastAsia"/>
        </w:rPr>
        <w:t>办公用房档案管理规范</w:t>
      </w:r>
    </w:p>
    <w:p>
      <w:pPr>
        <w:pStyle w:val="46"/>
        <w:spacing w:before="312" w:after="312"/>
      </w:pPr>
      <w:bookmarkStart w:id="6" w:name="_Toc118286246"/>
      <w:r>
        <w:rPr>
          <w:rFonts w:hint="eastAsia"/>
        </w:rPr>
        <w:t>范围</w:t>
      </w:r>
      <w:bookmarkEnd w:id="6"/>
    </w:p>
    <w:p>
      <w:pPr>
        <w:pStyle w:val="25"/>
        <w:tabs>
          <w:tab w:val="clear" w:pos="4201"/>
          <w:tab w:val="clear" w:pos="9298"/>
        </w:tabs>
      </w:pPr>
      <w:r>
        <w:rPr>
          <w:rFonts w:hint="eastAsia"/>
        </w:rPr>
        <w:t>本文件规定了</w:t>
      </w:r>
      <w:r>
        <w:rPr>
          <w:rFonts w:hint="eastAsia"/>
          <w:color w:val="000000"/>
        </w:rPr>
        <w:t>邢台市市级机关办公用房档案管理工作的术语和定义、总体要求、档案管理</w:t>
      </w:r>
      <w:r>
        <w:rPr>
          <w:rFonts w:hint="eastAsia"/>
        </w:rPr>
        <w:t>。</w:t>
      </w:r>
    </w:p>
    <w:p>
      <w:pPr>
        <w:pStyle w:val="25"/>
      </w:pPr>
      <w:r>
        <w:rPr>
          <w:rFonts w:hint="eastAsia"/>
        </w:rPr>
        <w:t>本文件适用于</w:t>
      </w:r>
      <w:r>
        <w:rPr>
          <w:rFonts w:hint="eastAsia"/>
          <w:color w:val="000000"/>
        </w:rPr>
        <w:t>邢台市机关后勤服务中心开展市级机关办公用房档案管理工作</w:t>
      </w:r>
      <w:r>
        <w:rPr>
          <w:rFonts w:hint="eastAsia"/>
        </w:rPr>
        <w:t>。</w:t>
      </w:r>
    </w:p>
    <w:p>
      <w:pPr>
        <w:pStyle w:val="46"/>
        <w:spacing w:before="312" w:after="312"/>
      </w:pPr>
      <w:bookmarkStart w:id="7" w:name="_Toc11828624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《机关事务管理条例》（中华人民共和国国务院令第621号）</w:t>
      </w:r>
    </w:p>
    <w:p>
      <w:pPr>
        <w:pStyle w:val="25"/>
        <w:rPr>
          <w:rFonts w:hint="eastAsia"/>
        </w:rPr>
      </w:pPr>
      <w:r>
        <w:rPr>
          <w:rFonts w:hint="eastAsia"/>
        </w:rPr>
        <w:t>《河北省机关事务管理办法》（省政府令〔2013〕第4号）</w:t>
      </w:r>
    </w:p>
    <w:p>
      <w:pPr>
        <w:pStyle w:val="25"/>
        <w:rPr>
          <w:rFonts w:hint="eastAsia"/>
        </w:rPr>
      </w:pPr>
      <w:r>
        <w:rPr>
          <w:rFonts w:hint="eastAsia"/>
        </w:rPr>
        <w:t>《党政机关厉行节约反对浪费条例》（中发〔2013〕13号）</w:t>
      </w:r>
    </w:p>
    <w:p>
      <w:pPr>
        <w:pStyle w:val="25"/>
        <w:rPr>
          <w:rFonts w:hint="eastAsia"/>
        </w:rPr>
      </w:pPr>
      <w:r>
        <w:rPr>
          <w:rFonts w:hint="eastAsia"/>
        </w:rPr>
        <w:t>《党政机关办公用房管理办法》（中办发〔2017〕70号）</w:t>
      </w:r>
    </w:p>
    <w:p>
      <w:pPr>
        <w:pStyle w:val="25"/>
        <w:rPr>
          <w:rFonts w:hint="eastAsia"/>
        </w:rPr>
      </w:pPr>
      <w:r>
        <w:rPr>
          <w:rFonts w:hint="eastAsia"/>
        </w:rPr>
        <w:t>《河北省党政机关办公用房管理实施办法》（冀办发〔2018〕42号）</w:t>
      </w:r>
    </w:p>
    <w:p>
      <w:pPr>
        <w:pStyle w:val="25"/>
        <w:rPr>
          <w:color w:val="0070C0"/>
        </w:rPr>
      </w:pPr>
      <w:r>
        <w:rPr>
          <w:rFonts w:hint="eastAsia"/>
        </w:rPr>
        <w:t>《邢台市党政机关办公用房管理实施办法》（邢办发〔2020〕15号）</w:t>
      </w:r>
    </w:p>
    <w:p>
      <w:pPr>
        <w:pStyle w:val="46"/>
        <w:spacing w:before="312" w:after="312"/>
      </w:pPr>
      <w:bookmarkStart w:id="8" w:name="_Toc118286248"/>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党政机关</w:t>
      </w:r>
    </w:p>
    <w:p>
      <w:pPr>
        <w:pStyle w:val="25"/>
        <w:rPr>
          <w:rFonts w:ascii="Tahoma" w:hAnsi="Tahoma" w:cs="Tahoma"/>
          <w:color w:val="000000"/>
          <w:szCs w:val="21"/>
          <w:shd w:val="clear" w:color="auto" w:fill="FFFFFF"/>
        </w:rPr>
      </w:pPr>
      <w:r>
        <w:rPr>
          <w:rFonts w:hint="eastAsia"/>
        </w:rPr>
        <w:t>党的机关、人大机关、行政机关、政协机关、监察机关、监察机关、以及工会、共青团、妇联的等人民团体机关、各民主党派机关以及上述部门所属的行政单位和参照公务员法管理的事业单位。</w:t>
      </w:r>
    </w:p>
    <w:p>
      <w:pPr>
        <w:pStyle w:val="146"/>
      </w:pPr>
    </w:p>
    <w:p>
      <w:pPr>
        <w:pStyle w:val="148"/>
      </w:pPr>
      <w:r>
        <w:rPr>
          <w:rFonts w:hint="eastAsia"/>
        </w:rPr>
        <w:t>办公用房</w:t>
      </w:r>
    </w:p>
    <w:p>
      <w:pPr>
        <w:pStyle w:val="25"/>
        <w:rPr>
          <w:rFonts w:ascii="Tahoma" w:hAnsi="Tahoma" w:cs="Tahoma"/>
          <w:color w:val="000000"/>
          <w:szCs w:val="21"/>
          <w:shd w:val="clear" w:color="auto" w:fill="FFFFFF"/>
        </w:rPr>
      </w:pPr>
      <w:r>
        <w:rPr>
          <w:rFonts w:hint="eastAsia"/>
        </w:rPr>
        <w:t>党政机关占有、使用或者可以确认属于机关资产的，为保障党政机关正常运行需要设置的基本工作场所，包括办公室、服务用房、设备用房和附属用房。</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办公用房档案</w:t>
      </w:r>
    </w:p>
    <w:p>
      <w:pPr>
        <w:pStyle w:val="25"/>
      </w:pPr>
      <w:r>
        <w:rPr>
          <w:rFonts w:hint="eastAsia"/>
        </w:rPr>
        <w:t>党政机关办公用房（含技术业务用房）的建设、使用、管理等工作中形成的具有保存价值的文字、图表、声像等不同形式的历史纪录。</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资产总台账</w:t>
      </w:r>
    </w:p>
    <w:p>
      <w:pPr>
        <w:pStyle w:val="25"/>
      </w:pPr>
      <w:r>
        <w:rPr>
          <w:rFonts w:hint="eastAsia"/>
          <w:color w:val="FF0000"/>
        </w:rPr>
        <w:t>市</w:t>
      </w:r>
      <w:r>
        <w:rPr>
          <w:rFonts w:hint="eastAsia"/>
          <w:color w:val="FF0000"/>
          <w:lang w:val="en-US" w:eastAsia="zh-CN"/>
        </w:rPr>
        <w:t>机关后勤服务中心</w:t>
      </w:r>
      <w:r>
        <w:rPr>
          <w:rFonts w:hint="eastAsia"/>
        </w:rPr>
        <w:t>应建立市级党政机关办公用房资产管理总台账。</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资产分台账</w:t>
      </w:r>
    </w:p>
    <w:p>
      <w:pPr>
        <w:pStyle w:val="25"/>
        <w:rPr>
          <w:rFonts w:ascii="Tahoma" w:hAnsi="Tahoma" w:cs="Tahoma"/>
          <w:color w:val="000000"/>
          <w:szCs w:val="21"/>
          <w:shd w:val="clear" w:color="auto" w:fill="FFFFFF"/>
        </w:rPr>
      </w:pPr>
      <w:r>
        <w:rPr>
          <w:rFonts w:hint="eastAsia"/>
        </w:rPr>
        <w:t>使用单位应建立本单位办公用房资产管理分台帐。</w:t>
      </w:r>
    </w:p>
    <w:p>
      <w:pPr>
        <w:pStyle w:val="46"/>
        <w:spacing w:before="312" w:after="312"/>
      </w:pPr>
      <w:bookmarkStart w:id="9" w:name="_Toc118286249"/>
      <w:r>
        <w:rPr>
          <w:rFonts w:hint="eastAsia"/>
        </w:rPr>
        <w:t>总体要求</w:t>
      </w:r>
      <w:bookmarkEnd w:id="9"/>
    </w:p>
    <w:p>
      <w:pPr>
        <w:pStyle w:val="25"/>
      </w:pPr>
      <w:r>
        <w:rPr>
          <w:rFonts w:hint="eastAsia"/>
        </w:rPr>
        <w:t>党政机关办公用房档案管理工作以权属档案管理为核心，遵循统一组织、分级负责、分类归档、多套分存、授权使用的原则。</w:t>
      </w:r>
    </w:p>
    <w:p>
      <w:pPr>
        <w:pStyle w:val="46"/>
        <w:spacing w:before="312" w:after="312"/>
      </w:pPr>
      <w:bookmarkStart w:id="10" w:name="_Toc118286250"/>
      <w:r>
        <w:rPr>
          <w:rFonts w:hint="eastAsia"/>
        </w:rPr>
        <w:t>档案管理</w:t>
      </w:r>
      <w:bookmarkEnd w:id="10"/>
    </w:p>
    <w:p>
      <w:pPr>
        <w:pStyle w:val="43"/>
        <w:spacing w:before="156" w:after="156"/>
        <w:rPr>
          <w:rFonts w:hint="eastAsia"/>
        </w:rPr>
      </w:pPr>
      <w:bookmarkStart w:id="11" w:name="_Toc118286251"/>
      <w:r>
        <w:rPr>
          <w:rFonts w:hint="eastAsia"/>
        </w:rPr>
        <w:t>使用单位档案管理</w:t>
      </w:r>
      <w:bookmarkEnd w:id="11"/>
    </w:p>
    <w:p>
      <w:pPr>
        <w:pStyle w:val="25"/>
        <w:rPr>
          <w:rFonts w:hint="eastAsia"/>
        </w:rPr>
      </w:pPr>
      <w:r>
        <w:rPr>
          <w:rFonts w:hint="eastAsia"/>
        </w:rPr>
        <w:t>办公用房使用单位应及时归集以下方面的原始档案，按年度并移交市机关后勤服务中心：</w:t>
      </w:r>
    </w:p>
    <w:p>
      <w:pPr>
        <w:pStyle w:val="49"/>
        <w:rPr>
          <w:rFonts w:hint="eastAsia"/>
        </w:rPr>
      </w:pPr>
      <w:r>
        <w:rPr>
          <w:rFonts w:hint="eastAsia"/>
          <w:b/>
        </w:rPr>
        <w:t>权属档案。</w:t>
      </w:r>
      <w:r>
        <w:rPr>
          <w:rFonts w:hint="eastAsia"/>
        </w:rPr>
        <w:t>办公用房在权属登记、调查、测绘、转移、变更等工作中，形成的记载证明房屋所有权及土地使用权权属来源、变更情况等内容的文件材料；</w:t>
      </w:r>
    </w:p>
    <w:p>
      <w:pPr>
        <w:pStyle w:val="49"/>
        <w:rPr>
          <w:rFonts w:hint="eastAsia"/>
        </w:rPr>
      </w:pPr>
      <w:r>
        <w:rPr>
          <w:rFonts w:hint="eastAsia"/>
          <w:b/>
        </w:rPr>
        <w:t>建设工程档案。</w:t>
      </w:r>
      <w:r>
        <w:rPr>
          <w:rFonts w:hint="eastAsia"/>
        </w:rPr>
        <w:t>办公用房在新建、改建、扩建、翻建和维修改造等建设过程中形成的文件材料；</w:t>
      </w:r>
    </w:p>
    <w:p>
      <w:pPr>
        <w:pStyle w:val="49"/>
        <w:rPr>
          <w:rFonts w:hint="eastAsia"/>
        </w:rPr>
      </w:pPr>
      <w:r>
        <w:rPr>
          <w:rFonts w:hint="eastAsia"/>
          <w:b/>
        </w:rPr>
        <w:t>使用管理档案。</w:t>
      </w:r>
      <w:r>
        <w:rPr>
          <w:rFonts w:hint="eastAsia"/>
        </w:rPr>
        <w:t>办公用房在分配、调整、维护、使用及出租等日常管理过程中形成的文件材料；</w:t>
      </w:r>
    </w:p>
    <w:p>
      <w:pPr>
        <w:pStyle w:val="49"/>
        <w:rPr>
          <w:rFonts w:hint="eastAsia"/>
        </w:rPr>
      </w:pPr>
      <w:r>
        <w:rPr>
          <w:rFonts w:hint="eastAsia"/>
          <w:b/>
        </w:rPr>
        <w:t>处置档案。</w:t>
      </w:r>
      <w:r>
        <w:rPr>
          <w:rFonts w:hint="eastAsia"/>
        </w:rPr>
        <w:t>办公用房在拆除、建设、划转、房屋征收、土地收储等过程中形成的文件材料。</w:t>
      </w:r>
    </w:p>
    <w:p>
      <w:pPr>
        <w:pStyle w:val="43"/>
        <w:spacing w:before="156" w:after="156"/>
        <w:rPr>
          <w:rFonts w:hint="eastAsia"/>
        </w:rPr>
      </w:pPr>
      <w:bookmarkStart w:id="12" w:name="_Toc118286252"/>
      <w:r>
        <w:rPr>
          <w:rFonts w:hint="eastAsia"/>
        </w:rPr>
        <w:t>归档范围</w:t>
      </w:r>
      <w:bookmarkEnd w:id="12"/>
    </w:p>
    <w:p>
      <w:pPr>
        <w:pStyle w:val="47"/>
        <w:spacing w:before="156" w:after="156"/>
      </w:pPr>
      <w:r>
        <w:rPr>
          <w:rFonts w:hint="eastAsia"/>
        </w:rPr>
        <w:t>权属档案</w:t>
      </w:r>
    </w:p>
    <w:p>
      <w:pPr>
        <w:pStyle w:val="25"/>
        <w:rPr>
          <w:rFonts w:hint="eastAsia"/>
        </w:rPr>
      </w:pPr>
      <w:r>
        <w:rPr>
          <w:rFonts w:hint="eastAsia"/>
        </w:rPr>
        <w:t>权属档案包括产权单位的统一社会信用代码证书、登记申请、法定代表人（或负责人）身份证明书、指界委托书、授权委托书、权籍调查表、宗地图、界址点成果表、房屋测绘报告、相关情况说明、门牌号码使用证明、人民法院或仲裁委员会生效的法律文书、规划审批的总平面图及各层平面图、划拨决定书（或出让、租赁协议书、交缴土地出让金或租金凭证、作价出资或入股、授权经营批准文件）、国土资源主管部门同意分割合并的批准文件、不动产权证书等；</w:t>
      </w:r>
    </w:p>
    <w:p>
      <w:pPr>
        <w:pStyle w:val="47"/>
        <w:spacing w:before="156" w:after="156"/>
      </w:pPr>
      <w:r>
        <w:rPr>
          <w:rFonts w:hint="eastAsia"/>
        </w:rPr>
        <w:t>建设工程档案</w:t>
      </w:r>
    </w:p>
    <w:p>
      <w:pPr>
        <w:pStyle w:val="25"/>
        <w:rPr>
          <w:rFonts w:hint="eastAsia"/>
        </w:rPr>
      </w:pPr>
      <w:r>
        <w:rPr>
          <w:rFonts w:hint="eastAsia"/>
        </w:rPr>
        <w:t>建设工程档案包括项目立项申报文件和批复、项目用地批准文件、建设用地规划许可证、规划意见书及附图、方案审查意见或方案复函、建设工程规划许可证及附图、建筑工程施工许可证、年度投资计划、初步设计和投资概算申报文件及批复、竣工结（决）算报告、竣工图及设备技术说明书、试运行报告、人防、规划、质量、消防验收以及工程建设档案验收合格备案文件、管线测量资料及竣工验收报告等；</w:t>
      </w:r>
    </w:p>
    <w:p>
      <w:pPr>
        <w:pStyle w:val="47"/>
        <w:spacing w:before="156" w:after="156"/>
      </w:pPr>
      <w:r>
        <w:rPr>
          <w:rFonts w:hint="eastAsia"/>
        </w:rPr>
        <w:t>使用管理档案</w:t>
      </w:r>
    </w:p>
    <w:p>
      <w:pPr>
        <w:pStyle w:val="25"/>
        <w:rPr>
          <w:rFonts w:hint="eastAsia"/>
        </w:rPr>
      </w:pPr>
      <w:r>
        <w:rPr>
          <w:rFonts w:hint="eastAsia"/>
        </w:rPr>
        <w:t>使用管理档案包括调剂、置换、租用申请及批文、使用协议、物业单位招投标文件、物业管理合同、日常运行维护记录、设施设备使用、维修、维护、改造等记录、采取调剂使用、出租等；</w:t>
      </w:r>
    </w:p>
    <w:p>
      <w:pPr>
        <w:pStyle w:val="47"/>
        <w:spacing w:before="156" w:after="156"/>
      </w:pPr>
      <w:r>
        <w:rPr>
          <w:rFonts w:hint="eastAsia"/>
        </w:rPr>
        <w:t>处置档案</w:t>
      </w:r>
    </w:p>
    <w:p>
      <w:pPr>
        <w:pStyle w:val="25"/>
        <w:rPr>
          <w:rFonts w:hint="eastAsia"/>
        </w:rPr>
      </w:pPr>
      <w:r>
        <w:rPr>
          <w:rFonts w:hint="eastAsia"/>
        </w:rPr>
        <w:t>处置档案包括转换用途、置换、拍卖、划转等有关批准文件、房屋征收土地收储决定、协议和图件等。</w:t>
      </w:r>
    </w:p>
    <w:p>
      <w:pPr>
        <w:pStyle w:val="43"/>
        <w:spacing w:before="156" w:after="156"/>
        <w:rPr>
          <w:rFonts w:hint="eastAsia"/>
        </w:rPr>
      </w:pPr>
      <w:bookmarkStart w:id="13" w:name="_Toc118286253"/>
      <w:r>
        <w:rPr>
          <w:rFonts w:hint="eastAsia"/>
        </w:rPr>
        <w:t>档案管理及利用</w:t>
      </w:r>
      <w:bookmarkEnd w:id="13"/>
    </w:p>
    <w:p>
      <w:pPr>
        <w:pStyle w:val="47"/>
        <w:spacing w:before="156" w:after="156"/>
      </w:pPr>
      <w:r>
        <w:rPr>
          <w:rFonts w:hint="eastAsia"/>
        </w:rPr>
        <w:t>档案的保存</w:t>
      </w:r>
    </w:p>
    <w:p>
      <w:pPr>
        <w:pStyle w:val="25"/>
        <w:rPr>
          <w:rFonts w:hint="eastAsia"/>
        </w:rPr>
      </w:pPr>
      <w:r>
        <w:rPr>
          <w:rFonts w:hint="eastAsia"/>
        </w:rPr>
        <w:t>办公用房档案应永久保存，定期检查。市机关后勤服务中心督促使用单位按年度移交相关档案，并做到平时收集与集中收集相结合。对破损或者变质的档案，应当及时修复，档案毁损或者丢失，应当采取补救措施，办公用房档案不得擅自销毁；</w:t>
      </w:r>
    </w:p>
    <w:p>
      <w:pPr>
        <w:pStyle w:val="47"/>
        <w:spacing w:before="156" w:after="156"/>
      </w:pPr>
      <w:r>
        <w:rPr>
          <w:rFonts w:hint="eastAsia"/>
        </w:rPr>
        <w:t>档案的利用</w:t>
      </w:r>
    </w:p>
    <w:p>
      <w:pPr>
        <w:pStyle w:val="25"/>
        <w:rPr>
          <w:rFonts w:hint="eastAsia"/>
        </w:rPr>
      </w:pPr>
      <w:r>
        <w:rPr>
          <w:rFonts w:hint="eastAsia"/>
        </w:rPr>
        <w:t>使用单位或产权人对自用办公用房档案有优先利用权。单位需查阅、抄录和复制档案材料的，应向</w:t>
      </w:r>
      <w:r>
        <w:rPr>
          <w:rFonts w:hint="eastAsia"/>
          <w:color w:val="FF0000"/>
        </w:rPr>
        <w:t>市机关</w:t>
      </w:r>
      <w:r>
        <w:rPr>
          <w:rFonts w:hint="eastAsia"/>
          <w:color w:val="FF0000"/>
          <w:lang w:val="en-US" w:eastAsia="zh-CN"/>
        </w:rPr>
        <w:t>后勤服务中心</w:t>
      </w:r>
      <w:r>
        <w:rPr>
          <w:rFonts w:hint="eastAsia"/>
        </w:rPr>
        <w:t>主管</w:t>
      </w:r>
      <w:r>
        <w:rPr>
          <w:rFonts w:hint="eastAsia"/>
          <w:color w:val="FF0000"/>
          <w:lang w:val="en-US" w:eastAsia="zh-CN"/>
        </w:rPr>
        <w:t>科</w:t>
      </w:r>
      <w:r>
        <w:rPr>
          <w:rFonts w:hint="eastAsia"/>
        </w:rPr>
        <w:t>室提出申请，履行审批手续和登记备案。</w:t>
      </w:r>
    </w:p>
    <w:p>
      <w:pPr>
        <w:pStyle w:val="25"/>
      </w:pPr>
    </w:p>
    <w:p>
      <w:r>
        <w:rPr>
          <w:rFonts w:hint="eastAsia"/>
          <w:color w:val="000000"/>
          <w:sz w:val="24"/>
        </w:rPr>
        <mc:AlternateContent>
          <mc:Choice Requires="wps">
            <w:drawing>
              <wp:anchor distT="0" distB="0" distL="114300" distR="114300" simplePos="0" relativeHeight="251665408" behindDoc="0" locked="0" layoutInCell="1" allowOverlap="1">
                <wp:simplePos x="0" y="0"/>
                <wp:positionH relativeFrom="column">
                  <wp:posOffset>1785620</wp:posOffset>
                </wp:positionH>
                <wp:positionV relativeFrom="paragraph">
                  <wp:posOffset>1269365</wp:posOffset>
                </wp:positionV>
                <wp:extent cx="2743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6pt;margin-top:99.95pt;height:0pt;width:216pt;z-index:251665408;mso-width-relative:page;mso-height-relative:page;" filled="f" stroked="t" coordsize="21600,21600" o:gfxdata="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XBp10tYAAAALAQAADwAAAAAA&#10;AAABACAAAAA4AAAAZHJzL2Rvd25yZXYueG1sUEsBAhQAFAAAAAgAh07iQKjvegPGAQAAYwMAAA4A&#10;AAAAAAAAAQAgAAAAOwEAAGRycy9lMm9Eb2MueG1sUEsFBgAAAAAGAAYAWQEAAHMFAAAAAA==&#10;">
                <v:fill on="f" focussize="0,0"/>
                <v:stroke weight="0.5pt" color="#000000 [3200]" miterlimit="8" joinstyle="miter"/>
                <v:imagedata o:title=""/>
                <o:lock v:ext="edit" aspectratio="f"/>
              </v:line>
            </w:pict>
          </mc:Fallback>
        </mc:AlternateContent>
      </w:r>
    </w:p>
    <w:sectPr>
      <w:headerReference r:id="rId7" w:type="default"/>
      <w:footerReference r:id="rId8"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3527172"/>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5</w:t>
    </w:r>
    <w:r>
      <w:rPr>
        <w:rFonts w:hint="eastAsia"/>
      </w:rPr>
      <w:t>—202</w:t>
    </w: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YF</w:t>
    </w:r>
    <w:r>
      <w:rPr>
        <w:rFonts w:hint="eastAsia"/>
      </w:rPr>
      <w:t>.</w:t>
    </w:r>
    <w:r>
      <w:rPr>
        <w:rFonts w:hint="eastAsia"/>
        <w:lang w:val="en-US" w:eastAsia="zh-CN"/>
      </w:rPr>
      <w:t>210.</w:t>
    </w:r>
    <w:r>
      <w:t>00</w:t>
    </w:r>
    <w:r>
      <w:rPr>
        <w:rFonts w:hint="eastAsia"/>
        <w:lang w:val="en-US" w:eastAsia="zh-CN"/>
      </w:rPr>
      <w:t>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1118"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568"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EF2EF6"/>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CEA"/>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8751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1B9"/>
    <w:rsid w:val="00382EAB"/>
    <w:rsid w:val="00383191"/>
    <w:rsid w:val="00386DED"/>
    <w:rsid w:val="003912E7"/>
    <w:rsid w:val="00393947"/>
    <w:rsid w:val="003A170B"/>
    <w:rsid w:val="003A1C6A"/>
    <w:rsid w:val="003A2275"/>
    <w:rsid w:val="003A2A45"/>
    <w:rsid w:val="003A5313"/>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17F"/>
    <w:rsid w:val="003D6CEF"/>
    <w:rsid w:val="003E1867"/>
    <w:rsid w:val="003E5729"/>
    <w:rsid w:val="003E5EAE"/>
    <w:rsid w:val="003E6A28"/>
    <w:rsid w:val="003E7514"/>
    <w:rsid w:val="003E7529"/>
    <w:rsid w:val="003F0B58"/>
    <w:rsid w:val="003F2AF5"/>
    <w:rsid w:val="003F3E91"/>
    <w:rsid w:val="003F4EE0"/>
    <w:rsid w:val="003F5AC7"/>
    <w:rsid w:val="003F7207"/>
    <w:rsid w:val="0040076F"/>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3D7"/>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1E15"/>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0CA3"/>
    <w:rsid w:val="00774FCA"/>
    <w:rsid w:val="00781AB5"/>
    <w:rsid w:val="007823C1"/>
    <w:rsid w:val="007913AB"/>
    <w:rsid w:val="007914F7"/>
    <w:rsid w:val="007972CC"/>
    <w:rsid w:val="00797409"/>
    <w:rsid w:val="007A58B4"/>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07A24"/>
    <w:rsid w:val="008127A2"/>
    <w:rsid w:val="00813900"/>
    <w:rsid w:val="00814471"/>
    <w:rsid w:val="00815D7E"/>
    <w:rsid w:val="00817A00"/>
    <w:rsid w:val="00820A1E"/>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17DB0"/>
    <w:rsid w:val="00B23A84"/>
    <w:rsid w:val="00B242BD"/>
    <w:rsid w:val="00B26FAF"/>
    <w:rsid w:val="00B3383A"/>
    <w:rsid w:val="00B353EB"/>
    <w:rsid w:val="00B3550C"/>
    <w:rsid w:val="00B40B8C"/>
    <w:rsid w:val="00B435AA"/>
    <w:rsid w:val="00B439C4"/>
    <w:rsid w:val="00B4535E"/>
    <w:rsid w:val="00B523DB"/>
    <w:rsid w:val="00B52554"/>
    <w:rsid w:val="00B52A8C"/>
    <w:rsid w:val="00B56150"/>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842"/>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2EF6"/>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D6C5F"/>
    <w:rsid w:val="00FE1C50"/>
    <w:rsid w:val="00FE23DE"/>
    <w:rsid w:val="00FE4D17"/>
    <w:rsid w:val="00FE57AB"/>
    <w:rsid w:val="00FE7D7F"/>
    <w:rsid w:val="00FF04A9"/>
    <w:rsid w:val="2EA8435B"/>
    <w:rsid w:val="33251C93"/>
    <w:rsid w:val="43FF7562"/>
    <w:rsid w:val="4590011C"/>
    <w:rsid w:val="52331739"/>
    <w:rsid w:val="5D101E03"/>
    <w:rsid w:val="68521BA1"/>
    <w:rsid w:val="B9B7CAE0"/>
    <w:rsid w:val="F7DFCFAC"/>
    <w:rsid w:val="FDF6F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100" w:beforeLines="100" w:after="100" w:afterLines="100"/>
      <w:ind w:left="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1984</Words>
  <Characters>2096</Characters>
  <Lines>21</Lines>
  <Paragraphs>5</Paragraphs>
  <TotalTime>8</TotalTime>
  <ScaleCrop>false</ScaleCrop>
  <LinksUpToDate>false</LinksUpToDate>
  <CharactersWithSpaces>2182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2022-11-03T12:50:00Z</dcterms:created>
  <dc:creator>路源</dc:creator>
  <cp:lastModifiedBy>kylin</cp:lastModifiedBy>
  <cp:lastPrinted>2020-10-14T15:25:00Z</cp:lastPrinted>
  <dcterms:modified xsi:type="dcterms:W3CDTF">2023-03-18T17:54:44Z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825576D1EA3C4BE29A810F73233FC385</vt:lpwstr>
  </property>
</Properties>
</file>