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00</w:t>
      </w:r>
      <w:r>
        <w:rPr>
          <w:rFonts w:hint="eastAsia" w:hAnsi="黑体"/>
          <w:lang w:val="en-US" w:eastAsia="zh-CN"/>
        </w:rPr>
        <w:t>6</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办公用房管理信息系统建设规范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34"/>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2867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17" w:name="_GoBack"/>
      <w:bookmarkEnd w:id="17"/>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1.0</w:t>
            </w:r>
          </w:p>
        </w:tc>
        <w:tc>
          <w:tcPr>
            <w:tcW w:w="1651" w:type="dxa"/>
          </w:tcPr>
          <w:p>
            <w:pPr>
              <w:jc w:val="center"/>
            </w:pPr>
            <w:r>
              <w:rPr>
                <w:rFonts w:hint="eastAsia"/>
              </w:rPr>
              <w:t>2020-10-20</w:t>
            </w:r>
          </w:p>
        </w:tc>
        <w:tc>
          <w:tcPr>
            <w:tcW w:w="1227" w:type="dxa"/>
          </w:tcPr>
          <w:p>
            <w:pPr>
              <w:jc w:val="cente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2.0</w:t>
            </w:r>
          </w:p>
        </w:tc>
        <w:tc>
          <w:tcPr>
            <w:tcW w:w="1651" w:type="dxa"/>
          </w:tcPr>
          <w:p>
            <w:pPr>
              <w:jc w:val="cente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办公用房管理信息系统建设规范</w:t>
      </w:r>
    </w:p>
    <w:p>
      <w:pPr>
        <w:pStyle w:val="46"/>
        <w:spacing w:before="312" w:after="312"/>
      </w:pPr>
      <w:bookmarkStart w:id="6" w:name="_Toc118286723"/>
      <w:r>
        <w:rPr>
          <w:rFonts w:hint="eastAsia"/>
        </w:rPr>
        <w:t>范围</w:t>
      </w:r>
      <w:bookmarkEnd w:id="6"/>
    </w:p>
    <w:p>
      <w:pPr>
        <w:pStyle w:val="25"/>
        <w:rPr>
          <w:color w:val="000000"/>
        </w:rPr>
      </w:pPr>
      <w:r>
        <w:rPr>
          <w:rFonts w:hint="eastAsia"/>
        </w:rPr>
        <w:t>本文件规定了</w:t>
      </w:r>
      <w:r>
        <w:rPr>
          <w:rFonts w:hint="eastAsia"/>
          <w:color w:val="000000"/>
        </w:rPr>
        <w:t>邢台市市级党政机关办公用房管理信息系统的术语和定义、总体原则、建设目标、建设内容、总体架构、部署方式和功能组成。</w:t>
      </w:r>
    </w:p>
    <w:p>
      <w:pPr>
        <w:pStyle w:val="25"/>
        <w:tabs>
          <w:tab w:val="clear" w:pos="4201"/>
          <w:tab w:val="clear" w:pos="9298"/>
        </w:tabs>
      </w:pPr>
      <w:r>
        <w:rPr>
          <w:rFonts w:hint="eastAsia"/>
          <w:color w:val="000000"/>
        </w:rPr>
        <w:t>本文件适用于邢台市市级党政机关办公用房管理信息系统建设工作</w:t>
      </w:r>
      <w:r>
        <w:rPr>
          <w:rFonts w:hint="eastAsia"/>
        </w:rPr>
        <w:t>。</w:t>
      </w:r>
    </w:p>
    <w:p>
      <w:pPr>
        <w:pStyle w:val="46"/>
        <w:spacing w:before="312" w:after="312"/>
      </w:pPr>
      <w:bookmarkStart w:id="7" w:name="_Toc11828672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《河北省党政机关办公用房管理实施办法》（冀办发〔2018〕42号）</w:t>
      </w:r>
    </w:p>
    <w:p>
      <w:pPr>
        <w:pStyle w:val="25"/>
        <w:rPr>
          <w:color w:val="0070C0"/>
        </w:rPr>
      </w:pPr>
      <w:r>
        <w:rPr>
          <w:rFonts w:hint="eastAsia"/>
        </w:rPr>
        <w:t>《邢台市党政机关办公用房管理实施办法》（邢办发〔2020〕15号）</w:t>
      </w:r>
    </w:p>
    <w:p>
      <w:pPr>
        <w:pStyle w:val="46"/>
        <w:spacing w:before="312" w:after="312"/>
      </w:pPr>
      <w:bookmarkStart w:id="8" w:name="_Toc118286725"/>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房地产信息化管理平台</w:t>
      </w:r>
    </w:p>
    <w:p>
      <w:pPr>
        <w:pStyle w:val="25"/>
      </w:pPr>
      <w:r>
        <w:rPr>
          <w:rFonts w:hint="eastAsia"/>
        </w:rPr>
        <w:t>针对房地产信息存量不清、统计标准不统一、调剂调配困难、维修监管缺手段等诸多问题，结合党政机关办公用房管理实际，依托电子政务网络及互联网，通过GIS、物联网等信息技术，建立的市县乡三级一体的信息化管理平台。</w:t>
      </w:r>
    </w:p>
    <w:p>
      <w:pPr>
        <w:pStyle w:val="46"/>
        <w:spacing w:before="312" w:after="312"/>
      </w:pPr>
      <w:bookmarkStart w:id="9" w:name="_Toc118286726"/>
      <w:r>
        <w:rPr>
          <w:rFonts w:hint="eastAsia"/>
        </w:rPr>
        <w:t>总体原则</w:t>
      </w:r>
      <w:bookmarkEnd w:id="9"/>
    </w:p>
    <w:p>
      <w:pPr>
        <w:pStyle w:val="25"/>
      </w:pPr>
      <w:r>
        <w:rPr>
          <w:rFonts w:hint="eastAsia"/>
        </w:rPr>
        <w:t>按照统一建设管理平台、统筹优化资源配置、全面提升管理水平、推进办公用房管理信息化、科学化、法治化、规范化的原则，建设党政机关办公用房管理信息系统。</w:t>
      </w:r>
    </w:p>
    <w:p>
      <w:pPr>
        <w:pStyle w:val="46"/>
        <w:spacing w:before="312" w:after="312"/>
      </w:pPr>
      <w:bookmarkStart w:id="10" w:name="_Toc118286727"/>
      <w:r>
        <w:rPr>
          <w:rFonts w:hint="eastAsia"/>
        </w:rPr>
        <w:t>建设目标</w:t>
      </w:r>
      <w:bookmarkEnd w:id="10"/>
    </w:p>
    <w:p>
      <w:pPr>
        <w:pStyle w:val="25"/>
      </w:pPr>
      <w:r>
        <w:rPr>
          <w:rFonts w:hint="eastAsia"/>
        </w:rPr>
        <w:t>通过GIS地理信息技术、互联网，建立的市县乡三级一体的党政机关房地产信息化管理平台，将房地产信息登记、权属登记、房间使用等业务信息与GIS地理信息数据进行挂接，实现全市房地产资源管理位置可视化、图纸电子化、项目流程化、管理精细化以及超标管控、费用管控、安全管控的“四化三管控”。</w:t>
      </w:r>
    </w:p>
    <w:p>
      <w:pPr>
        <w:pStyle w:val="46"/>
        <w:spacing w:before="312" w:after="312"/>
      </w:pPr>
      <w:bookmarkStart w:id="11" w:name="_Toc118286728"/>
      <w:r>
        <w:rPr>
          <w:rFonts w:hint="eastAsia"/>
        </w:rPr>
        <w:t>建设内容</w:t>
      </w:r>
      <w:bookmarkEnd w:id="11"/>
    </w:p>
    <w:p>
      <w:pPr>
        <w:pStyle w:val="43"/>
        <w:spacing w:before="156" w:after="156"/>
      </w:pPr>
      <w:bookmarkStart w:id="12" w:name="_Toc118286729"/>
      <w:r>
        <w:rPr>
          <w:rFonts w:hint="eastAsia"/>
        </w:rPr>
        <w:t>房地产基本信息管理</w:t>
      </w:r>
      <w:bookmarkEnd w:id="12"/>
    </w:p>
    <w:p>
      <w:pPr>
        <w:pStyle w:val="25"/>
      </w:pPr>
      <w:r>
        <w:rPr>
          <w:rFonts w:hint="eastAsia"/>
        </w:rPr>
        <w:t>建立单位、土地、房产（含附属设施）、楼层、房间、办公室使用情况及房地产的产权产籍的基础数据库，实现房地产信息的台账管理、变更管理、廉政（超标）管理及维修与调配决策。</w:t>
      </w:r>
    </w:p>
    <w:p>
      <w:pPr>
        <w:pStyle w:val="43"/>
        <w:spacing w:before="156" w:after="156"/>
      </w:pPr>
      <w:bookmarkStart w:id="13" w:name="_Toc118286730"/>
      <w:r>
        <w:rPr>
          <w:rFonts w:hint="eastAsia"/>
        </w:rPr>
        <w:t>基于图纸的图形化管理</w:t>
      </w:r>
      <w:bookmarkEnd w:id="13"/>
    </w:p>
    <w:p>
      <w:pPr>
        <w:pStyle w:val="25"/>
      </w:pPr>
      <w:r>
        <w:rPr>
          <w:rFonts w:hint="eastAsia"/>
        </w:rPr>
        <w:t>为房产、楼层、房间提供图形化管理，可上传图纸作为电子档案存档，从而解决图纸正在破损、消失的现象，消除无法分析与共享的问题，同时档案化后还可为维修提供参考、为应急提供保障、为调配提供依据。</w:t>
      </w:r>
    </w:p>
    <w:p>
      <w:pPr>
        <w:pStyle w:val="43"/>
        <w:spacing w:before="156" w:after="156"/>
      </w:pPr>
      <w:bookmarkStart w:id="14" w:name="_Toc118286731"/>
      <w:r>
        <w:rPr>
          <w:rFonts w:hint="eastAsia"/>
        </w:rPr>
        <w:t>基于 GIS 的可视化管理</w:t>
      </w:r>
      <w:bookmarkEnd w:id="14"/>
    </w:p>
    <w:p>
      <w:pPr>
        <w:pStyle w:val="25"/>
      </w:pPr>
      <w:r>
        <w:rPr>
          <w:rFonts w:hint="eastAsia"/>
        </w:rPr>
        <w:t>基于GIS技术实现地产、房产的位置可视化管理，可通过地图直观查看土地、房产的位置，同时可查看房产的周边环境，为调配提供决策参考。</w:t>
      </w:r>
    </w:p>
    <w:p>
      <w:pPr>
        <w:pStyle w:val="43"/>
        <w:spacing w:before="156" w:after="156"/>
      </w:pPr>
      <w:bookmarkStart w:id="15" w:name="_Toc118286732"/>
      <w:r>
        <w:rPr>
          <w:rFonts w:hint="eastAsia"/>
        </w:rPr>
        <w:t>结合项目的精细化管理</w:t>
      </w:r>
      <w:bookmarkEnd w:id="15"/>
    </w:p>
    <w:p>
      <w:pPr>
        <w:pStyle w:val="25"/>
      </w:pPr>
      <w:r>
        <w:rPr>
          <w:rFonts w:hint="eastAsia"/>
        </w:rPr>
        <w:t>结合房管工作中的实际业务流程，系统提供从项目申报到项目竣工的全过程管理，也可摒弃过程管理，直接作为维修结果的资料档案管理，建立一套房屋维修动态数据库，为后续的维修提供数据支撑。</w:t>
      </w:r>
    </w:p>
    <w:p>
      <w:pPr>
        <w:pStyle w:val="43"/>
        <w:spacing w:before="156" w:after="156"/>
      </w:pPr>
      <w:bookmarkStart w:id="16" w:name="_Toc118286733"/>
      <w:r>
        <w:rPr>
          <w:rFonts w:hint="eastAsia"/>
        </w:rPr>
        <w:t>基于互联网的安全管理</w:t>
      </w:r>
      <w:bookmarkEnd w:id="16"/>
    </w:p>
    <w:p>
      <w:pPr>
        <w:pStyle w:val="25"/>
      </w:pPr>
      <w:r>
        <w:rPr>
          <w:rFonts w:hint="eastAsia"/>
        </w:rPr>
        <w:t>系统支持接入互联网技术，通过智能互联网网关、计算机节能控制模块、智能电源控制器等设备组建安全节能子系统，采用主动控制与被动控制模式相结合，实现远程并切断电源，有效阻止网络病毒及黑客入侵，同时实现零功耗待机。</w:t>
      </w:r>
    </w:p>
    <w:p>
      <w:pPr>
        <w:pStyle w:val="25"/>
      </w:pPr>
    </w:p>
    <w:p>
      <w:r>
        <w:rPr>
          <w:rFonts w:hint="eastAsia"/>
          <w:color w:val="000000"/>
          <w:sz w:val="24"/>
        </w:rPr>
        <mc:AlternateContent>
          <mc:Choice Requires="wps">
            <w:drawing>
              <wp:anchor distT="0" distB="0" distL="114300" distR="114300" simplePos="0" relativeHeight="251660288" behindDoc="0" locked="0" layoutInCell="1" allowOverlap="1">
                <wp:simplePos x="0" y="0"/>
                <wp:positionH relativeFrom="column">
                  <wp:posOffset>1785620</wp:posOffset>
                </wp:positionH>
                <wp:positionV relativeFrom="paragraph">
                  <wp:posOffset>1269365</wp:posOffset>
                </wp:positionV>
                <wp:extent cx="2743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6pt;margin-top:99.95pt;height:0pt;width:216pt;z-index:251660288;mso-width-relative:page;mso-height-relative:page;" filled="f" stroked="t" coordsize="21600,21600" o:gfxdata="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XBp10tYAAAALAQAADwAAAAAA&#10;AAABACAAAAA4AAAAZHJzL2Rvd25yZXYueG1sUEsBAhQAFAAAAAgAh07iQKjvegPGAQAAYwMAAA4A&#10;AAAAAAAAAQAgAAAAOwEAAGRycy9lMm9Eb2MueG1sUEsFBgAAAAAGAAYAWQEAAHMFAAAAAA==&#10;">
                <v:fill on="f" focussize="0,0"/>
                <v:stroke weight="0.5pt" color="#000000 [3200]" miterlimit="8" joinstyle="miter"/>
                <v:imagedata o:title=""/>
                <o:lock v:ext="edit" aspectratio="f"/>
              </v:line>
            </w:pict>
          </mc:Fallback>
        </mc:AlternateContent>
      </w: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6</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6</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1118"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568"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F6"/>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CEA"/>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8751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6F57"/>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5313"/>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17F"/>
    <w:rsid w:val="003D6CEF"/>
    <w:rsid w:val="003E1867"/>
    <w:rsid w:val="003E5729"/>
    <w:rsid w:val="003E5EAE"/>
    <w:rsid w:val="003E6A28"/>
    <w:rsid w:val="003E7514"/>
    <w:rsid w:val="003E7529"/>
    <w:rsid w:val="003F0B58"/>
    <w:rsid w:val="003F2AF5"/>
    <w:rsid w:val="003F3E91"/>
    <w:rsid w:val="003F4EE0"/>
    <w:rsid w:val="003F5AC7"/>
    <w:rsid w:val="003F7207"/>
    <w:rsid w:val="0040076F"/>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1E15"/>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0CA3"/>
    <w:rsid w:val="00774FCA"/>
    <w:rsid w:val="00781AB5"/>
    <w:rsid w:val="007823C1"/>
    <w:rsid w:val="007913AB"/>
    <w:rsid w:val="007914F7"/>
    <w:rsid w:val="007972CC"/>
    <w:rsid w:val="00797409"/>
    <w:rsid w:val="007A58B4"/>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07A24"/>
    <w:rsid w:val="008127A2"/>
    <w:rsid w:val="00813900"/>
    <w:rsid w:val="00814471"/>
    <w:rsid w:val="00815D7E"/>
    <w:rsid w:val="00817A00"/>
    <w:rsid w:val="00820A1E"/>
    <w:rsid w:val="0082108D"/>
    <w:rsid w:val="00821CAE"/>
    <w:rsid w:val="00831AA2"/>
    <w:rsid w:val="00835DB3"/>
    <w:rsid w:val="0083617B"/>
    <w:rsid w:val="008370D2"/>
    <w:rsid w:val="008371BD"/>
    <w:rsid w:val="0084297F"/>
    <w:rsid w:val="008446E3"/>
    <w:rsid w:val="008447FF"/>
    <w:rsid w:val="00845FAB"/>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17DB0"/>
    <w:rsid w:val="00B23A84"/>
    <w:rsid w:val="00B242BD"/>
    <w:rsid w:val="00B26FAF"/>
    <w:rsid w:val="00B3383A"/>
    <w:rsid w:val="00B353EB"/>
    <w:rsid w:val="00B3550C"/>
    <w:rsid w:val="00B40B8C"/>
    <w:rsid w:val="00B435AA"/>
    <w:rsid w:val="00B439C4"/>
    <w:rsid w:val="00B4535E"/>
    <w:rsid w:val="00B523DB"/>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CDD"/>
    <w:rsid w:val="00D30301"/>
    <w:rsid w:val="00D324D3"/>
    <w:rsid w:val="00D362A9"/>
    <w:rsid w:val="00D42231"/>
    <w:rsid w:val="00D42827"/>
    <w:rsid w:val="00D429C6"/>
    <w:rsid w:val="00D44E80"/>
    <w:rsid w:val="00D45842"/>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54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E62B4"/>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6C5F"/>
    <w:rsid w:val="00FE1C50"/>
    <w:rsid w:val="00FE23DE"/>
    <w:rsid w:val="00FE4D17"/>
    <w:rsid w:val="00FE57AB"/>
    <w:rsid w:val="00FE7D7F"/>
    <w:rsid w:val="00FF04A9"/>
    <w:rsid w:val="2EA8435B"/>
    <w:rsid w:val="33251C93"/>
    <w:rsid w:val="4590011C"/>
    <w:rsid w:val="52331739"/>
    <w:rsid w:val="6FBF9C41"/>
    <w:rsid w:val="75DB02D0"/>
    <w:rsid w:val="BF76944B"/>
    <w:rsid w:val="EBFE8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100" w:beforeLines="100" w:after="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414</Words>
  <Characters>2362</Characters>
  <Lines>19</Lines>
  <Paragraphs>5</Paragraphs>
  <TotalTime>4</TotalTime>
  <ScaleCrop>false</ScaleCrop>
  <LinksUpToDate>false</LinksUpToDate>
  <CharactersWithSpaces>2771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2022-11-03T13:01:00Z</dcterms:created>
  <dc:creator>路源</dc:creator>
  <cp:lastModifiedBy>kylin</cp:lastModifiedBy>
  <cp:lastPrinted>2020-10-14T15:25:00Z</cp:lastPrinted>
  <dcterms:modified xsi:type="dcterms:W3CDTF">2023-03-18T17:54:56Z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