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pPr>
      <w:r>
        <w:rPr>
          <w:rFonts w:hint="eastAsia" w:ascii="Times New Roman"/>
        </w:rPr>
        <w:t>标准</w:t>
      </w:r>
      <w:r>
        <w:rPr>
          <w:rFonts w:ascii="Times New Roman"/>
        </w:rPr>
        <w:t>体系</w:t>
      </w:r>
      <w:r>
        <w:rPr>
          <w:rFonts w:hint="eastAsia" w:ascii="Times New Roman"/>
        </w:rPr>
        <w:t>编号</w:t>
      </w:r>
      <w:r>
        <w:rPr>
          <w:rFonts w:hAnsi="黑体"/>
        </w:rPr>
        <w:t>：YF</w:t>
      </w:r>
    </w:p>
    <w:p>
      <w:pPr>
        <w:pStyle w:val="124"/>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312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rPr>
          <w:w w:val="100"/>
        </w:rPr>
      </w:pPr>
      <w:bookmarkStart w:id="0" w:name="c3"/>
      <w:r>
        <w:rPr>
          <w:rFonts w:hint="eastAsia"/>
          <w:w w:val="100"/>
        </w:rPr>
        <w:t>邢</w:t>
      </w:r>
      <w:r>
        <w:rPr>
          <w:w w:val="100"/>
        </w:rPr>
        <w:t>JG</w:t>
      </w:r>
      <w:bookmarkEnd w:id="0"/>
    </w:p>
    <w:p>
      <w:pPr>
        <w:pStyle w:val="111"/>
      </w:pPr>
      <w:r>
        <w:rPr>
          <w:rFonts w:hint="eastAsia"/>
        </w:rPr>
        <w:t>邢台市机关后勤服务标准</w:t>
      </w:r>
    </w:p>
    <w:p>
      <w:pPr>
        <w:pStyle w:val="48"/>
        <w:wordWrap w:val="0"/>
        <w:rPr>
          <w:rFonts w:hAnsi="黑体"/>
        </w:rPr>
      </w:pPr>
      <w:r>
        <w:rPr>
          <w:rFonts w:hint="eastAsia" w:ascii="Times New Roman"/>
        </w:rPr>
        <w:t xml:space="preserve">邢JG </w:t>
      </w:r>
      <w:r>
        <w:rPr>
          <w:rFonts w:hAnsi="黑体"/>
        </w:rPr>
        <w:t>YF.</w:t>
      </w:r>
      <w:r>
        <w:rPr>
          <w:rFonts w:hint="eastAsia" w:hAnsi="黑体"/>
          <w:lang w:val="en-US" w:eastAsia="zh-CN"/>
        </w:rPr>
        <w:t>210.</w:t>
      </w:r>
      <w:r>
        <w:rPr>
          <w:rFonts w:hAnsi="黑体"/>
        </w:rPr>
        <w:t>007—2022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pPr>
            <w:bookmarkStart w:id="1"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rPr>
          <w:rFonts w:hAnsi="黑体"/>
        </w:rPr>
      </w:pPr>
    </w:p>
    <w:p>
      <w:pPr>
        <w:pStyle w:val="48"/>
        <w:rPr>
          <w:rFonts w:hAnsi="黑体"/>
        </w:rPr>
      </w:pPr>
    </w:p>
    <w:p>
      <w:pPr>
        <w:pStyle w:val="79"/>
        <w:ind w:firstLine="1050"/>
      </w:pPr>
      <w:r>
        <w:rPr>
          <w:rFonts w:hint="eastAsia"/>
        </w:rPr>
        <w:t>办公用房配置管理规范</w:t>
      </w:r>
    </w:p>
    <w:p>
      <w:pPr>
        <w:pStyle w:val="81"/>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414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516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sectPr>
          <w:headerReference r:id="rId3" w:type="default"/>
          <w:footerReference r:id="rId4" w:type="default"/>
          <w:pgSz w:w="11906" w:h="16838"/>
          <w:pgMar w:top="567" w:right="850" w:bottom="1134" w:left="1418" w:header="0" w:footer="0" w:gutter="0"/>
          <w:pgNumType w:start="39"/>
          <w:cols w:space="425" w:num="1"/>
          <w:docGrid w:type="lines" w:linePitch="312" w:charSpace="0"/>
        </w:sectPr>
      </w:pPr>
      <w:r>
        <w:rPr>
          <w:rFonts w:hint="eastAsia"/>
        </w:rPr>
        <w:t>邢台市机关后勤服务中心</w:t>
      </w:r>
      <w:r>
        <w:rPr>
          <w:rFonts w:hAnsi="黑体"/>
        </w:rPr>
        <w:t> </w:t>
      </w:r>
      <w:r>
        <w:rPr>
          <w:rStyle w:val="74"/>
          <w:rFonts w:hint="eastAsia"/>
        </w:rPr>
        <w:t>发布</w:t>
      </w:r>
      <w:r>
        <mc:AlternateContent>
          <mc:Choice Requires="wps">
            <w:drawing>
              <wp:anchor distT="0" distB="0" distL="114300" distR="114300" simplePos="0" relativeHeight="25166438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438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75694823"/>
      <w:bookmarkStart w:id="3" w:name="_Toc49518022"/>
      <w:bookmarkStart w:id="4" w:name="_Toc118303572"/>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办公用房管理科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宋体"/>
          <w:color w:val="000000"/>
          <w:szCs w:val="21"/>
          <w:u w:val="single"/>
        </w:rPr>
        <w:t>办公用房管理科</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宋体"/>
          <w:color w:val="000000"/>
          <w:szCs w:val="21"/>
          <w:u w:val="single"/>
        </w:rPr>
        <w:t>郝建树、吴茜雅、方琰</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宋体"/>
          <w:color w:val="000000"/>
          <w:szCs w:val="21"/>
          <w:u w:val="single"/>
        </w:rPr>
        <w:t>2022-08-1</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宋体"/>
          <w:color w:val="000000"/>
          <w:szCs w:val="21"/>
          <w:u w:val="single"/>
        </w:rPr>
        <w:t>苏岩</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宋体"/>
          <w:color w:val="000000"/>
          <w:szCs w:val="21"/>
          <w:u w:val="single"/>
        </w:rPr>
        <w:t>2022-08-1</w:t>
      </w:r>
      <w:r>
        <w:rPr>
          <w:rFonts w:hint="eastAsia" w:cs="宋体"/>
          <w:color w:val="000000"/>
          <w:szCs w:val="21"/>
          <w:u w:val="single"/>
          <w:lang w:val="en-US" w:eastAsia="zh-CN"/>
        </w:rPr>
        <w:t>5</w:t>
      </w:r>
      <w:bookmarkStart w:id="18" w:name="_GoBack"/>
      <w:bookmarkEnd w:id="18"/>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宋体"/>
          <w:color w:val="000000"/>
          <w:szCs w:val="21"/>
          <w:u w:val="single"/>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宋体"/>
          <w:color w:val="000000"/>
          <w:szCs w:val="21"/>
          <w:u w:val="single"/>
        </w:rPr>
        <w:t>2022-08-31</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51"/>
        <w:gridCol w:w="1227"/>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227"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pPr>
            <w:r>
              <w:rPr>
                <w:rFonts w:hint="eastAsia"/>
              </w:rPr>
              <w:t>1.0</w:t>
            </w:r>
          </w:p>
        </w:tc>
        <w:tc>
          <w:tcPr>
            <w:tcW w:w="1651" w:type="dxa"/>
          </w:tcPr>
          <w:p>
            <w:pPr>
              <w:jc w:val="center"/>
            </w:pPr>
            <w:r>
              <w:rPr>
                <w:rFonts w:hint="eastAsia"/>
              </w:rPr>
              <w:t>2020-10-20</w:t>
            </w:r>
          </w:p>
        </w:tc>
        <w:tc>
          <w:tcPr>
            <w:tcW w:w="1227" w:type="dxa"/>
          </w:tcPr>
          <w:p>
            <w:pPr>
              <w:jc w:val="center"/>
            </w:pPr>
            <w:r>
              <w:rPr>
                <w:rFonts w:hint="eastAsia"/>
              </w:rPr>
              <w:t>创建</w:t>
            </w: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pPr>
            <w:r>
              <w:rPr>
                <w:rFonts w:hint="eastAsia"/>
              </w:rPr>
              <w:t>2.0</w:t>
            </w:r>
          </w:p>
        </w:tc>
        <w:tc>
          <w:tcPr>
            <w:tcW w:w="1651" w:type="dxa"/>
          </w:tcPr>
          <w:p>
            <w:pPr>
              <w:jc w:val="center"/>
            </w:pPr>
            <w:r>
              <w:rPr>
                <w:rFonts w:hint="eastAsia"/>
              </w:rPr>
              <w:t>2022-09-01</w:t>
            </w:r>
          </w:p>
        </w:tc>
        <w:tc>
          <w:tcPr>
            <w:tcW w:w="1227" w:type="dxa"/>
          </w:tcPr>
          <w:p>
            <w:pPr>
              <w:jc w:val="center"/>
            </w:pPr>
            <w:r>
              <w:rPr>
                <w:rFonts w:hint="eastAsia"/>
              </w:rPr>
              <w:t>更改</w:t>
            </w: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jc w:val="center"/>
              <w:rPr>
                <w:rFonts w:cs="仿宋_GB2312" w:asciiTheme="minorEastAsia" w:hAnsiTheme="minorEastAsia" w:eastAsiaTheme="minorEastAsia"/>
                <w:kern w:val="0"/>
                <w:sz w:val="18"/>
                <w:szCs w:val="18"/>
              </w:rPr>
            </w:pPr>
          </w:p>
        </w:tc>
        <w:tc>
          <w:tcPr>
            <w:tcW w:w="1651" w:type="dxa"/>
          </w:tcPr>
          <w:p>
            <w:pPr>
              <w:jc w:val="center"/>
              <w:rPr>
                <w:rFonts w:cs="仿宋_GB2312" w:asciiTheme="minorEastAsia" w:hAnsiTheme="minorEastAsia" w:eastAsiaTheme="minorEastAsia"/>
                <w:kern w:val="0"/>
                <w:sz w:val="18"/>
                <w:szCs w:val="18"/>
              </w:rPr>
            </w:pPr>
          </w:p>
        </w:tc>
        <w:tc>
          <w:tcPr>
            <w:tcW w:w="1227" w:type="dxa"/>
          </w:tcPr>
          <w:p>
            <w:pPr>
              <w:jc w:val="center"/>
              <w:rPr>
                <w:rFonts w:cs="仿宋_GB2312" w:asciiTheme="minorEastAsia" w:hAnsiTheme="minorEastAsia" w:eastAsiaTheme="minorEastAsia"/>
                <w:kern w:val="0"/>
                <w:sz w:val="18"/>
                <w:szCs w:val="18"/>
              </w:rPr>
            </w:pP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p>
        </w:tc>
        <w:tc>
          <w:tcPr>
            <w:tcW w:w="1651" w:type="dxa"/>
          </w:tcPr>
          <w:p>
            <w:pPr>
              <w:jc w:val="center"/>
              <w:rPr>
                <w:rFonts w:cs="仿宋_GB2312" w:asciiTheme="minorEastAsia" w:hAnsiTheme="minorEastAsia" w:eastAsiaTheme="minorEastAsia"/>
                <w:kern w:val="0"/>
                <w:sz w:val="18"/>
                <w:szCs w:val="18"/>
              </w:rPr>
            </w:pPr>
          </w:p>
        </w:tc>
        <w:tc>
          <w:tcPr>
            <w:tcW w:w="1227" w:type="dxa"/>
          </w:tcPr>
          <w:p>
            <w:pPr>
              <w:jc w:val="center"/>
              <w:rPr>
                <w:rFonts w:cs="仿宋_GB2312" w:asciiTheme="minorEastAsia" w:hAnsiTheme="minorEastAsia" w:eastAsiaTheme="minorEastAsia"/>
                <w:kern w:val="0"/>
                <w:sz w:val="18"/>
                <w:szCs w:val="18"/>
              </w:rPr>
            </w:pP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p>
        </w:tc>
        <w:tc>
          <w:tcPr>
            <w:tcW w:w="1651" w:type="dxa"/>
          </w:tcPr>
          <w:p>
            <w:pPr>
              <w:jc w:val="center"/>
              <w:rPr>
                <w:rFonts w:cs="仿宋_GB2312" w:asciiTheme="minorEastAsia" w:hAnsiTheme="minorEastAsia" w:eastAsiaTheme="minorEastAsia"/>
                <w:kern w:val="0"/>
                <w:sz w:val="18"/>
                <w:szCs w:val="18"/>
              </w:rPr>
            </w:pPr>
          </w:p>
        </w:tc>
        <w:tc>
          <w:tcPr>
            <w:tcW w:w="1227" w:type="dxa"/>
          </w:tcPr>
          <w:p>
            <w:pPr>
              <w:jc w:val="center"/>
              <w:rPr>
                <w:rFonts w:cs="仿宋_GB2312" w:asciiTheme="minorEastAsia" w:hAnsiTheme="minorEastAsia" w:eastAsiaTheme="minorEastAsia"/>
                <w:kern w:val="0"/>
                <w:sz w:val="18"/>
                <w:szCs w:val="18"/>
              </w:rPr>
            </w:pP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p>
        </w:tc>
        <w:tc>
          <w:tcPr>
            <w:tcW w:w="1651" w:type="dxa"/>
          </w:tcPr>
          <w:p>
            <w:pPr>
              <w:jc w:val="center"/>
              <w:rPr>
                <w:rFonts w:cs="仿宋_GB2312" w:asciiTheme="minorEastAsia" w:hAnsiTheme="minorEastAsia" w:eastAsiaTheme="minorEastAsia"/>
                <w:kern w:val="0"/>
                <w:sz w:val="18"/>
                <w:szCs w:val="18"/>
              </w:rPr>
            </w:pPr>
          </w:p>
        </w:tc>
        <w:tc>
          <w:tcPr>
            <w:tcW w:w="1227" w:type="dxa"/>
          </w:tcPr>
          <w:p>
            <w:pPr>
              <w:jc w:val="center"/>
              <w:rPr>
                <w:rFonts w:cs="仿宋_GB2312" w:asciiTheme="minorEastAsia" w:hAnsiTheme="minorEastAsia" w:eastAsiaTheme="minorEastAsia"/>
                <w:kern w:val="0"/>
                <w:sz w:val="18"/>
                <w:szCs w:val="18"/>
              </w:rPr>
            </w:pP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jc w:val="center"/>
              <w:rPr>
                <w:rFonts w:cs="仿宋_GB2312" w:asciiTheme="minorEastAsia" w:hAnsiTheme="minorEastAsia" w:eastAsiaTheme="minorEastAsia"/>
                <w:kern w:val="0"/>
                <w:sz w:val="18"/>
                <w:szCs w:val="18"/>
              </w:rPr>
            </w:pPr>
          </w:p>
        </w:tc>
        <w:tc>
          <w:tcPr>
            <w:tcW w:w="1651" w:type="dxa"/>
          </w:tcPr>
          <w:p>
            <w:pPr>
              <w:jc w:val="center"/>
              <w:rPr>
                <w:rFonts w:cs="仿宋_GB2312" w:asciiTheme="minorEastAsia" w:hAnsiTheme="minorEastAsia" w:eastAsiaTheme="minorEastAsia"/>
                <w:kern w:val="0"/>
                <w:sz w:val="18"/>
                <w:szCs w:val="18"/>
              </w:rPr>
            </w:pPr>
          </w:p>
        </w:tc>
        <w:tc>
          <w:tcPr>
            <w:tcW w:w="1227" w:type="dxa"/>
          </w:tcPr>
          <w:p>
            <w:pPr>
              <w:jc w:val="center"/>
              <w:rPr>
                <w:rFonts w:cs="仿宋_GB2312" w:asciiTheme="minorEastAsia" w:hAnsiTheme="minorEastAsia" w:eastAsiaTheme="minorEastAsia"/>
                <w:kern w:val="0"/>
                <w:sz w:val="18"/>
                <w:szCs w:val="18"/>
              </w:rPr>
            </w:pP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p>
        </w:tc>
        <w:tc>
          <w:tcPr>
            <w:tcW w:w="1651" w:type="dxa"/>
          </w:tcPr>
          <w:p>
            <w:pPr>
              <w:jc w:val="center"/>
              <w:rPr>
                <w:rFonts w:cs="仿宋_GB2312" w:asciiTheme="minorEastAsia" w:hAnsiTheme="minorEastAsia" w:eastAsiaTheme="minorEastAsia"/>
                <w:kern w:val="0"/>
                <w:sz w:val="18"/>
                <w:szCs w:val="18"/>
              </w:rPr>
            </w:pPr>
          </w:p>
        </w:tc>
        <w:tc>
          <w:tcPr>
            <w:tcW w:w="1227" w:type="dxa"/>
          </w:tcPr>
          <w:p>
            <w:pPr>
              <w:jc w:val="center"/>
              <w:rPr>
                <w:rFonts w:cs="仿宋_GB2312" w:asciiTheme="minorEastAsia" w:hAnsiTheme="minorEastAsia" w:eastAsiaTheme="minorEastAsia"/>
                <w:kern w:val="0"/>
                <w:sz w:val="18"/>
                <w:szCs w:val="18"/>
              </w:rPr>
            </w:pPr>
          </w:p>
        </w:tc>
        <w:tc>
          <w:tcPr>
            <w:tcW w:w="5386" w:type="dxa"/>
          </w:tcPr>
          <w:p>
            <w:pPr>
              <w:jc w:val="left"/>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25"/>
        <w:sectPr>
          <w:headerReference r:id="rId5" w:type="default"/>
          <w:footerReference r:id="rId6" w:type="default"/>
          <w:pgSz w:w="11906" w:h="16838"/>
          <w:pgMar w:top="567" w:right="1134" w:bottom="1134" w:left="1418" w:header="1418" w:footer="1134" w:gutter="0"/>
          <w:cols w:space="425" w:num="1"/>
          <w:formProt w:val="0"/>
          <w:docGrid w:type="lines" w:linePitch="312" w:charSpace="0"/>
        </w:sectPr>
      </w:pPr>
    </w:p>
    <w:p>
      <w:pPr>
        <w:pStyle w:val="51"/>
      </w:pPr>
      <w:r>
        <w:rPr>
          <w:rFonts w:hint="eastAsia"/>
        </w:rPr>
        <w:t>办公用房配置管理规范</w:t>
      </w:r>
    </w:p>
    <w:p>
      <w:pPr>
        <w:pStyle w:val="46"/>
        <w:spacing w:before="312" w:after="312"/>
      </w:pPr>
      <w:bookmarkStart w:id="6" w:name="_Toc118303573"/>
      <w:r>
        <w:rPr>
          <w:rFonts w:hint="eastAsia"/>
        </w:rPr>
        <w:t>范围</w:t>
      </w:r>
      <w:bookmarkEnd w:id="6"/>
    </w:p>
    <w:p>
      <w:pPr>
        <w:autoSpaceDE w:val="0"/>
        <w:autoSpaceDN w:val="0"/>
        <w:ind w:firstLine="420"/>
        <w:rPr>
          <w:color w:val="000000"/>
        </w:rPr>
      </w:pPr>
      <w:r>
        <w:rPr>
          <w:rFonts w:hint="eastAsia"/>
        </w:rPr>
        <w:t>本文件规定了</w:t>
      </w:r>
      <w:r>
        <w:rPr>
          <w:rFonts w:hint="eastAsia"/>
          <w:color w:val="000000"/>
        </w:rPr>
        <w:t>邢台市党政机关办公用房配置管理规范及要求。</w:t>
      </w:r>
    </w:p>
    <w:p>
      <w:pPr>
        <w:pStyle w:val="25"/>
      </w:pPr>
      <w:r>
        <w:rPr>
          <w:rFonts w:hint="eastAsia"/>
          <w:color w:val="000000"/>
        </w:rPr>
        <w:t>本文件适用于邢台市党政机关办公用房配置管理工作</w:t>
      </w:r>
      <w:r>
        <w:rPr>
          <w:rFonts w:hint="eastAsia"/>
        </w:rPr>
        <w:t>。</w:t>
      </w:r>
    </w:p>
    <w:p>
      <w:pPr>
        <w:pStyle w:val="46"/>
        <w:spacing w:before="312" w:after="312"/>
      </w:pPr>
      <w:bookmarkStart w:id="7" w:name="_Toc118303574"/>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rPr>
          <w:rFonts w:hint="eastAsia"/>
        </w:rPr>
      </w:pPr>
      <w:r>
        <w:rPr>
          <w:rFonts w:hint="eastAsia"/>
        </w:rPr>
        <w:t>《党政机关办公用房建设标准》（发改投资〔2014〕2674号）</w:t>
      </w:r>
    </w:p>
    <w:p>
      <w:pPr>
        <w:pStyle w:val="25"/>
        <w:rPr>
          <w:rFonts w:hint="eastAsia"/>
        </w:rPr>
      </w:pPr>
      <w:r>
        <w:rPr>
          <w:rFonts w:hint="eastAsia"/>
        </w:rPr>
        <w:t>《机关团体建设楼堂馆所管理条例》（国务院令第688号）</w:t>
      </w:r>
    </w:p>
    <w:p>
      <w:pPr>
        <w:pStyle w:val="25"/>
        <w:rPr>
          <w:rFonts w:hint="eastAsia"/>
        </w:rPr>
      </w:pPr>
      <w:r>
        <w:rPr>
          <w:rFonts w:hint="eastAsia"/>
        </w:rPr>
        <w:t>《党政机关办公用房管理办法》（中办发〔2017〕70号）</w:t>
      </w:r>
    </w:p>
    <w:p>
      <w:pPr>
        <w:pStyle w:val="25"/>
        <w:rPr>
          <w:rFonts w:hint="eastAsia"/>
        </w:rPr>
      </w:pPr>
      <w:r>
        <w:rPr>
          <w:rFonts w:hint="eastAsia"/>
        </w:rPr>
        <w:t>《河北省党政机关办公用房管理实施办法》（冀办发〔2018〕42号）</w:t>
      </w:r>
    </w:p>
    <w:p>
      <w:pPr>
        <w:pStyle w:val="25"/>
        <w:rPr>
          <w:color w:val="0070C0"/>
        </w:rPr>
      </w:pPr>
      <w:r>
        <w:rPr>
          <w:rFonts w:hint="eastAsia"/>
        </w:rPr>
        <w:t>《邢台市党政机关办公用房管理实施办法》（邢办法〔2020〕15号）</w:t>
      </w:r>
    </w:p>
    <w:p>
      <w:pPr>
        <w:pStyle w:val="46"/>
        <w:spacing w:before="312" w:after="312"/>
      </w:pPr>
      <w:bookmarkStart w:id="8" w:name="_Toc118303575"/>
      <w:r>
        <w:rPr>
          <w:rFonts w:hint="eastAsia"/>
        </w:rPr>
        <w:t>术语和定义</w:t>
      </w:r>
      <w:bookmarkEnd w:id="8"/>
    </w:p>
    <w:p>
      <w:pPr>
        <w:pStyle w:val="25"/>
        <w:rPr>
          <w:color w:val="000000"/>
        </w:rPr>
      </w:pPr>
      <w:r>
        <w:rPr>
          <w:rFonts w:hint="eastAsia"/>
          <w:color w:val="000000"/>
        </w:rPr>
        <w:t>下列术语和定义适用于本文件。</w:t>
      </w:r>
    </w:p>
    <w:p>
      <w:pPr>
        <w:pStyle w:val="146"/>
      </w:pPr>
    </w:p>
    <w:p>
      <w:pPr>
        <w:pStyle w:val="148"/>
      </w:pPr>
      <w:r>
        <w:rPr>
          <w:rFonts w:hint="eastAsia"/>
        </w:rPr>
        <w:t>党政机关</w:t>
      </w:r>
    </w:p>
    <w:p>
      <w:pPr>
        <w:pStyle w:val="25"/>
        <w:rPr>
          <w:rFonts w:ascii="Tahoma" w:hAnsi="Tahoma" w:cs="Tahoma"/>
          <w:color w:val="000000"/>
          <w:szCs w:val="21"/>
          <w:shd w:val="clear" w:color="auto" w:fill="FFFFFF"/>
        </w:rPr>
      </w:pPr>
      <w:r>
        <w:rPr>
          <w:rFonts w:hint="eastAsia"/>
        </w:rPr>
        <w:t>党的机关、人大机关、行政机关、政协机关、监察机关、监察机关、以及工会、共青团、妇联的等人民团体机关、各民主党派机关以及上述部门所属的行政单位和参照公务员法管理的事业单位。</w:t>
      </w:r>
    </w:p>
    <w:p>
      <w:pPr>
        <w:pStyle w:val="146"/>
      </w:pPr>
    </w:p>
    <w:p>
      <w:pPr>
        <w:pStyle w:val="148"/>
      </w:pPr>
      <w:r>
        <w:rPr>
          <w:rFonts w:hint="eastAsia"/>
        </w:rPr>
        <w:t>办公用房</w:t>
      </w:r>
    </w:p>
    <w:p>
      <w:pPr>
        <w:pStyle w:val="25"/>
        <w:rPr>
          <w:rFonts w:ascii="Tahoma" w:hAnsi="Tahoma" w:cs="Tahoma"/>
          <w:color w:val="000000"/>
          <w:szCs w:val="21"/>
          <w:shd w:val="clear" w:color="auto" w:fill="FFFFFF"/>
        </w:rPr>
      </w:pPr>
      <w:r>
        <w:rPr>
          <w:rFonts w:hint="eastAsia"/>
        </w:rPr>
        <w:t>党政机关占有、使用或者可以确认属于机关资产的，为保障党政机关正常运行需要设置的基本工作场所，包括办公室、服务用房、设备用房和附属用房。</w:t>
      </w:r>
    </w:p>
    <w:p>
      <w:pPr>
        <w:pStyle w:val="146"/>
      </w:pPr>
    </w:p>
    <w:p>
      <w:pPr>
        <w:pStyle w:val="25"/>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办公用房配置</w:t>
      </w:r>
    </w:p>
    <w:p>
      <w:pPr>
        <w:pStyle w:val="25"/>
      </w:pPr>
      <w:r>
        <w:rPr>
          <w:rFonts w:hint="eastAsia"/>
          <w:color w:val="FF0000"/>
          <w:lang w:val="en-US" w:eastAsia="zh-CN"/>
        </w:rPr>
        <w:t>市机关后勤服务中心</w:t>
      </w:r>
      <w:r>
        <w:rPr>
          <w:rFonts w:hint="eastAsia"/>
        </w:rPr>
        <w:t>，结合党政机关机构设置、人员编制情况、办公与业务需要等，对党政机关办公用房进行配置、保障的行为。</w:t>
      </w:r>
    </w:p>
    <w:p>
      <w:pPr>
        <w:pStyle w:val="46"/>
        <w:spacing w:before="312" w:after="312"/>
      </w:pPr>
      <w:bookmarkStart w:id="9" w:name="_Toc118303576"/>
      <w:r>
        <w:rPr>
          <w:rFonts w:hint="eastAsia"/>
        </w:rPr>
        <w:t>总体原则</w:t>
      </w:r>
      <w:bookmarkEnd w:id="9"/>
    </w:p>
    <w:p>
      <w:pPr>
        <w:pStyle w:val="25"/>
      </w:pPr>
      <w:r>
        <w:rPr>
          <w:rFonts w:hint="eastAsia"/>
        </w:rPr>
        <w:t>办公用房配置，应遵循依法合规、统筹规划、规范配置、厉行节约、严格标准、从严核定的原则。党政机关办公用房配置应当严格执行相关标准，从严核定面积。</w:t>
      </w:r>
    </w:p>
    <w:p>
      <w:pPr>
        <w:pStyle w:val="46"/>
        <w:spacing w:before="312" w:after="312"/>
      </w:pPr>
      <w:bookmarkStart w:id="10" w:name="_Toc118303577"/>
      <w:r>
        <w:rPr>
          <w:rFonts w:hint="eastAsia"/>
        </w:rPr>
        <w:t>配置方式</w:t>
      </w:r>
      <w:bookmarkEnd w:id="10"/>
    </w:p>
    <w:p>
      <w:pPr>
        <w:pStyle w:val="25"/>
      </w:pPr>
      <w:r>
        <w:rPr>
          <w:rFonts w:hint="eastAsia"/>
        </w:rPr>
        <w:t>党政机关办公用房配置方式包括调剂、置换、租用和建设。</w:t>
      </w:r>
    </w:p>
    <w:p>
      <w:pPr>
        <w:pStyle w:val="46"/>
        <w:spacing w:before="312" w:after="312"/>
      </w:pPr>
      <w:bookmarkStart w:id="11" w:name="_Toc118303578"/>
      <w:r>
        <w:rPr>
          <w:rFonts w:hint="eastAsia"/>
        </w:rPr>
        <w:t>配置程序</w:t>
      </w:r>
      <w:bookmarkEnd w:id="11"/>
    </w:p>
    <w:p>
      <w:pPr>
        <w:pStyle w:val="43"/>
        <w:spacing w:before="156" w:after="156"/>
        <w:rPr>
          <w:rFonts w:hint="eastAsia"/>
        </w:rPr>
      </w:pPr>
      <w:bookmarkStart w:id="12" w:name="_Toc118303579"/>
      <w:r>
        <w:rPr>
          <w:rFonts w:hint="eastAsia"/>
        </w:rPr>
        <w:t>调剂</w:t>
      </w:r>
      <w:bookmarkEnd w:id="12"/>
    </w:p>
    <w:p>
      <w:pPr>
        <w:pStyle w:val="25"/>
        <w:rPr>
          <w:rFonts w:hint="eastAsia"/>
        </w:rPr>
      </w:pPr>
      <w:r>
        <w:rPr>
          <w:rFonts w:hint="eastAsia"/>
        </w:rPr>
        <w:t>使用单位需要配置办公用房的，应当优先在其部门内部整合现有办公用房资源调剂解决，无法满足要求的，报送本级</w:t>
      </w:r>
      <w:r>
        <w:rPr>
          <w:rFonts w:hint="eastAsia"/>
          <w:color w:val="FF0000"/>
          <w:lang w:val="en-US" w:eastAsia="zh-CN"/>
        </w:rPr>
        <w:t>市机关后勤服务中心</w:t>
      </w:r>
      <w:r>
        <w:rPr>
          <w:rFonts w:hint="eastAsia"/>
        </w:rPr>
        <w:t>调剂解决。</w:t>
      </w:r>
    </w:p>
    <w:p>
      <w:pPr>
        <w:pStyle w:val="43"/>
        <w:spacing w:before="156" w:after="156"/>
        <w:rPr>
          <w:rFonts w:hint="eastAsia"/>
        </w:rPr>
      </w:pPr>
      <w:bookmarkStart w:id="13" w:name="_Toc118303580"/>
      <w:r>
        <w:rPr>
          <w:rFonts w:hint="eastAsia"/>
        </w:rPr>
        <w:t>置换</w:t>
      </w:r>
      <w:bookmarkEnd w:id="13"/>
    </w:p>
    <w:p>
      <w:pPr>
        <w:pStyle w:val="147"/>
        <w:rPr>
          <w:rFonts w:hint="eastAsia"/>
        </w:rPr>
      </w:pPr>
      <w:r>
        <w:rPr>
          <w:rFonts w:hint="eastAsia"/>
        </w:rPr>
        <w:t>未能调剂、采取置换方式配置办公用房的，应当严格履行审批程序，执行新建办公用房各项标准，确保符合办公用房各类功能要求，并按规定组织资产评估，置换所得超出面积标准的办公用房交由</w:t>
      </w:r>
      <w:r>
        <w:rPr>
          <w:rFonts w:hint="eastAsia"/>
          <w:color w:val="FF0000"/>
          <w:lang w:val="en-US" w:eastAsia="zh-CN"/>
        </w:rPr>
        <w:t>市机关后勤服务中</w:t>
      </w:r>
      <w:r>
        <w:rPr>
          <w:rFonts w:hint="eastAsia"/>
          <w:lang w:val="en-US" w:eastAsia="zh-CN"/>
        </w:rPr>
        <w:t>心</w:t>
      </w:r>
      <w:r>
        <w:rPr>
          <w:rFonts w:hint="eastAsia"/>
        </w:rPr>
        <w:t>统一调剂，置换所得收益按照非税收入有关规定管理。</w:t>
      </w:r>
    </w:p>
    <w:p>
      <w:pPr>
        <w:pStyle w:val="147"/>
        <w:rPr>
          <w:rFonts w:hint="eastAsia"/>
        </w:rPr>
      </w:pPr>
      <w:r>
        <w:rPr>
          <w:rFonts w:hint="eastAsia"/>
        </w:rPr>
        <w:t>置换旧房的，由</w:t>
      </w:r>
      <w:r>
        <w:rPr>
          <w:rFonts w:hint="eastAsia"/>
          <w:color w:val="FF0000"/>
          <w:lang w:val="en-US" w:eastAsia="zh-CN"/>
        </w:rPr>
        <w:t>市机关后勤服务中心</w:t>
      </w:r>
      <w:r>
        <w:rPr>
          <w:rFonts w:hint="eastAsia"/>
        </w:rPr>
        <w:t>会同发展改革、财政部门报同级人民政府审批；置换新房的，应当严格履行建设审批程序。不得以置换名义量身打造办公用房，不得以未使用政府预算建设资金、资产整合等名义规避审批。</w:t>
      </w:r>
    </w:p>
    <w:p>
      <w:pPr>
        <w:pStyle w:val="43"/>
        <w:spacing w:before="156" w:after="156"/>
        <w:rPr>
          <w:rFonts w:hint="eastAsia"/>
        </w:rPr>
      </w:pPr>
      <w:bookmarkStart w:id="14" w:name="_Toc118303581"/>
      <w:r>
        <w:rPr>
          <w:rFonts w:hint="eastAsia"/>
        </w:rPr>
        <w:t>租用</w:t>
      </w:r>
      <w:bookmarkEnd w:id="14"/>
    </w:p>
    <w:p>
      <w:pPr>
        <w:pStyle w:val="147"/>
        <w:rPr>
          <w:rFonts w:hint="eastAsia"/>
        </w:rPr>
      </w:pPr>
      <w:r>
        <w:rPr>
          <w:rFonts w:hint="eastAsia"/>
        </w:rPr>
        <w:t>无法调剂或者置换解决办公用房的，可以面向市场租用，但应当严格按照规定履行审批程序。</w:t>
      </w:r>
    </w:p>
    <w:p>
      <w:pPr>
        <w:pStyle w:val="147"/>
        <w:rPr>
          <w:rFonts w:hint="eastAsia"/>
        </w:rPr>
      </w:pPr>
      <w:r>
        <w:rPr>
          <w:rFonts w:hint="eastAsia"/>
        </w:rPr>
        <w:t>需租用办公用房的，应由使用单位按相关标准提出申请，经</w:t>
      </w:r>
      <w:r>
        <w:rPr>
          <w:rFonts w:hint="eastAsia"/>
          <w:color w:val="FF0000"/>
          <w:lang w:val="en-US" w:eastAsia="zh-CN"/>
        </w:rPr>
        <w:t>市</w:t>
      </w:r>
      <w:r>
        <w:rPr>
          <w:rFonts w:hint="eastAsia"/>
          <w:color w:val="FF0000"/>
        </w:rPr>
        <w:t>机关</w:t>
      </w:r>
      <w:r>
        <w:rPr>
          <w:rFonts w:hint="eastAsia"/>
          <w:color w:val="FF0000"/>
          <w:lang w:val="en-US" w:eastAsia="zh-CN"/>
        </w:rPr>
        <w:t>后勤服务中心</w:t>
      </w:r>
      <w:r>
        <w:rPr>
          <w:rFonts w:hint="eastAsia"/>
        </w:rPr>
        <w:t>核准后，报财政部门审核安排预算，并由使用单位与出租方签订租赁协议。</w:t>
      </w:r>
    </w:p>
    <w:p>
      <w:pPr>
        <w:pStyle w:val="147"/>
        <w:rPr>
          <w:rFonts w:hint="eastAsia"/>
        </w:rPr>
      </w:pPr>
      <w:r>
        <w:rPr>
          <w:rFonts w:hint="eastAsia"/>
        </w:rPr>
        <w:t>由机关事务管理局统筹本级党政机关办公用房使用需求，制定租用方案，报财政部门审核安排预算后，统一租赁并统筹安排使用。</w:t>
      </w:r>
    </w:p>
    <w:p>
      <w:pPr>
        <w:pStyle w:val="147"/>
        <w:rPr>
          <w:rFonts w:hint="eastAsia"/>
        </w:rPr>
      </w:pPr>
      <w:r>
        <w:rPr>
          <w:rFonts w:hint="eastAsia"/>
        </w:rPr>
        <w:t>办公用房租赁应当依法履行政府采购手续。</w:t>
      </w:r>
    </w:p>
    <w:p>
      <w:pPr>
        <w:pStyle w:val="43"/>
        <w:spacing w:before="156" w:after="156"/>
        <w:rPr>
          <w:rFonts w:hint="eastAsia"/>
        </w:rPr>
      </w:pPr>
      <w:bookmarkStart w:id="15" w:name="_Toc118303582"/>
      <w:r>
        <w:rPr>
          <w:rFonts w:hint="eastAsia"/>
        </w:rPr>
        <w:t>建设</w:t>
      </w:r>
      <w:bookmarkEnd w:id="15"/>
    </w:p>
    <w:p>
      <w:pPr>
        <w:pStyle w:val="147"/>
        <w:rPr>
          <w:rFonts w:hint="eastAsia"/>
        </w:rPr>
      </w:pPr>
      <w:r>
        <w:rPr>
          <w:rFonts w:hint="eastAsia"/>
        </w:rPr>
        <w:t>无法调剂、置换、租用办公用房，或者涉及国家秘密、国家安全等特殊情况的，可以采取建设方式解决，但应当按照国家有关政策从严控制，严格履行审批程序。党政机关办公用房建设包括新建、扩建、改建、购置。</w:t>
      </w:r>
    </w:p>
    <w:p>
      <w:pPr>
        <w:pStyle w:val="147"/>
        <w:rPr>
          <w:rFonts w:hint="eastAsia"/>
        </w:rPr>
      </w:pPr>
      <w:r>
        <w:rPr>
          <w:rFonts w:hint="eastAsia"/>
        </w:rPr>
        <w:t>市委、市人大常委会、市政府、市政协机关办公用房建设项目，由项目建设单位提出申请，经</w:t>
      </w:r>
      <w:r>
        <w:rPr>
          <w:rFonts w:hint="eastAsia"/>
          <w:color w:val="FF0000"/>
        </w:rPr>
        <w:t>市机关</w:t>
      </w:r>
      <w:r>
        <w:rPr>
          <w:rFonts w:hint="eastAsia"/>
          <w:color w:val="FF0000"/>
          <w:lang w:val="en-US" w:eastAsia="zh-CN"/>
        </w:rPr>
        <w:t>后勤服务中心</w:t>
      </w:r>
      <w:r>
        <w:rPr>
          <w:rFonts w:hint="eastAsia"/>
        </w:rPr>
        <w:t>出具必要性审查意见后，由市发展改革委核报市政府审定，并按程序报由市政府核报省政府审批。</w:t>
      </w:r>
    </w:p>
    <w:p>
      <w:pPr>
        <w:pStyle w:val="147"/>
        <w:rPr>
          <w:rFonts w:hint="eastAsia"/>
        </w:rPr>
      </w:pPr>
      <w:r>
        <w:rPr>
          <w:rFonts w:hint="eastAsia"/>
        </w:rPr>
        <w:t>市直部门的办公用房建设项目，由市直部门向市政府提出申请，经市发展改革委核报市政府审批；市直部门所属垂直管理机构、派出机构、驻外机构和参照公务员法管理的事业单位的办公用房建设项目，报市行政审批局审批。其中，市直部门和涉及</w:t>
      </w:r>
      <w:r>
        <w:rPr>
          <w:rFonts w:hint="eastAsia"/>
          <w:color w:val="FF0000"/>
        </w:rPr>
        <w:t>市机关</w:t>
      </w:r>
      <w:r>
        <w:rPr>
          <w:rFonts w:hint="eastAsia"/>
          <w:color w:val="FF0000"/>
          <w:lang w:val="en-US" w:eastAsia="zh-CN"/>
        </w:rPr>
        <w:t>后勤服务中心</w:t>
      </w:r>
      <w:r>
        <w:rPr>
          <w:rFonts w:hint="eastAsia"/>
        </w:rPr>
        <w:t>管理职能的办公用房建设项目，申报前应当由</w:t>
      </w:r>
      <w:r>
        <w:rPr>
          <w:rFonts w:hint="eastAsia"/>
          <w:color w:val="FF0000"/>
        </w:rPr>
        <w:t>市机关</w:t>
      </w:r>
      <w:r>
        <w:rPr>
          <w:rFonts w:hint="eastAsia"/>
          <w:color w:val="FF0000"/>
          <w:lang w:val="en-US" w:eastAsia="zh-CN"/>
        </w:rPr>
        <w:t>后勤服务中心</w:t>
      </w:r>
      <w:r>
        <w:rPr>
          <w:rFonts w:hint="eastAsia"/>
        </w:rPr>
        <w:t>出具必要性审查意见。</w:t>
      </w:r>
    </w:p>
    <w:p>
      <w:pPr>
        <w:pStyle w:val="147"/>
        <w:rPr>
          <w:rFonts w:hint="eastAsia"/>
        </w:rPr>
      </w:pPr>
      <w:r>
        <w:rPr>
          <w:rFonts w:hint="eastAsia"/>
        </w:rPr>
        <w:t>6.4.4 县级以上党政机关办公用房建设项目，由市政府向省政府提出申请，由市发改委核报市政府审定，并按程序由市政府核报省政府审批，申报前应当由同级机关事务管理部门出具必要性审查意见。</w:t>
      </w:r>
    </w:p>
    <w:p>
      <w:pPr>
        <w:pStyle w:val="147"/>
        <w:rPr>
          <w:rFonts w:hint="eastAsia"/>
        </w:rPr>
      </w:pPr>
      <w:r>
        <w:rPr>
          <w:rFonts w:hint="eastAsia"/>
        </w:rPr>
        <w:t>县级以下党政机关办公用房建设项目，由省政府委托市政府、审批。由各县（市、区）政府向市政府提出建设项目申请，经市级发展改革部门核报市政府审批。申报前，应当由同级</w:t>
      </w:r>
      <w:r>
        <w:rPr>
          <w:rFonts w:hint="eastAsia"/>
          <w:color w:val="FF0000"/>
        </w:rPr>
        <w:t>机关事务管理</w:t>
      </w:r>
      <w:r>
        <w:rPr>
          <w:rFonts w:hint="eastAsia"/>
          <w:color w:val="FF0000"/>
          <w:lang w:val="en-US" w:eastAsia="zh-CN"/>
        </w:rPr>
        <w:t>部门</w:t>
      </w:r>
      <w:r>
        <w:rPr>
          <w:rFonts w:hint="eastAsia"/>
        </w:rPr>
        <w:t>出具必要性审查意见。</w:t>
      </w:r>
    </w:p>
    <w:p>
      <w:pPr>
        <w:pStyle w:val="147"/>
        <w:rPr>
          <w:rFonts w:hint="eastAsia"/>
        </w:rPr>
      </w:pPr>
      <w:r>
        <w:rPr>
          <w:rFonts w:hint="eastAsia"/>
        </w:rPr>
        <w:t>各市县直属部门的垂直管理机构、派出机构、驻外机构和参照公务员法管理的事业单位办公用房建设项目，由主管部门核报同级发展改革部门或负责行政审批的部门审批。涉及同级</w:t>
      </w:r>
      <w:r>
        <w:rPr>
          <w:rFonts w:hint="eastAsia"/>
          <w:color w:val="FF0000"/>
        </w:rPr>
        <w:t>机关事务管理</w:t>
      </w:r>
      <w:r>
        <w:rPr>
          <w:rFonts w:hint="eastAsia"/>
          <w:color w:val="FF0000"/>
          <w:lang w:val="en-US" w:eastAsia="zh-CN"/>
        </w:rPr>
        <w:t>部门</w:t>
      </w:r>
      <w:r>
        <w:rPr>
          <w:rFonts w:hint="eastAsia"/>
        </w:rPr>
        <w:t>管理职能的办公用房建设项目，申报前应当由其出具必要性审查意见。</w:t>
      </w:r>
    </w:p>
    <w:p>
      <w:pPr>
        <w:pStyle w:val="46"/>
        <w:spacing w:before="312" w:after="312"/>
        <w:rPr>
          <w:rFonts w:hint="eastAsia"/>
        </w:rPr>
      </w:pPr>
      <w:bookmarkStart w:id="16" w:name="_Toc118303583"/>
      <w:r>
        <w:rPr>
          <w:rFonts w:hint="eastAsia"/>
        </w:rPr>
        <w:t>办公用房配置资金</w:t>
      </w:r>
      <w:bookmarkEnd w:id="16"/>
    </w:p>
    <w:p>
      <w:pPr>
        <w:pStyle w:val="146"/>
        <w:rPr>
          <w:rFonts w:hint="eastAsia"/>
        </w:rPr>
      </w:pPr>
      <w:r>
        <w:rPr>
          <w:rFonts w:hint="eastAsia"/>
        </w:rPr>
        <w:t>党政机关办公用房配置所需资金，应当通过政府预算安排，不得接受任何形式赞助或者捐款，不得搞任何形式集资或者摊派，不得向其他任何单位借款，不得让施工单位垫资，严禁挪用各类专项资金。</w:t>
      </w:r>
    </w:p>
    <w:p>
      <w:pPr>
        <w:pStyle w:val="146"/>
        <w:rPr>
          <w:rFonts w:hint="eastAsia"/>
        </w:rPr>
      </w:pPr>
      <w:r>
        <w:rPr>
          <w:rFonts w:hint="eastAsia"/>
        </w:rPr>
        <w:t>土地收益和资产转让收益按照非税收入有关规定管理，不得直接用于办公用房配置。</w:t>
      </w:r>
    </w:p>
    <w:p>
      <w:pPr>
        <w:pStyle w:val="146"/>
        <w:rPr>
          <w:rFonts w:hint="eastAsia"/>
        </w:rPr>
      </w:pPr>
      <w:r>
        <w:rPr>
          <w:rFonts w:hint="eastAsia"/>
        </w:rPr>
        <w:t>涉及新增资产的，应当向财政部门申报新增资产配置预算。</w:t>
      </w:r>
    </w:p>
    <w:p>
      <w:pPr>
        <w:pStyle w:val="46"/>
        <w:spacing w:before="312" w:after="312"/>
        <w:rPr>
          <w:rFonts w:hint="eastAsia"/>
        </w:rPr>
      </w:pPr>
      <w:bookmarkStart w:id="17" w:name="_Toc118303584"/>
      <w:r>
        <w:rPr>
          <w:rFonts w:hint="eastAsia"/>
        </w:rPr>
        <w:t>配置后管理</w:t>
      </w:r>
      <w:bookmarkEnd w:id="17"/>
    </w:p>
    <w:p>
      <w:pPr>
        <w:pStyle w:val="25"/>
      </w:pPr>
      <w:r>
        <w:rPr>
          <w:rFonts w:hint="eastAsia"/>
        </w:rPr>
        <w:t>新配置办公用房的党政机关，应当在搬入新办公用房后1个月内，将超出核定面积的原有办公用房腾退移交同级机关事务管理局统一调剂使用，不得继续占用或者自行处置，不得自行安排其他单位使用。</w:t>
      </w:r>
    </w:p>
    <w:p>
      <w:pPr>
        <w:pStyle w:val="25"/>
      </w:pPr>
    </w:p>
    <w:p>
      <w:r>
        <w:rPr>
          <w:rFonts w:hint="eastAsia"/>
          <w:color w:val="000000"/>
          <w:sz w:val="24"/>
        </w:rPr>
        <mc:AlternateContent>
          <mc:Choice Requires="wps">
            <w:drawing>
              <wp:anchor distT="0" distB="0" distL="114300" distR="114300" simplePos="0" relativeHeight="251665408" behindDoc="0" locked="0" layoutInCell="1" allowOverlap="1">
                <wp:simplePos x="0" y="0"/>
                <wp:positionH relativeFrom="column">
                  <wp:posOffset>1785620</wp:posOffset>
                </wp:positionH>
                <wp:positionV relativeFrom="paragraph">
                  <wp:posOffset>1269365</wp:posOffset>
                </wp:positionV>
                <wp:extent cx="2743200" cy="0"/>
                <wp:effectExtent l="0" t="0" r="19050" b="19050"/>
                <wp:wrapNone/>
                <wp:docPr id="1" name="直接连接符 1"/>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0.6pt;margin-top:99.95pt;height:0pt;width:216pt;z-index:251665408;mso-width-relative:page;mso-height-relative:page;" filled="f" stroked="t" coordsize="21600,21600" o:gfxdata="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XBp10tYAAAALAQAADwAAAAAA&#10;AAABACAAAAA4AAAAZHJzL2Rvd25yZXYueG1sUEsBAhQAFAAAAAgAh07iQKjvegPGAQAAYwMAAA4A&#10;AAAAAAAAAQAgAAAAOwEAAGRycy9lMm9Eb2MueG1sUEsFBgAAAAAGAAYAWQEAAHMFAAAAAA==&#10;">
                <v:fill on="f" focussize="0,0"/>
                <v:stroke weight="0.5pt" color="#000000 [3200]" miterlimit="8" joinstyle="miter"/>
                <v:imagedata o:title=""/>
                <o:lock v:ext="edit" aspectratio="f"/>
              </v:line>
            </w:pict>
          </mc:Fallback>
        </mc:AlternateContent>
      </w:r>
    </w:p>
    <w:sectPr>
      <w:headerReference r:id="rId7" w:type="default"/>
      <w:footerReference r:id="rId8" w:type="default"/>
      <w:pgSz w:w="11906" w:h="16838"/>
      <w:pgMar w:top="567" w:right="1134" w:bottom="1134" w:left="1418" w:header="1418" w:footer="1134"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4825795"/>
      <w:docPartObj>
        <w:docPartGallery w:val="autotext"/>
      </w:docPartObj>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3527172"/>
      <w:docPartObj>
        <w:docPartGallery w:val="autotext"/>
      </w:docPartObj>
    </w:sdtPr>
    <w:sdtContent>
      <w:p>
        <w:pPr>
          <w:pStyle w:val="19"/>
          <w:jc w:val="center"/>
        </w:pPr>
        <w:r>
          <w:fldChar w:fldCharType="begin"/>
        </w:r>
        <w:r>
          <w:instrText xml:space="preserve">PAGE   \* MERGEFORMAT</w:instrText>
        </w:r>
        <w:r>
          <w:fldChar w:fldCharType="separate"/>
        </w:r>
        <w:r>
          <w:rPr>
            <w:lang w:val="zh-CN"/>
          </w:rPr>
          <w:t>3</w:t>
        </w:r>
        <w:r>
          <w:fldChar w:fldCharType="end"/>
        </w:r>
      </w:p>
    </w:sdtContent>
  </w:sdt>
  <w:p>
    <w:pPr>
      <w:pStyle w:val="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6</w:t>
        </w:r>
        <w:r>
          <w:fldChar w:fldCharType="end"/>
        </w:r>
      </w:p>
    </w:sdtContent>
  </w:sdt>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wordWrap w:val="0"/>
    </w:pPr>
    <w:r>
      <w:rPr>
        <w:rFonts w:hint="eastAsia"/>
      </w:rPr>
      <w:t xml:space="preserve">邢JG </w:t>
    </w:r>
    <w:r>
      <w:t>YF</w:t>
    </w:r>
    <w:r>
      <w:rPr>
        <w:rFonts w:hint="eastAsia"/>
      </w:rPr>
      <w:t>.</w:t>
    </w:r>
    <w:r>
      <w:rPr>
        <w:rFonts w:hint="eastAsia"/>
        <w:lang w:val="en-US" w:eastAsia="zh-CN"/>
      </w:rPr>
      <w:t>210.</w:t>
    </w:r>
    <w:r>
      <w:t>00</w:t>
    </w:r>
    <w:r>
      <w:rPr>
        <w:rFonts w:hint="eastAsia"/>
        <w:lang w:val="en-US" w:eastAsia="zh-CN"/>
      </w:rPr>
      <w:t>7</w:t>
    </w:r>
    <w:r>
      <w:rPr>
        <w:rFonts w:hint="eastAsia"/>
      </w:rPr>
      <w:t>—202</w:t>
    </w:r>
    <w: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YF</w:t>
    </w:r>
    <w:r>
      <w:rPr>
        <w:rFonts w:hint="eastAsia"/>
      </w:rPr>
      <w:t>.</w:t>
    </w:r>
    <w:r>
      <w:rPr>
        <w:rFonts w:hint="eastAsia"/>
        <w:lang w:val="en-US" w:eastAsia="zh-CN"/>
      </w:rPr>
      <w:t>210.</w:t>
    </w:r>
    <w:r>
      <w:t>00</w:t>
    </w:r>
    <w:r>
      <w:rPr>
        <w:rFonts w:hint="eastAsia"/>
        <w:lang w:val="en-US" w:eastAsia="zh-CN"/>
      </w:rPr>
      <w:t>7</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1118"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568"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hYmY2MDg0ZWVlZGUxNjMwYWFhNmJhZDBkNTYyNWMifQ=="/>
  </w:docVars>
  <w:rsids>
    <w:rsidRoot w:val="00EF2EF6"/>
    <w:rsid w:val="00000244"/>
    <w:rsid w:val="0000185F"/>
    <w:rsid w:val="000024D3"/>
    <w:rsid w:val="000053B0"/>
    <w:rsid w:val="000057E6"/>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72D"/>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CEA"/>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8751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1B9"/>
    <w:rsid w:val="00382EAB"/>
    <w:rsid w:val="00383191"/>
    <w:rsid w:val="00386DED"/>
    <w:rsid w:val="003912E7"/>
    <w:rsid w:val="00393947"/>
    <w:rsid w:val="003A170B"/>
    <w:rsid w:val="003A1C6A"/>
    <w:rsid w:val="003A2275"/>
    <w:rsid w:val="003A2A45"/>
    <w:rsid w:val="003A5313"/>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17F"/>
    <w:rsid w:val="003D6CEF"/>
    <w:rsid w:val="003E1867"/>
    <w:rsid w:val="003E5729"/>
    <w:rsid w:val="003E5EAE"/>
    <w:rsid w:val="003E6A28"/>
    <w:rsid w:val="003E7514"/>
    <w:rsid w:val="003E7529"/>
    <w:rsid w:val="003F0B58"/>
    <w:rsid w:val="003F2AF5"/>
    <w:rsid w:val="003F3E91"/>
    <w:rsid w:val="003F4EE0"/>
    <w:rsid w:val="003F5AC7"/>
    <w:rsid w:val="003F7207"/>
    <w:rsid w:val="0040076F"/>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3D7"/>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1E15"/>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0CA3"/>
    <w:rsid w:val="00774FCA"/>
    <w:rsid w:val="00781AB5"/>
    <w:rsid w:val="007823C1"/>
    <w:rsid w:val="007913AB"/>
    <w:rsid w:val="007914F7"/>
    <w:rsid w:val="007972CC"/>
    <w:rsid w:val="00797409"/>
    <w:rsid w:val="007A58B4"/>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07A24"/>
    <w:rsid w:val="008127A2"/>
    <w:rsid w:val="00813900"/>
    <w:rsid w:val="00814471"/>
    <w:rsid w:val="00815D7E"/>
    <w:rsid w:val="00817A00"/>
    <w:rsid w:val="00820A1E"/>
    <w:rsid w:val="0082108D"/>
    <w:rsid w:val="00821CAE"/>
    <w:rsid w:val="00831AA2"/>
    <w:rsid w:val="00835DB3"/>
    <w:rsid w:val="0083617B"/>
    <w:rsid w:val="008370D2"/>
    <w:rsid w:val="008371BD"/>
    <w:rsid w:val="0084297F"/>
    <w:rsid w:val="008446E3"/>
    <w:rsid w:val="008447FF"/>
    <w:rsid w:val="00845FAB"/>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17DB0"/>
    <w:rsid w:val="00B23A84"/>
    <w:rsid w:val="00B242BD"/>
    <w:rsid w:val="00B26FAF"/>
    <w:rsid w:val="00B3383A"/>
    <w:rsid w:val="00B353EB"/>
    <w:rsid w:val="00B3550C"/>
    <w:rsid w:val="00B40B8C"/>
    <w:rsid w:val="00B435AA"/>
    <w:rsid w:val="00B439C4"/>
    <w:rsid w:val="00B4535E"/>
    <w:rsid w:val="00B523DB"/>
    <w:rsid w:val="00B52554"/>
    <w:rsid w:val="00B52A8C"/>
    <w:rsid w:val="00B56150"/>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26CDD"/>
    <w:rsid w:val="00D30301"/>
    <w:rsid w:val="00D324D3"/>
    <w:rsid w:val="00D362A9"/>
    <w:rsid w:val="00D42231"/>
    <w:rsid w:val="00D42827"/>
    <w:rsid w:val="00D429C6"/>
    <w:rsid w:val="00D44E80"/>
    <w:rsid w:val="00D45842"/>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5404"/>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590"/>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2EF6"/>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D6C5F"/>
    <w:rsid w:val="00FE1C50"/>
    <w:rsid w:val="00FE23DE"/>
    <w:rsid w:val="00FE4D17"/>
    <w:rsid w:val="00FE57AB"/>
    <w:rsid w:val="00FE7D7F"/>
    <w:rsid w:val="00FF04A9"/>
    <w:rsid w:val="2EA8435B"/>
    <w:rsid w:val="33251C93"/>
    <w:rsid w:val="34257DDF"/>
    <w:rsid w:val="4590011C"/>
    <w:rsid w:val="52331739"/>
    <w:rsid w:val="59FA2905"/>
    <w:rsid w:val="5A3E60EA"/>
    <w:rsid w:val="6CF67513"/>
    <w:rsid w:val="B55352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100" w:beforeLines="100" w:after="100" w:afterLines="100"/>
      <w:ind w:left="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ind w:left="833"/>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spacing w:before="370" w:line="400" w:lineRule="exact"/>
    </w:pPr>
    <w:rPr>
      <w:rFonts w:ascii="Times New Roman"/>
      <w:sz w:val="28"/>
      <w:szCs w:val="28"/>
    </w:rPr>
  </w:style>
  <w:style w:type="paragraph" w:customStyle="1" w:styleId="81">
    <w:name w:val="封面一致性程度标识"/>
    <w:basedOn w:val="80"/>
    <w:qFormat/>
    <w:uiPriority w:val="0"/>
    <w:pPr>
      <w:spacing w:before="440"/>
    </w:pPr>
    <w:rPr>
      <w:rFonts w:ascii="宋体" w:eastAsia="宋体"/>
    </w:rPr>
  </w:style>
  <w:style w:type="paragraph" w:customStyle="1" w:styleId="82">
    <w:name w:val="封面标准文稿类别"/>
    <w:basedOn w:val="81"/>
    <w:qFormat/>
    <w:uiPriority w:val="0"/>
    <w:pPr>
      <w:spacing w:after="160" w:line="240" w:lineRule="auto"/>
    </w:pPr>
    <w:rPr>
      <w:sz w:val="24"/>
    </w:rPr>
  </w:style>
  <w:style w:type="paragraph" w:customStyle="1" w:styleId="83">
    <w:name w:val="封面标准文稿编辑信息"/>
    <w:basedOn w:val="82"/>
    <w:qFormat/>
    <w:uiPriority w:val="0"/>
    <w:p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字符"/>
    <w:link w:val="3"/>
    <w:qFormat/>
    <w:uiPriority w:val="9"/>
    <w:rPr>
      <w:rFonts w:ascii="Cambria" w:hAnsi="Cambria" w:eastAsia="宋体" w:cs="Times New Roman"/>
      <w:b/>
      <w:bCs/>
      <w:kern w:val="2"/>
      <w:sz w:val="32"/>
      <w:szCs w:val="32"/>
    </w:rPr>
  </w:style>
  <w:style w:type="character" w:customStyle="1" w:styleId="141">
    <w:name w:val="标题 3 字符"/>
    <w:link w:val="4"/>
    <w:qFormat/>
    <w:uiPriority w:val="9"/>
    <w:rPr>
      <w:rFonts w:ascii="Calibri" w:hAnsi="Calibri" w:eastAsia="宋体" w:cs="Times New Roman"/>
      <w:b/>
      <w:bCs/>
      <w:kern w:val="2"/>
      <w:sz w:val="32"/>
      <w:szCs w:val="32"/>
    </w:rPr>
  </w:style>
  <w:style w:type="character" w:customStyle="1" w:styleId="142">
    <w:name w:val="批注框文本 字符"/>
    <w:link w:val="18"/>
    <w:qFormat/>
    <w:uiPriority w:val="0"/>
    <w:rPr>
      <w:kern w:val="2"/>
      <w:sz w:val="18"/>
      <w:szCs w:val="18"/>
    </w:rPr>
  </w:style>
  <w:style w:type="character" w:customStyle="1" w:styleId="143">
    <w:name w:val="标题 1 字符"/>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字符"/>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字符"/>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numbering.xml" Type="http://schemas.openxmlformats.org/officeDocument/2006/relationships/numbering"/><Relationship Id="rId12"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header3.xml" Type="http://schemas.openxmlformats.org/officeDocument/2006/relationships/header"/><Relationship Id="rId8" Target="footer3.xml" Type="http://schemas.openxmlformats.org/officeDocument/2006/relationships/footer"/><Relationship Id="rId9" Target="theme/theme1.xml" Type="http://schemas.openxmlformats.org/officeDocument/2006/relationships/theme"/></Relationships>
</file>

<file path=word/_rels/settings.xml.rels><?xml version="1.0" encoding="UTF-8" standalone="no"?><Relationships xmlns="http://schemas.openxmlformats.org/package/2006/relationships"><Relationship Id="rId1" Target="/home/kylin/D:/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6</Pages>
  <Words>2319</Words>
  <Characters>2436</Characters>
  <Lines>25</Lines>
  <Paragraphs>7</Paragraphs>
  <TotalTime>2</TotalTime>
  <ScaleCrop>false</ScaleCrop>
  <LinksUpToDate>false</LinksUpToDate>
  <CharactersWithSpaces>2531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2022-11-03T17:39:00Z</dcterms:created>
  <dc:creator>路源</dc:creator>
  <cp:lastModifiedBy>kylin</cp:lastModifiedBy>
  <cp:lastPrinted>2020-10-14T15:25:00Z</cp:lastPrinted>
  <dcterms:modified xsi:type="dcterms:W3CDTF">2023-03-18T17:55:07Z</dcterms:modified>
  <cp:revision>3</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878A14EF7227454FB0503DB7F073FAB5</vt:lpwstr>
  </property>
</Properties>
</file>