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：YF</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YF.</w:t>
      </w:r>
      <w:r>
        <w:rPr>
          <w:rFonts w:hint="eastAsia" w:hAnsi="黑体"/>
          <w:lang w:val="en-US" w:eastAsia="zh-CN"/>
        </w:rPr>
        <w:t>210.</w:t>
      </w:r>
      <w:r>
        <w:rPr>
          <w:rFonts w:hAnsi="黑体"/>
        </w:rPr>
        <w:t>0</w:t>
      </w:r>
      <w:r>
        <w:rPr>
          <w:rFonts w:hint="eastAsia" w:hAnsi="黑体"/>
          <w:lang w:val="en-US" w:eastAsia="zh-CN"/>
        </w:rPr>
        <w:t>08</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办公用房使用及处置管理规范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45"/>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30587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办公用房管理科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宋体"/>
          <w:color w:val="000000"/>
          <w:szCs w:val="21"/>
          <w:u w:val="single"/>
        </w:rPr>
        <w:t>办公用房管理科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郝建树、吴茜雅、方琰</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苏岩</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宋体"/>
          <w:color w:val="000000"/>
          <w:szCs w:val="21"/>
          <w:u w:val="single"/>
          <w:lang w:val="en-US" w:eastAsia="zh-CN"/>
        </w:rPr>
        <w:t>5</w:t>
      </w:r>
      <w:bookmarkStart w:id="25" w:name="_GoBack"/>
      <w:bookmarkEnd w:id="25"/>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2022-08-31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pPr>
            <w:r>
              <w:rPr>
                <w:rFonts w:hint="eastAsia"/>
              </w:rPr>
              <w:t>1.0</w:t>
            </w:r>
          </w:p>
        </w:tc>
        <w:tc>
          <w:tcPr>
            <w:tcW w:w="1651" w:type="dxa"/>
          </w:tcPr>
          <w:p>
            <w:pPr>
              <w:jc w:val="center"/>
            </w:pPr>
            <w:r>
              <w:rPr>
                <w:rFonts w:hint="eastAsia"/>
              </w:rPr>
              <w:t>2020-10-20</w:t>
            </w:r>
          </w:p>
        </w:tc>
        <w:tc>
          <w:tcPr>
            <w:tcW w:w="1227" w:type="dxa"/>
          </w:tcPr>
          <w:p>
            <w:pPr>
              <w:jc w:val="center"/>
            </w:pPr>
            <w:r>
              <w:rPr>
                <w:rFonts w:hint="eastAsia"/>
              </w:rPr>
              <w:t>创建</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pPr>
            <w:r>
              <w:rPr>
                <w:rFonts w:hint="eastAsia"/>
              </w:rPr>
              <w:t>2.0</w:t>
            </w:r>
          </w:p>
        </w:tc>
        <w:tc>
          <w:tcPr>
            <w:tcW w:w="1651" w:type="dxa"/>
          </w:tcPr>
          <w:p>
            <w:pPr>
              <w:jc w:val="center"/>
            </w:pPr>
            <w:r>
              <w:rPr>
                <w:rFonts w:hint="eastAsia"/>
              </w:rPr>
              <w:t>2022-09-01</w:t>
            </w:r>
          </w:p>
        </w:tc>
        <w:tc>
          <w:tcPr>
            <w:tcW w:w="1227" w:type="dxa"/>
          </w:tcPr>
          <w:p>
            <w:pPr>
              <w:jc w:val="center"/>
            </w:pPr>
            <w:r>
              <w:rPr>
                <w:rFonts w:hint="eastAsia"/>
              </w:rPr>
              <w:t>更改</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办公用房使用及处置管理规范</w:t>
      </w:r>
    </w:p>
    <w:p>
      <w:pPr>
        <w:pStyle w:val="46"/>
        <w:spacing w:before="312" w:after="312"/>
      </w:pPr>
      <w:bookmarkStart w:id="6" w:name="_Toc118305871"/>
      <w:r>
        <w:rPr>
          <w:rFonts w:hint="eastAsia"/>
        </w:rPr>
        <w:t>范围</w:t>
      </w:r>
      <w:bookmarkEnd w:id="6"/>
    </w:p>
    <w:p>
      <w:pPr>
        <w:autoSpaceDE w:val="0"/>
        <w:autoSpaceDN w:val="0"/>
        <w:ind w:firstLine="420"/>
        <w:rPr>
          <w:color w:val="000000"/>
        </w:rPr>
      </w:pPr>
      <w:r>
        <w:rPr>
          <w:rFonts w:hint="eastAsia"/>
        </w:rPr>
        <w:t>本文件规定了</w:t>
      </w:r>
      <w:r>
        <w:rPr>
          <w:rFonts w:hint="eastAsia"/>
          <w:color w:val="000000"/>
        </w:rPr>
        <w:t>邢台市党政机关办公用房使用管理的工作原则、工作内容、其他单位使用规定、腾退移交以及办公用房处置、处置利用条件和方式、处置利用管理、处置程序的要求。</w:t>
      </w:r>
    </w:p>
    <w:p>
      <w:pPr>
        <w:autoSpaceDE w:val="0"/>
        <w:autoSpaceDN w:val="0"/>
        <w:ind w:firstLine="420"/>
      </w:pPr>
      <w:r>
        <w:rPr>
          <w:rFonts w:hint="eastAsia"/>
          <w:color w:val="000000"/>
        </w:rPr>
        <w:t>本文件适用于邢台市党政机关办公用房的使用管理和处置审核工作。</w:t>
      </w:r>
    </w:p>
    <w:p>
      <w:pPr>
        <w:pStyle w:val="46"/>
        <w:spacing w:before="312" w:after="312"/>
      </w:pPr>
      <w:bookmarkStart w:id="7" w:name="_Toc11830587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ind w:firstLine="420"/>
        <w:rPr>
          <w:color w:val="000000"/>
        </w:rPr>
      </w:pPr>
      <w:r>
        <w:rPr>
          <w:rFonts w:hint="eastAsia"/>
          <w:color w:val="000000"/>
        </w:rPr>
        <w:t>《贯彻落实中办发[2013]17号文件需要明确的几个问题》（白头文件[2013]22号）</w:t>
      </w:r>
    </w:p>
    <w:p>
      <w:pPr>
        <w:autoSpaceDE w:val="0"/>
        <w:autoSpaceDN w:val="0"/>
        <w:ind w:firstLine="420"/>
        <w:rPr>
          <w:color w:val="000000"/>
        </w:rPr>
      </w:pPr>
      <w:r>
        <w:rPr>
          <w:rFonts w:hint="eastAsia"/>
          <w:color w:val="000000"/>
        </w:rPr>
        <w:t>《中共中央办公厅国务院办公厅关于进一步做好办公用房清理整改工作的通知》（中办发[2014]64号）</w:t>
      </w:r>
    </w:p>
    <w:p>
      <w:pPr>
        <w:autoSpaceDE w:val="0"/>
        <w:autoSpaceDN w:val="0"/>
        <w:ind w:firstLine="420"/>
        <w:rPr>
          <w:color w:val="000000"/>
        </w:rPr>
      </w:pPr>
      <w:r>
        <w:rPr>
          <w:rFonts w:hint="eastAsia"/>
          <w:color w:val="000000"/>
        </w:rPr>
        <w:t>《党政机关办公用房建设标准》（发改投资[2014]2674号）</w:t>
      </w:r>
    </w:p>
    <w:p>
      <w:pPr>
        <w:autoSpaceDE w:val="0"/>
        <w:autoSpaceDN w:val="0"/>
        <w:ind w:firstLine="420"/>
        <w:rPr>
          <w:color w:val="000000"/>
        </w:rPr>
      </w:pPr>
      <w:r>
        <w:rPr>
          <w:rFonts w:hint="eastAsia"/>
          <w:color w:val="000000"/>
        </w:rPr>
        <w:t>《党政机关厉行节约反对浪费条例》（中发〔2013〕13号）</w:t>
      </w:r>
    </w:p>
    <w:p>
      <w:pPr>
        <w:pStyle w:val="25"/>
        <w:rPr>
          <w:color w:val="0070C0"/>
        </w:rPr>
      </w:pPr>
      <w:r>
        <w:rPr>
          <w:rFonts w:hint="eastAsia"/>
          <w:color w:val="000000"/>
        </w:rPr>
        <w:t>《邢台市党政机关办公用房管理实施办法》</w:t>
      </w:r>
      <w:r>
        <w:rPr>
          <w:rFonts w:hint="eastAsia"/>
          <w:color w:val="000000"/>
          <w:lang w:eastAsia="zh"/>
        </w:rPr>
        <w:t>（邢办发〔2020〕15号）</w:t>
      </w:r>
    </w:p>
    <w:p>
      <w:pPr>
        <w:pStyle w:val="46"/>
        <w:spacing w:before="312" w:after="312"/>
      </w:pPr>
      <w:bookmarkStart w:id="8" w:name="_Toc118305873"/>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党政机关</w:t>
      </w:r>
    </w:p>
    <w:p>
      <w:pPr>
        <w:pStyle w:val="25"/>
        <w:rPr>
          <w:rFonts w:ascii="Tahoma" w:hAnsi="Tahoma" w:cs="Tahoma"/>
          <w:color w:val="000000"/>
          <w:szCs w:val="21"/>
          <w:shd w:val="clear" w:color="auto" w:fill="FFFFFF"/>
        </w:rPr>
      </w:pPr>
      <w:r>
        <w:rPr>
          <w:rFonts w:hint="eastAsia"/>
        </w:rPr>
        <w:t>党的机关、人大机关、行政机关、政协机关、监察机关、监察机关、以及工会、共青团、妇联的等人民团体机关、各民主党派机关以及上述部门所属的行政单位和参照公务员法管理的事业单位。</w:t>
      </w:r>
    </w:p>
    <w:p>
      <w:pPr>
        <w:pStyle w:val="146"/>
      </w:pPr>
    </w:p>
    <w:p>
      <w:pPr>
        <w:pStyle w:val="148"/>
      </w:pPr>
      <w:r>
        <w:rPr>
          <w:rFonts w:hint="eastAsia"/>
        </w:rPr>
        <w:t>办公用房</w:t>
      </w:r>
    </w:p>
    <w:p>
      <w:pPr>
        <w:pStyle w:val="25"/>
        <w:rPr>
          <w:rFonts w:ascii="Tahoma" w:hAnsi="Tahoma" w:cs="Tahoma"/>
          <w:color w:val="000000"/>
          <w:szCs w:val="21"/>
          <w:shd w:val="clear" w:color="auto" w:fill="FFFFFF"/>
        </w:rPr>
      </w:pPr>
      <w:r>
        <w:rPr>
          <w:rFonts w:hint="eastAsia"/>
        </w:rPr>
        <w:t>党政机关占有、使用或者可以确认属于机关资产的，为保障党政机关正常运行需要设置的基本工作场所，包括办公室、服务用房、设备用房和附属用房。</w:t>
      </w:r>
    </w:p>
    <w:p>
      <w:pPr>
        <w:pStyle w:val="46"/>
        <w:spacing w:before="312" w:after="312"/>
      </w:pPr>
      <w:bookmarkStart w:id="9" w:name="_Toc118305874"/>
      <w:r>
        <w:rPr>
          <w:rFonts w:hint="eastAsia"/>
        </w:rPr>
        <w:t>总体原则</w:t>
      </w:r>
      <w:bookmarkEnd w:id="9"/>
      <w:r>
        <w:rPr>
          <w:rFonts w:hint="eastAsia"/>
        </w:rPr>
        <w:t>局</w:t>
      </w:r>
    </w:p>
    <w:p>
      <w:pPr>
        <w:pStyle w:val="25"/>
      </w:pPr>
      <w:r>
        <w:rPr>
          <w:rFonts w:hint="eastAsia"/>
        </w:rPr>
        <w:t>按照依法合规、科学规划、规范配置、有效利用和厉行节约的原则，能够在本部门整合解决的，不得申请调剂办公用房，本部门整合无法安置的，报送本级机关事务管理调剂解决。</w:t>
      </w:r>
    </w:p>
    <w:p>
      <w:pPr>
        <w:pStyle w:val="46"/>
        <w:spacing w:before="312" w:after="312"/>
      </w:pPr>
      <w:bookmarkStart w:id="10" w:name="_Toc118305875"/>
      <w:r>
        <w:rPr>
          <w:rFonts w:hint="eastAsia"/>
        </w:rPr>
        <w:t>使用管理</w:t>
      </w:r>
      <w:bookmarkEnd w:id="10"/>
    </w:p>
    <w:p>
      <w:pPr>
        <w:pStyle w:val="43"/>
        <w:spacing w:before="156" w:after="156"/>
      </w:pPr>
      <w:bookmarkStart w:id="11" w:name="_Toc118305876"/>
      <w:r>
        <w:rPr>
          <w:rFonts w:hint="eastAsia"/>
        </w:rPr>
        <w:t>工作内容</w:t>
      </w:r>
      <w:bookmarkEnd w:id="11"/>
    </w:p>
    <w:p>
      <w:pPr>
        <w:pStyle w:val="47"/>
        <w:spacing w:before="156" w:after="156"/>
      </w:pPr>
      <w:r>
        <w:rPr>
          <w:rFonts w:hint="eastAsia"/>
        </w:rPr>
        <w:t>申请条件</w:t>
      </w:r>
    </w:p>
    <w:p>
      <w:pPr>
        <w:pStyle w:val="25"/>
      </w:pPr>
      <w:r>
        <w:rPr>
          <w:rFonts w:hint="eastAsia"/>
        </w:rPr>
        <w:t>需要办公用房的使用单位，应优先在本部门内部整合现有办公用房资源调剂解决，无法满足要求的，报送</w:t>
      </w:r>
      <w:r>
        <w:rPr>
          <w:rFonts w:hint="eastAsia"/>
          <w:color w:val="FF0000"/>
        </w:rPr>
        <w:t>本级机关事务管理</w:t>
      </w:r>
      <w:r>
        <w:rPr>
          <w:rFonts w:hint="eastAsia"/>
          <w:color w:val="FF0000"/>
          <w:lang w:val="en-US" w:eastAsia="zh-CN"/>
        </w:rPr>
        <w:t>部门</w:t>
      </w:r>
      <w:r>
        <w:rPr>
          <w:rFonts w:hint="eastAsia"/>
        </w:rPr>
        <w:t>调剂解决。</w:t>
      </w:r>
    </w:p>
    <w:p>
      <w:pPr>
        <w:pStyle w:val="47"/>
        <w:spacing w:before="156" w:after="156"/>
      </w:pPr>
      <w:r>
        <w:rPr>
          <w:rFonts w:hint="eastAsia"/>
        </w:rPr>
        <w:t>申请程序</w:t>
      </w:r>
    </w:p>
    <w:p>
      <w:pPr>
        <w:pStyle w:val="25"/>
      </w:pPr>
      <w:r>
        <w:rPr>
          <w:rFonts w:hint="eastAsia"/>
        </w:rPr>
        <w:t>申请单位提出申请（所需资料样式见附录 A、B）报办→领导批示→科长→承办人办理。</w:t>
      </w:r>
    </w:p>
    <w:p>
      <w:pPr>
        <w:pStyle w:val="47"/>
        <w:spacing w:before="156" w:after="156"/>
      </w:pPr>
      <w:r>
        <w:rPr>
          <w:rFonts w:hint="eastAsia"/>
        </w:rPr>
        <w:t>资料审核</w:t>
      </w:r>
    </w:p>
    <w:p>
      <w:pPr>
        <w:pStyle w:val="25"/>
      </w:pPr>
      <w:r>
        <w:rPr>
          <w:rFonts w:hint="eastAsia"/>
        </w:rPr>
        <w:t>审核是否在保障范围、资料是否齐全（申请事由、现办公用房情况、编制详情、所在部门内的办公用房是否超标）。如资料不全，一次性让其补充完善；如资料齐全，进入办理阶段。</w:t>
      </w:r>
    </w:p>
    <w:p>
      <w:pPr>
        <w:pStyle w:val="47"/>
        <w:spacing w:before="156" w:after="156"/>
      </w:pPr>
      <w:r>
        <w:rPr>
          <w:rFonts w:hint="eastAsia"/>
        </w:rPr>
        <w:t>办理程序</w:t>
      </w:r>
    </w:p>
    <w:p>
      <w:pPr>
        <w:pStyle w:val="25"/>
      </w:pPr>
      <w:r>
        <w:rPr>
          <w:rFonts w:hint="eastAsia"/>
        </w:rPr>
        <w:t>根据申请情况结合市直机关办公用房房源情况，撰写报请市政府请示→报科长审核→报主管副主任审定→报主任审批→报市政府请示→收到市政府批示后，撰写调配函，监督配合移交。</w:t>
      </w:r>
    </w:p>
    <w:p>
      <w:pPr>
        <w:pStyle w:val="47"/>
        <w:spacing w:before="156" w:after="156"/>
      </w:pPr>
      <w:r>
        <w:rPr>
          <w:rFonts w:hint="eastAsia"/>
        </w:rPr>
        <w:t>使用要求</w:t>
      </w:r>
    </w:p>
    <w:p>
      <w:pPr>
        <w:pStyle w:val="25"/>
      </w:pPr>
      <w:r>
        <w:rPr>
          <w:rFonts w:hint="eastAsia"/>
        </w:rPr>
        <w:t>使用单位接到调配函后，根据调剂的办公用房情况，按规定合理合规使用，并需将使用方案报市机关后勤服务中心备案。</w:t>
      </w:r>
    </w:p>
    <w:p>
      <w:pPr>
        <w:pStyle w:val="47"/>
        <w:spacing w:before="156" w:after="156"/>
      </w:pPr>
      <w:r>
        <w:rPr>
          <w:rFonts w:hint="eastAsia"/>
        </w:rPr>
        <w:t>使用功能</w:t>
      </w:r>
    </w:p>
    <w:p>
      <w:pPr>
        <w:pStyle w:val="114"/>
      </w:pPr>
      <w:r>
        <w:rPr>
          <w:rFonts w:hint="eastAsia"/>
        </w:rPr>
        <w:t>使用单位应当严格按照有关规定在核定面积内合理安排使用办公用房，不得擅自改变办公用房使用功能，不得调整给其他单位使用。</w:t>
      </w:r>
    </w:p>
    <w:p>
      <w:pPr>
        <w:pStyle w:val="114"/>
      </w:pPr>
      <w:r>
        <w:rPr>
          <w:rFonts w:hint="eastAsia"/>
        </w:rPr>
        <w:t>办公用房功能分类及使用宜按《党政机关办公用房建设标准》（发改投资[2014]2674 号）有关规定。应注意：</w:t>
      </w:r>
    </w:p>
    <w:p>
      <w:pPr>
        <w:pStyle w:val="49"/>
      </w:pPr>
      <w:r>
        <w:rPr>
          <w:rFonts w:hint="eastAsia"/>
        </w:rPr>
        <w:t>领导干部办公用房配备情况，严禁超标准配备、使用办公用房。领导干部办公用房配备标准执行 2014 年党政机关办公用房建设标准相关规定，特殊情况执行 22 号和 64 号文件规定。</w:t>
      </w:r>
    </w:p>
    <w:p>
      <w:pPr>
        <w:pStyle w:val="49"/>
      </w:pPr>
      <w:r>
        <w:rPr>
          <w:rFonts w:hint="eastAsia"/>
        </w:rPr>
        <w:t>领导干部在不同单位同时任职的，应当在主要任职单位安排 1 处办公用房；主要任职单位与兼职单位相距较远且经常到兼职单位工作的，经严格审批后，可以由兼职单位再安排 1 处小于标准面积的办公用房，并在免去兼职职务后 2 个月内腾退兼职单位安排的办公用房。</w:t>
      </w:r>
    </w:p>
    <w:p>
      <w:pPr>
        <w:pStyle w:val="43"/>
        <w:spacing w:before="156" w:after="156"/>
      </w:pPr>
      <w:bookmarkStart w:id="12" w:name="_Toc118305877"/>
      <w:r>
        <w:rPr>
          <w:rFonts w:hint="eastAsia"/>
        </w:rPr>
        <w:t>其他单位使用</w:t>
      </w:r>
      <w:bookmarkEnd w:id="12"/>
    </w:p>
    <w:p>
      <w:pPr>
        <w:pStyle w:val="147"/>
      </w:pPr>
      <w:r>
        <w:rPr>
          <w:rFonts w:hint="eastAsia"/>
        </w:rPr>
        <w:t>项目批复中已经明确和机关一并建设办公用房的事业单位，按照面积标准核定后可以继续无偿使用机关办公用房。</w:t>
      </w:r>
    </w:p>
    <w:p>
      <w:pPr>
        <w:pStyle w:val="147"/>
      </w:pPr>
      <w:r>
        <w:rPr>
          <w:rFonts w:hint="eastAsia"/>
        </w:rPr>
        <w:t>公益一类事业单位已经占用的机关办公用房，按照 2014 年标准核定后可以继续无偿使用。</w:t>
      </w:r>
    </w:p>
    <w:p>
      <w:pPr>
        <w:pStyle w:val="147"/>
      </w:pPr>
      <w:r>
        <w:rPr>
          <w:rFonts w:hint="eastAsia"/>
        </w:rPr>
        <w:t>公益二类事业单位已经占用的机关办公用房，应当按照规定予以腾退；确有困难的，经市机关</w:t>
      </w:r>
      <w:r>
        <w:rPr>
          <w:rFonts w:hint="eastAsia"/>
          <w:lang w:val="en-US" w:eastAsia="zh-CN"/>
        </w:rPr>
        <w:t>后勤服务中心</w:t>
      </w:r>
      <w:r>
        <w:rPr>
          <w:rFonts w:hint="eastAsia"/>
        </w:rPr>
        <w:t>批准，可以继续有偿使用，租金收益按照非税收入有关规定管理。</w:t>
      </w:r>
    </w:p>
    <w:p>
      <w:pPr>
        <w:pStyle w:val="147"/>
      </w:pPr>
      <w:r>
        <w:rPr>
          <w:rFonts w:hint="eastAsia"/>
        </w:rPr>
        <w:t>生产经营类事业单位、国有企业和行业协会商会等社团组织，原则上不得占用市直党政机关办公用房。</w:t>
      </w:r>
    </w:p>
    <w:p>
      <w:pPr>
        <w:pStyle w:val="43"/>
        <w:spacing w:before="156" w:after="156"/>
      </w:pPr>
      <w:bookmarkStart w:id="13" w:name="_Toc118305878"/>
      <w:r>
        <w:rPr>
          <w:rFonts w:hint="eastAsia"/>
        </w:rPr>
        <w:t>腾退移交</w:t>
      </w:r>
      <w:bookmarkEnd w:id="13"/>
    </w:p>
    <w:p>
      <w:pPr>
        <w:pStyle w:val="147"/>
      </w:pPr>
      <w:r>
        <w:rPr>
          <w:rFonts w:hint="eastAsia"/>
        </w:rPr>
        <w:t>市直机关办公用房使用单位机构、编制调整的，其办公用房面积应当由</w:t>
      </w:r>
      <w:r>
        <w:rPr>
          <w:rFonts w:hint="eastAsia"/>
          <w:color w:val="FF0000"/>
        </w:rPr>
        <w:t>市机关</w:t>
      </w:r>
      <w:r>
        <w:rPr>
          <w:rFonts w:hint="eastAsia"/>
          <w:color w:val="FF0000"/>
          <w:lang w:val="en-US" w:eastAsia="zh-CN"/>
        </w:rPr>
        <w:t>后勤服务中心</w:t>
      </w:r>
      <w:r>
        <w:rPr>
          <w:rFonts w:hint="eastAsia"/>
        </w:rPr>
        <w:t>重新核定。超出面积标准的，使用单位应当在 6 个月内将超出部分的办公用房腾退移交</w:t>
      </w:r>
      <w:r>
        <w:rPr>
          <w:rFonts w:hint="eastAsia"/>
          <w:color w:val="FF0000"/>
        </w:rPr>
        <w:t>市机关</w:t>
      </w:r>
      <w:r>
        <w:rPr>
          <w:rFonts w:hint="eastAsia"/>
          <w:color w:val="FF0000"/>
          <w:lang w:val="en-US" w:eastAsia="zh-CN"/>
        </w:rPr>
        <w:t>后勤服务中心</w:t>
      </w:r>
      <w:r>
        <w:rPr>
          <w:rFonts w:hint="eastAsia"/>
        </w:rPr>
        <w:t>，市直土地、房屋移交清单表样式见附录 C。</w:t>
      </w:r>
    </w:p>
    <w:p>
      <w:pPr>
        <w:pStyle w:val="147"/>
      </w:pPr>
      <w:r>
        <w:rPr>
          <w:rFonts w:hint="eastAsia"/>
        </w:rPr>
        <w:t>市直机关撤消的，应当在 6 个月内将原有办公用房腾退移交</w:t>
      </w:r>
      <w:r>
        <w:rPr>
          <w:rFonts w:hint="eastAsia"/>
          <w:color w:val="FF0000"/>
        </w:rPr>
        <w:t>市机关</w:t>
      </w:r>
      <w:r>
        <w:rPr>
          <w:rFonts w:hint="eastAsia"/>
          <w:color w:val="FF0000"/>
          <w:lang w:val="en-US" w:eastAsia="zh-CN"/>
        </w:rPr>
        <w:t>后勤服务中心</w:t>
      </w:r>
      <w:r>
        <w:rPr>
          <w:rFonts w:hint="eastAsia"/>
        </w:rPr>
        <w:t>。</w:t>
      </w:r>
    </w:p>
    <w:p>
      <w:pPr>
        <w:pStyle w:val="147"/>
      </w:pPr>
      <w:r>
        <w:rPr>
          <w:rFonts w:hint="eastAsia"/>
        </w:rPr>
        <w:t>党政机关转为企业的，应当在办理企业工商注册后 6 个月内将原有办公用房腾退移交市机关后勤服务中心。转企单位确有实际困难的，经</w:t>
      </w:r>
      <w:r>
        <w:rPr>
          <w:rFonts w:hint="eastAsia"/>
          <w:color w:val="FF0000"/>
        </w:rPr>
        <w:t>市机关</w:t>
      </w:r>
      <w:r>
        <w:rPr>
          <w:rFonts w:hint="eastAsia"/>
          <w:color w:val="FF0000"/>
          <w:lang w:val="en-US" w:eastAsia="zh-CN"/>
        </w:rPr>
        <w:t>后勤服务中心</w:t>
      </w:r>
      <w:r>
        <w:rPr>
          <w:rFonts w:hint="eastAsia"/>
        </w:rPr>
        <w:t>批准，可以继续有偿使用，租金收益按照非税收入有关规定管理；新建、购置或者租用办公用房的，应当在 6 个月内将原有办公用房腾退移交市机关后勤服务中心。</w:t>
      </w:r>
    </w:p>
    <w:p>
      <w:pPr>
        <w:pStyle w:val="147"/>
      </w:pPr>
      <w:r>
        <w:rPr>
          <w:rFonts w:hint="eastAsia"/>
        </w:rPr>
        <w:t>工作人员调离或者退休的，使用单位应当在办理调离或者退休手续后 1 个月内收回其办公用房。</w:t>
      </w:r>
    </w:p>
    <w:p>
      <w:pPr>
        <w:pStyle w:val="43"/>
        <w:spacing w:before="156" w:after="156"/>
      </w:pPr>
      <w:bookmarkStart w:id="14" w:name="_Toc118305879"/>
      <w:r>
        <w:rPr>
          <w:rFonts w:hint="eastAsia"/>
        </w:rPr>
        <w:t>流程图</w:t>
      </w:r>
      <w:bookmarkEnd w:id="14"/>
    </w:p>
    <w:p>
      <w:pPr>
        <w:pStyle w:val="25"/>
      </w:pPr>
      <w:r>
        <w:rPr>
          <w:rFonts w:hint="eastAsia"/>
        </w:rPr>
        <w:t>邢台市党政机关办公用房使用管理工作流程图见附录D。</w:t>
      </w:r>
    </w:p>
    <w:p>
      <w:pPr>
        <w:pStyle w:val="46"/>
        <w:spacing w:before="312" w:after="312"/>
      </w:pPr>
      <w:bookmarkStart w:id="15" w:name="_Toc118305880"/>
      <w:r>
        <w:rPr>
          <w:rFonts w:hint="eastAsia"/>
        </w:rPr>
        <w:t>处置管理</w:t>
      </w:r>
      <w:bookmarkEnd w:id="15"/>
    </w:p>
    <w:p>
      <w:pPr>
        <w:pStyle w:val="43"/>
        <w:spacing w:before="156" w:after="156"/>
      </w:pPr>
      <w:bookmarkStart w:id="16" w:name="_Toc118305881"/>
      <w:r>
        <w:rPr>
          <w:rFonts w:hint="eastAsia"/>
        </w:rPr>
        <w:t>处置利用条件和方式</w:t>
      </w:r>
      <w:bookmarkEnd w:id="16"/>
    </w:p>
    <w:p>
      <w:pPr>
        <w:pStyle w:val="47"/>
        <w:spacing w:before="156" w:after="156"/>
      </w:pPr>
      <w:r>
        <w:rPr>
          <w:rFonts w:hint="eastAsia"/>
        </w:rPr>
        <w:t>处置利用权限</w:t>
      </w:r>
    </w:p>
    <w:p>
      <w:pPr>
        <w:pStyle w:val="25"/>
      </w:pPr>
      <w:r>
        <w:rPr>
          <w:rFonts w:hint="eastAsia"/>
        </w:rPr>
        <w:t>市级党政机关办公用房处置事项，由市机关后勤服务中心按分工核报市政府同意后，行使市直机关不动产处置权。</w:t>
      </w:r>
    </w:p>
    <w:p>
      <w:pPr>
        <w:pStyle w:val="47"/>
        <w:spacing w:before="156" w:after="156"/>
      </w:pPr>
      <w:r>
        <w:rPr>
          <w:rFonts w:hint="eastAsia"/>
        </w:rPr>
        <w:t>处置要求</w:t>
      </w:r>
    </w:p>
    <w:p>
      <w:pPr>
        <w:pStyle w:val="25"/>
      </w:pPr>
      <w:r>
        <w:rPr>
          <w:rFonts w:hint="eastAsia"/>
        </w:rPr>
        <w:t>市级党政机关办公用房处置需满足：</w:t>
      </w:r>
    </w:p>
    <w:p>
      <w:pPr>
        <w:pStyle w:val="49"/>
      </w:pPr>
      <w:r>
        <w:rPr>
          <w:rFonts w:hint="eastAsia"/>
        </w:rPr>
        <w:t>保证权属清晰，权源材料齐全，证实基本相符，不存在权属纠纷争议和他项权利；</w:t>
      </w:r>
    </w:p>
    <w:p>
      <w:pPr>
        <w:pStyle w:val="49"/>
      </w:pPr>
      <w:r>
        <w:rPr>
          <w:rFonts w:hint="eastAsia"/>
        </w:rPr>
        <w:t>对于拍卖、置换、房屋征收、土地收储、有偿转让、改事转企、闲置资产再利用、涉讼划转不动产、需要界定划分的不动产，市直机关单位应当公开委托具有相应资质的评估机构进行评估，对所提供的情况和资料的真实性、完整性和合法性负责；</w:t>
      </w:r>
    </w:p>
    <w:p>
      <w:pPr>
        <w:pStyle w:val="49"/>
      </w:pPr>
      <w:r>
        <w:rPr>
          <w:rFonts w:hint="eastAsia"/>
        </w:rPr>
        <w:t>不同层级行政单位之间无偿划转、调换、置换、闲置资产再利用，以及市直行政、事业单位之间不动产合并、无偿划转等不影响国有资产权益、有原始价格凭证或原值信息的，原则上不再进行不动产评估；无原始价格凭证的，应进行评估。</w:t>
      </w:r>
    </w:p>
    <w:p>
      <w:pPr>
        <w:pStyle w:val="47"/>
        <w:spacing w:before="156" w:after="156"/>
      </w:pPr>
      <w:r>
        <w:rPr>
          <w:rFonts w:hint="eastAsia"/>
        </w:rPr>
        <w:t>处置利用条件</w:t>
      </w:r>
    </w:p>
    <w:p>
      <w:pPr>
        <w:pStyle w:val="25"/>
      </w:pPr>
      <w:r>
        <w:rPr>
          <w:rFonts w:hint="eastAsia"/>
        </w:rPr>
        <w:t>党政机关办公用房有下列情形之一闲置的，可以处置利用：</w:t>
      </w:r>
    </w:p>
    <w:p>
      <w:pPr>
        <w:pStyle w:val="49"/>
      </w:pPr>
      <w:r>
        <w:rPr>
          <w:rFonts w:hint="eastAsia"/>
        </w:rPr>
        <w:t>市级党政机关办公房总量满足使用需求，仍有余量的；</w:t>
      </w:r>
    </w:p>
    <w:p>
      <w:pPr>
        <w:pStyle w:val="49"/>
      </w:pPr>
      <w:r>
        <w:rPr>
          <w:rFonts w:hint="eastAsia"/>
        </w:rPr>
        <w:t>因地理位置、周边环境、房屋结构等原因，不适合继续作为办公用房使用的；</w:t>
      </w:r>
    </w:p>
    <w:p>
      <w:pPr>
        <w:pStyle w:val="49"/>
      </w:pPr>
      <w:r>
        <w:rPr>
          <w:rFonts w:hint="eastAsia"/>
        </w:rPr>
        <w:t>因城乡规划调整等需要拆迁的；</w:t>
      </w:r>
    </w:p>
    <w:p>
      <w:pPr>
        <w:pStyle w:val="49"/>
      </w:pPr>
      <w:r>
        <w:rPr>
          <w:rFonts w:hint="eastAsia"/>
        </w:rPr>
        <w:t>经专业机构鉴定属于危房，且无加固改造价值的；</w:t>
      </w:r>
    </w:p>
    <w:p>
      <w:pPr>
        <w:pStyle w:val="49"/>
      </w:pPr>
      <w:r>
        <w:rPr>
          <w:rFonts w:hint="eastAsia"/>
        </w:rPr>
        <w:t>其他原因导致办公用房闲置的。</w:t>
      </w:r>
    </w:p>
    <w:p>
      <w:pPr>
        <w:pStyle w:val="47"/>
        <w:spacing w:before="156" w:after="156"/>
      </w:pPr>
      <w:r>
        <w:rPr>
          <w:rFonts w:hint="eastAsia"/>
        </w:rPr>
        <w:t>处置利用方式</w:t>
      </w:r>
    </w:p>
    <w:p>
      <w:pPr>
        <w:pStyle w:val="25"/>
      </w:pPr>
      <w:r>
        <w:rPr>
          <w:rFonts w:hint="eastAsia"/>
        </w:rPr>
        <w:t>处置利用可以采取以下方式：</w:t>
      </w:r>
    </w:p>
    <w:p>
      <w:pPr>
        <w:pStyle w:val="49"/>
      </w:pPr>
      <w:r>
        <w:rPr>
          <w:rFonts w:hint="eastAsia"/>
        </w:rPr>
        <w:t>调剂使用；</w:t>
      </w:r>
    </w:p>
    <w:p>
      <w:pPr>
        <w:pStyle w:val="49"/>
      </w:pPr>
      <w:r>
        <w:rPr>
          <w:rFonts w:hint="eastAsia"/>
        </w:rPr>
        <w:t>转换用途；</w:t>
      </w:r>
    </w:p>
    <w:p>
      <w:pPr>
        <w:pStyle w:val="49"/>
      </w:pPr>
      <w:r>
        <w:rPr>
          <w:rFonts w:hint="eastAsia"/>
        </w:rPr>
        <w:t>置换；</w:t>
      </w:r>
    </w:p>
    <w:p>
      <w:pPr>
        <w:pStyle w:val="49"/>
      </w:pPr>
      <w:r>
        <w:rPr>
          <w:rFonts w:hint="eastAsia"/>
        </w:rPr>
        <w:t>出租；</w:t>
      </w:r>
    </w:p>
    <w:p>
      <w:pPr>
        <w:pStyle w:val="49"/>
      </w:pPr>
      <w:r>
        <w:rPr>
          <w:rFonts w:hint="eastAsia"/>
        </w:rPr>
        <w:t>拍卖；</w:t>
      </w:r>
    </w:p>
    <w:p>
      <w:pPr>
        <w:pStyle w:val="49"/>
      </w:pPr>
      <w:r>
        <w:rPr>
          <w:rFonts w:hint="eastAsia"/>
        </w:rPr>
        <w:t>拆除；</w:t>
      </w:r>
    </w:p>
    <w:p>
      <w:pPr>
        <w:pStyle w:val="49"/>
      </w:pPr>
      <w:r>
        <w:rPr>
          <w:rFonts w:hint="eastAsia"/>
        </w:rPr>
        <w:t>其它合理方式。</w:t>
      </w:r>
    </w:p>
    <w:p>
      <w:pPr>
        <w:pStyle w:val="43"/>
        <w:spacing w:before="156" w:after="156"/>
      </w:pPr>
      <w:bookmarkStart w:id="17" w:name="_Toc118305882"/>
      <w:r>
        <w:rPr>
          <w:rFonts w:hint="eastAsia"/>
        </w:rPr>
        <w:t>处置利用管理</w:t>
      </w:r>
      <w:bookmarkEnd w:id="17"/>
    </w:p>
    <w:p>
      <w:pPr>
        <w:pStyle w:val="47"/>
        <w:spacing w:before="156" w:after="156"/>
      </w:pPr>
      <w:r>
        <w:rPr>
          <w:rFonts w:hint="eastAsia"/>
        </w:rPr>
        <w:t>基本要求</w:t>
      </w:r>
    </w:p>
    <w:p>
      <w:pPr>
        <w:pStyle w:val="114"/>
      </w:pPr>
      <w:r>
        <w:rPr>
          <w:rFonts w:hint="eastAsia"/>
        </w:rPr>
        <w:t>处置利用党政机关办公用房涉及权属、用途等变更的，使用单位应当报请市机关后勤服务中心出具审核意见后，依法办理相关手续。</w:t>
      </w:r>
    </w:p>
    <w:p>
      <w:pPr>
        <w:pStyle w:val="114"/>
      </w:pPr>
      <w:r>
        <w:rPr>
          <w:rFonts w:hint="eastAsia"/>
        </w:rPr>
        <w:t>未经</w:t>
      </w:r>
      <w:r>
        <w:rPr>
          <w:rFonts w:hint="eastAsia"/>
          <w:color w:val="FF0000"/>
        </w:rPr>
        <w:t>市机关</w:t>
      </w:r>
      <w:r>
        <w:rPr>
          <w:rFonts w:hint="eastAsia"/>
          <w:color w:val="FF0000"/>
          <w:lang w:val="en-US" w:eastAsia="zh-CN"/>
        </w:rPr>
        <w:t>后勤服务中心</w:t>
      </w:r>
      <w:r>
        <w:rPr>
          <w:rFonts w:hint="eastAsia"/>
        </w:rPr>
        <w:t>同意，相关部门不得受理使用单位提出的权属处置申请事项。</w:t>
      </w:r>
    </w:p>
    <w:p>
      <w:pPr>
        <w:pStyle w:val="114"/>
      </w:pPr>
      <w:r>
        <w:rPr>
          <w:rFonts w:hint="eastAsia"/>
        </w:rPr>
        <w:t>市级党政机关办公用房及其相应土地实行用途管制，未经</w:t>
      </w:r>
      <w:r>
        <w:rPr>
          <w:rFonts w:hint="eastAsia"/>
          <w:color w:val="FF0000"/>
        </w:rPr>
        <w:t>市机关</w:t>
      </w:r>
      <w:r>
        <w:rPr>
          <w:rFonts w:hint="eastAsia"/>
          <w:color w:val="FF0000"/>
          <w:lang w:val="en-US" w:eastAsia="zh-CN"/>
        </w:rPr>
        <w:t>后勤服务中心</w:t>
      </w:r>
      <w:r>
        <w:rPr>
          <w:rFonts w:hint="eastAsia"/>
        </w:rPr>
        <w:t>核准，不得擅自改变使用功能。</w:t>
      </w:r>
    </w:p>
    <w:p>
      <w:pPr>
        <w:pStyle w:val="114"/>
      </w:pPr>
      <w:r>
        <w:rPr>
          <w:rFonts w:hint="eastAsia"/>
        </w:rPr>
        <w:t>因城乡规划调整，实施城市改造、交通基础设施或其他公共服务设施建设等情况需征收市级党政机关办公用房或收储相应土地的，应当由</w:t>
      </w:r>
      <w:r>
        <w:rPr>
          <w:rFonts w:hint="eastAsia"/>
          <w:color w:val="FF0000"/>
        </w:rPr>
        <w:t>市机关</w:t>
      </w:r>
      <w:r>
        <w:rPr>
          <w:rFonts w:hint="eastAsia"/>
          <w:color w:val="FF0000"/>
          <w:lang w:val="en-US" w:eastAsia="zh-CN"/>
        </w:rPr>
        <w:t>后勤服务中心</w:t>
      </w:r>
      <w:r>
        <w:rPr>
          <w:rFonts w:hint="eastAsia"/>
        </w:rPr>
        <w:t>核报市政府批准后依法办理，采取产权调换补偿方式的，按办公用房配置管理规定办理；采取货币补偿方式的，补偿收入按照非税收入有关规定管理。</w:t>
      </w:r>
    </w:p>
    <w:p>
      <w:pPr>
        <w:pStyle w:val="114"/>
      </w:pPr>
      <w:r>
        <w:rPr>
          <w:rFonts w:hint="eastAsia"/>
        </w:rPr>
        <w:t>市级党政机关因迁移、迁建、转企改制等具备划转办公用房权属条件的，由使用单位提出申请，经</w:t>
      </w:r>
      <w:r>
        <w:rPr>
          <w:rFonts w:hint="eastAsia"/>
          <w:color w:val="FF0000"/>
        </w:rPr>
        <w:t>市机关</w:t>
      </w:r>
      <w:r>
        <w:rPr>
          <w:rFonts w:hint="eastAsia"/>
          <w:color w:val="FF0000"/>
          <w:lang w:val="en-US" w:eastAsia="zh-CN"/>
        </w:rPr>
        <w:t>后勤服务中心</w:t>
      </w:r>
      <w:r>
        <w:rPr>
          <w:rFonts w:hint="eastAsia"/>
        </w:rPr>
        <w:t>报市政府审批。不具备划转条件的，所占办公用房应当予以腾退。</w:t>
      </w:r>
    </w:p>
    <w:p>
      <w:pPr>
        <w:pStyle w:val="47"/>
        <w:spacing w:before="156" w:after="156"/>
      </w:pPr>
      <w:r>
        <w:rPr>
          <w:rFonts w:hint="eastAsia"/>
        </w:rPr>
        <w:t>调剂使用</w:t>
      </w:r>
    </w:p>
    <w:p>
      <w:pPr>
        <w:pStyle w:val="114"/>
      </w:pPr>
      <w:r>
        <w:rPr>
          <w:rFonts w:hint="eastAsia"/>
        </w:rPr>
        <w:t>同一区域内闲置办公用房具备条件的，应当加强跨系统、跨层级调剂使用。</w:t>
      </w:r>
    </w:p>
    <w:p>
      <w:pPr>
        <w:pStyle w:val="114"/>
      </w:pPr>
      <w:r>
        <w:rPr>
          <w:rFonts w:hint="eastAsia"/>
        </w:rPr>
        <w:t>市属垂直管理机构、派出机构、驻外机构之间调剂使用的，由各自行政主管部门审核提出意见，经</w:t>
      </w:r>
      <w:r>
        <w:rPr>
          <w:rFonts w:hint="eastAsia"/>
          <w:color w:val="FF0000"/>
        </w:rPr>
        <w:t>市机关</w:t>
      </w:r>
      <w:r>
        <w:rPr>
          <w:rFonts w:hint="eastAsia"/>
          <w:color w:val="FF0000"/>
          <w:lang w:val="en-US" w:eastAsia="zh-CN"/>
        </w:rPr>
        <w:t>后勤服务中心</w:t>
      </w:r>
      <w:r>
        <w:rPr>
          <w:rFonts w:hint="eastAsia"/>
        </w:rPr>
        <w:t>核报市政府批准后实施，调剂使用情况报市财政局备案。</w:t>
      </w:r>
    </w:p>
    <w:p>
      <w:pPr>
        <w:pStyle w:val="114"/>
      </w:pPr>
      <w:r>
        <w:rPr>
          <w:rFonts w:hint="eastAsia"/>
        </w:rPr>
        <w:t>市级党政机关与中央国家机关所属垂直管理机构、派出机构之间调剂使用的，由</w:t>
      </w:r>
      <w:r>
        <w:rPr>
          <w:rFonts w:hint="eastAsia"/>
          <w:color w:val="FF0000"/>
        </w:rPr>
        <w:t>市机关</w:t>
      </w:r>
      <w:r>
        <w:rPr>
          <w:rFonts w:hint="eastAsia"/>
          <w:color w:val="FF0000"/>
          <w:lang w:val="en-US" w:eastAsia="zh-CN"/>
        </w:rPr>
        <w:t>后勤服务中心</w:t>
      </w:r>
      <w:r>
        <w:rPr>
          <w:rFonts w:hint="eastAsia"/>
          <w:color w:val="FF0000"/>
        </w:rPr>
        <w:t>会</w:t>
      </w:r>
      <w:r>
        <w:rPr>
          <w:rFonts w:hint="eastAsia"/>
        </w:rPr>
        <w:t>同市财政部门提出意见，核报市人民政府批准实施。</w:t>
      </w:r>
    </w:p>
    <w:p>
      <w:pPr>
        <w:pStyle w:val="114"/>
      </w:pPr>
      <w:r>
        <w:rPr>
          <w:rFonts w:hint="eastAsia"/>
        </w:rPr>
        <w:t>地方同级或者上下级党政机关之间，以及地方各级党政机关所属垂直管理机构、派出机构之间调剂使用的，参照前两款规定办理。</w:t>
      </w:r>
    </w:p>
    <w:p>
      <w:pPr>
        <w:pStyle w:val="47"/>
        <w:spacing w:before="156" w:after="156"/>
      </w:pPr>
      <w:r>
        <w:rPr>
          <w:rFonts w:hint="eastAsia"/>
        </w:rPr>
        <w:t>转换用途</w:t>
      </w:r>
    </w:p>
    <w:p>
      <w:pPr>
        <w:pStyle w:val="25"/>
      </w:pPr>
      <w:r>
        <w:rPr>
          <w:rFonts w:hint="eastAsia"/>
          <w:color w:val="FF0000"/>
          <w:lang w:val="en-US" w:eastAsia="zh-CN"/>
        </w:rPr>
        <w:t>市</w:t>
      </w:r>
      <w:r>
        <w:rPr>
          <w:rFonts w:hint="eastAsia"/>
          <w:color w:val="FF0000"/>
        </w:rPr>
        <w:t>机关事务管理</w:t>
      </w:r>
      <w:r>
        <w:rPr>
          <w:rFonts w:hint="eastAsia"/>
          <w:color w:val="FF0000"/>
          <w:lang w:val="en-US" w:eastAsia="zh-CN"/>
        </w:rPr>
        <w:t>中心</w:t>
      </w:r>
      <w:r>
        <w:rPr>
          <w:rFonts w:hint="eastAsia"/>
        </w:rPr>
        <w:t>可以商有关部门将闲置办公用房转为便民服务、社区活动等公益场所，或者按照有关规定置换为其他符合国家政策和需要和资产。</w:t>
      </w:r>
    </w:p>
    <w:p>
      <w:pPr>
        <w:pStyle w:val="47"/>
        <w:spacing w:before="156" w:after="156"/>
      </w:pPr>
      <w:r>
        <w:rPr>
          <w:rFonts w:hint="eastAsia"/>
        </w:rPr>
        <w:t>出租</w:t>
      </w:r>
    </w:p>
    <w:p>
      <w:pPr>
        <w:pStyle w:val="25"/>
      </w:pPr>
      <w:r>
        <w:rPr>
          <w:rFonts w:hint="eastAsia"/>
        </w:rPr>
        <w:t>符合处置利用条件的闲置办公用房可由</w:t>
      </w:r>
      <w:r>
        <w:rPr>
          <w:rFonts w:hint="eastAsia"/>
          <w:color w:val="FF0000"/>
        </w:rPr>
        <w:t>市机关</w:t>
      </w:r>
      <w:r>
        <w:rPr>
          <w:rFonts w:hint="eastAsia"/>
          <w:color w:val="FF0000"/>
          <w:lang w:val="en-US" w:eastAsia="zh-CN"/>
        </w:rPr>
        <w:t>后勤服务中心</w:t>
      </w:r>
      <w:r>
        <w:rPr>
          <w:rFonts w:hint="eastAsia"/>
        </w:rPr>
        <w:t>通过公共资源交易平台统一招租，租金收益按照非税收入有关规定管理。租赁协议由</w:t>
      </w:r>
      <w:r>
        <w:rPr>
          <w:rFonts w:hint="eastAsia"/>
          <w:color w:val="FF0000"/>
        </w:rPr>
        <w:t>市机关</w:t>
      </w:r>
      <w:r>
        <w:rPr>
          <w:rFonts w:hint="eastAsia"/>
          <w:color w:val="FF0000"/>
          <w:lang w:val="en-US" w:eastAsia="zh-CN"/>
        </w:rPr>
        <w:t>后勤服务中心</w:t>
      </w:r>
      <w:r>
        <w:rPr>
          <w:rFonts w:hint="eastAsia"/>
        </w:rPr>
        <w:t>会同楼（院）管理单位按年度签订。党政机关如有需要，应当及时收回出租的办公用房，统筹调剂使用。使用单位不得擅自出租、出借办公用房。</w:t>
      </w:r>
    </w:p>
    <w:p>
      <w:pPr>
        <w:pStyle w:val="47"/>
        <w:spacing w:before="156" w:after="156"/>
      </w:pPr>
      <w:r>
        <w:rPr>
          <w:rFonts w:hint="eastAsia"/>
        </w:rPr>
        <w:t>拍卖</w:t>
      </w:r>
    </w:p>
    <w:p>
      <w:pPr>
        <w:pStyle w:val="25"/>
      </w:pPr>
      <w:r>
        <w:rPr>
          <w:rFonts w:hint="eastAsia"/>
        </w:rPr>
        <w:t>闲置办公用房无法通过调剂使用、转换用途、置换、出租等方式处置利用的，由使用单位报同级党政机关办公用房主管部门批准后，可以通过公共资源交易平台依法公开拍卖，拍卖收益按照非税收入有关规定办理。</w:t>
      </w:r>
    </w:p>
    <w:p>
      <w:pPr>
        <w:pStyle w:val="47"/>
        <w:spacing w:before="156" w:after="156"/>
      </w:pPr>
      <w:r>
        <w:rPr>
          <w:rFonts w:hint="eastAsia"/>
        </w:rPr>
        <w:t>拆除</w:t>
      </w:r>
    </w:p>
    <w:p>
      <w:pPr>
        <w:pStyle w:val="25"/>
      </w:pPr>
      <w:r>
        <w:rPr>
          <w:rFonts w:hint="eastAsia"/>
        </w:rPr>
        <w:t>市级党政机关办公用房经专业机构鉴定属于危房，且无加固改造价值或者项目建设需拆除办公用房的，由使用单位提出申请，经市机关事务管理部门核报市人民政府批准后实施拆除，并办理权属注销手续，按照国有资产管理及财务会计制度有关规定及时进行财务处理。</w:t>
      </w:r>
    </w:p>
    <w:p>
      <w:pPr>
        <w:pStyle w:val="43"/>
        <w:spacing w:before="156" w:after="156"/>
      </w:pPr>
      <w:bookmarkStart w:id="18" w:name="_Toc118305883"/>
      <w:r>
        <w:rPr>
          <w:rFonts w:hint="eastAsia"/>
        </w:rPr>
        <w:t>处置程序</w:t>
      </w:r>
      <w:bookmarkEnd w:id="18"/>
    </w:p>
    <w:p>
      <w:pPr>
        <w:pStyle w:val="47"/>
        <w:spacing w:before="156" w:after="156"/>
      </w:pPr>
      <w:r>
        <w:rPr>
          <w:rFonts w:hint="eastAsia"/>
        </w:rPr>
        <w:t>单位申请</w:t>
      </w:r>
    </w:p>
    <w:p>
      <w:pPr>
        <w:pStyle w:val="25"/>
      </w:pPr>
      <w:r>
        <w:rPr>
          <w:rFonts w:hint="eastAsia"/>
        </w:rPr>
        <w:t>处置利用市级党政机关办公用房涉及权属、用途等变更的使用单位，由行政主管部门书面向市机关后勤服务中心提出申请，并提供相应材料。相关材料有：</w:t>
      </w:r>
    </w:p>
    <w:p>
      <w:pPr>
        <w:pStyle w:val="49"/>
      </w:pPr>
      <w:r>
        <w:rPr>
          <w:rFonts w:hint="eastAsia"/>
        </w:rPr>
        <w:t>处置申请应当载明处置事项、法定依据、事实理由、组织实施等内容；</w:t>
      </w:r>
    </w:p>
    <w:p>
      <w:pPr>
        <w:pStyle w:val="49"/>
      </w:pPr>
      <w:r>
        <w:rPr>
          <w:rFonts w:hint="eastAsia"/>
        </w:rPr>
        <w:t>拆除相关材料包括专业机构出具的含拟拆除资产价值的鉴定报告或职能部门的整改意见、不动产权属证书、固定资产卡片和资产价值清单（含残值）、院落现状总平面图（注：图幅面一般不超过 A3 纸，标注比例尺，要素符合规范标示要求，图示清晰整洁。下同）及拆除后的规划平面图（注：图幅面一般不超过 A3 纸，标注比例尺，要素符合规范标示要求，图示清晰整洁。下同）等；</w:t>
      </w:r>
    </w:p>
    <w:p>
      <w:pPr>
        <w:pStyle w:val="49"/>
      </w:pPr>
      <w:r>
        <w:rPr>
          <w:rFonts w:hint="eastAsia"/>
        </w:rPr>
        <w:t>共建、合建项目界定划分不动产事项材料包括项目共建、合建的批准文件和会议纪要，合作方的资金拨付到账凭证、房地产明细、权源资料、项目决算书、固定资产卡片、项目现状、规划总平面图及有效期内的评估报告等；</w:t>
      </w:r>
    </w:p>
    <w:p>
      <w:pPr>
        <w:pStyle w:val="49"/>
      </w:pPr>
      <w:r>
        <w:rPr>
          <w:rFonts w:hint="eastAsia"/>
        </w:rPr>
        <w:t>房屋征收、土地收储事项材料包括当地政府房屋征收计划或土地收储计划，项目建议书批复或符合国民经济和社会发展年度计划的证明，自然资源规划部门出具的项目用地规划条件、项目用地红线图，不动产权属证书、固定资产卡片，市、县（市、区）人民政府批准公布的房屋征收范围、图件、房屋征收决定和房屋征收（土地收储）补偿方案，房屋征收决定公告之日被征收房屋市场价格的评估报告、土地收储评估报告等；</w:t>
      </w:r>
    </w:p>
    <w:p>
      <w:pPr>
        <w:pStyle w:val="49"/>
      </w:pPr>
      <w:r>
        <w:rPr>
          <w:rFonts w:hint="eastAsia"/>
        </w:rPr>
        <w:t>置不动产处置事项材料包括包括清查审计报告及明细、有效期内的评估报告、固定资产卡片、不动产权属证书、划转意向协议书、院落现状总平面图、中直单位行政主管部门意见和有关地方政府意见等；</w:t>
      </w:r>
    </w:p>
    <w:p>
      <w:pPr>
        <w:pStyle w:val="49"/>
      </w:pPr>
      <w:r>
        <w:rPr>
          <w:rFonts w:hint="eastAsia"/>
        </w:rPr>
        <w:t>因机构改革等需划转不动产事项材料包括有权部门批准调整隶属关系及资产的文件、清查盘点明细、资产价值凭证、有效期内的评估（审计）报告、不动产权属证书、固定资产卡片、院落现状总平面图等。</w:t>
      </w:r>
    </w:p>
    <w:p>
      <w:pPr>
        <w:pStyle w:val="47"/>
        <w:spacing w:before="156" w:after="156"/>
      </w:pPr>
      <w:r>
        <w:rPr>
          <w:rFonts w:hint="eastAsia"/>
        </w:rPr>
        <w:t>收文程序</w:t>
      </w:r>
    </w:p>
    <w:p>
      <w:pPr>
        <w:pStyle w:val="25"/>
      </w:pPr>
      <w:r>
        <w:rPr>
          <w:rFonts w:hint="eastAsia"/>
        </w:rPr>
        <w:t>严格按照机关既定的收文及批办程序运转办理，即：申请单位申请处置文件报局办、局领导批示、处长、至经办人办理。对于未按正常程序运转的文件，相关人员应及时退回，并提醒报送人员按程序办理。</w:t>
      </w:r>
    </w:p>
    <w:p>
      <w:pPr>
        <w:pStyle w:val="47"/>
        <w:spacing w:before="156" w:after="156"/>
      </w:pPr>
      <w:r>
        <w:rPr>
          <w:rFonts w:hint="eastAsia"/>
        </w:rPr>
        <w:t>呈政府审批</w:t>
      </w:r>
    </w:p>
    <w:p>
      <w:pPr>
        <w:pStyle w:val="25"/>
      </w:pPr>
      <w:r>
        <w:rPr>
          <w:rFonts w:hint="eastAsia"/>
        </w:rPr>
        <w:t>按照申请单位，申请处置内容，承办人员初审按程序经科、中心领导审定后，报市政府审批。</w:t>
      </w:r>
    </w:p>
    <w:p>
      <w:pPr>
        <w:pStyle w:val="47"/>
        <w:spacing w:before="156" w:after="156"/>
      </w:pPr>
      <w:r>
        <w:rPr>
          <w:rFonts w:hint="eastAsia"/>
        </w:rPr>
        <w:t>申请事项反馈</w:t>
      </w:r>
    </w:p>
    <w:p>
      <w:pPr>
        <w:pStyle w:val="25"/>
      </w:pPr>
      <w:r>
        <w:rPr>
          <w:rFonts w:hint="eastAsia"/>
        </w:rPr>
        <w:t>根据市政府批办意见，承办人员按程序拟制函件报经科、中心领导审定后函复申请单位。</w:t>
      </w:r>
    </w:p>
    <w:p>
      <w:pPr>
        <w:pStyle w:val="25"/>
      </w:pPr>
    </w:p>
    <w:p/>
    <w:p>
      <w:pPr>
        <w:pStyle w:val="25"/>
      </w:pPr>
    </w:p>
    <w:p>
      <w:pPr>
        <w:pStyle w:val="99"/>
      </w:pPr>
    </w:p>
    <w:p>
      <w:pPr>
        <w:pStyle w:val="87"/>
        <w:tabs>
          <w:tab w:val="clear" w:pos="0"/>
        </w:tabs>
      </w:pPr>
    </w:p>
    <w:p>
      <w:pPr>
        <w:pStyle w:val="85"/>
        <w:numPr>
          <w:ilvl w:val="0"/>
          <w:numId w:val="20"/>
        </w:numPr>
        <w:tabs>
          <w:tab w:val="clear" w:pos="360"/>
        </w:tabs>
      </w:pPr>
      <w:r>
        <w:br w:type="textWrapping"/>
      </w:r>
      <w:bookmarkStart w:id="19" w:name="_Toc59893881"/>
      <w:bookmarkStart w:id="20" w:name="_Toc118280999"/>
      <w:bookmarkStart w:id="21" w:name="_Toc118305884"/>
      <w:r>
        <w:rPr>
          <w:rFonts w:hint="eastAsia"/>
        </w:rPr>
        <w:t>（规范性）</w:t>
      </w:r>
      <w:r>
        <w:br w:type="textWrapping"/>
      </w:r>
      <w:bookmarkEnd w:id="19"/>
      <w:bookmarkEnd w:id="20"/>
      <w:r>
        <w:rPr>
          <w:rFonts w:hint="eastAsia"/>
        </w:rPr>
        <w:t>申请办公用房的要求及材料</w:t>
      </w:r>
      <w:bookmarkEnd w:id="21"/>
    </w:p>
    <w:p>
      <w:pPr>
        <w:pStyle w:val="25"/>
        <w:ind w:firstLine="0" w:firstLineChars="0"/>
        <w:rPr>
          <w:rFonts w:ascii="仿宋_GB2312" w:eastAsia="仿宋_GB2312"/>
          <w:sz w:val="30"/>
          <w:szCs w:val="30"/>
        </w:rPr>
      </w:pPr>
      <w:r>
        <w:rPr>
          <w:rFonts w:hint="eastAsia" w:ascii="仿宋_GB2312" w:eastAsia="仿宋_GB2312"/>
          <w:sz w:val="30"/>
          <w:szCs w:val="30"/>
        </w:rPr>
        <w:t>市直各单位：</w:t>
      </w:r>
    </w:p>
    <w:p>
      <w:pPr>
        <w:pStyle w:val="25"/>
        <w:ind w:firstLine="600"/>
        <w:rPr>
          <w:rFonts w:ascii="仿宋_GB2312" w:eastAsia="仿宋_GB2312"/>
          <w:sz w:val="30"/>
          <w:szCs w:val="30"/>
        </w:rPr>
      </w:pPr>
      <w:r>
        <w:rPr>
          <w:rFonts w:hint="eastAsia" w:ascii="仿宋_GB2312" w:eastAsia="仿宋_GB2312"/>
          <w:sz w:val="30"/>
          <w:szCs w:val="30"/>
        </w:rPr>
        <w:t>为配合做好申请办公用房相关事项，便于调配使用工作，理顺工作秩序，合理使用办公用房，避免闲置浪费和按政策规定满足使用要求，利于下一步调配工作开展，请支持提供如下材料：</w:t>
      </w:r>
    </w:p>
    <w:p>
      <w:pPr>
        <w:pStyle w:val="25"/>
        <w:ind w:firstLine="600"/>
        <w:rPr>
          <w:rFonts w:ascii="仿宋_GB2312" w:eastAsia="仿宋_GB2312"/>
          <w:sz w:val="30"/>
          <w:szCs w:val="30"/>
        </w:rPr>
      </w:pPr>
      <w:r>
        <w:rPr>
          <w:rFonts w:hint="eastAsia" w:ascii="仿宋_GB2312" w:eastAsia="仿宋_GB2312"/>
          <w:sz w:val="30"/>
          <w:szCs w:val="30"/>
        </w:rPr>
        <w:t>一、请如实填写《机构及人员编制详情和现办公地址统计表》。</w:t>
      </w:r>
    </w:p>
    <w:p>
      <w:pPr>
        <w:pStyle w:val="25"/>
        <w:ind w:firstLine="600"/>
        <w:rPr>
          <w:rFonts w:ascii="仿宋_GB2312" w:eastAsia="仿宋_GB2312"/>
          <w:sz w:val="30"/>
          <w:szCs w:val="30"/>
        </w:rPr>
      </w:pPr>
      <w:r>
        <w:rPr>
          <w:rFonts w:hint="eastAsia" w:ascii="仿宋_GB2312" w:eastAsia="仿宋_GB2312"/>
          <w:sz w:val="30"/>
          <w:szCs w:val="30"/>
        </w:rPr>
        <w:t>二、请提供市编办批文。</w:t>
      </w:r>
    </w:p>
    <w:p>
      <w:pPr>
        <w:pStyle w:val="25"/>
        <w:ind w:firstLine="600"/>
        <w:rPr>
          <w:rFonts w:ascii="仿宋_GB2312" w:eastAsia="仿宋_GB2312"/>
          <w:sz w:val="30"/>
          <w:szCs w:val="30"/>
        </w:rPr>
      </w:pPr>
      <w:r>
        <w:rPr>
          <w:rFonts w:hint="eastAsia" w:ascii="仿宋_GB2312" w:eastAsia="仿宋_GB2312"/>
          <w:sz w:val="30"/>
          <w:szCs w:val="30"/>
        </w:rPr>
        <w:t>三、对在你单位办公的机关及所属事业单位的技术业务用房提供功能构成建筑面积需求及相关依据。</w:t>
      </w:r>
    </w:p>
    <w:p>
      <w:pPr>
        <w:pStyle w:val="25"/>
        <w:ind w:firstLine="600"/>
        <w:rPr>
          <w:rFonts w:ascii="仿宋_GB2312" w:eastAsia="仿宋_GB2312"/>
          <w:sz w:val="30"/>
          <w:szCs w:val="30"/>
        </w:rPr>
      </w:pPr>
      <w:r>
        <w:rPr>
          <w:rFonts w:hint="eastAsia" w:ascii="仿宋_GB2312" w:eastAsia="仿宋_GB2312"/>
          <w:sz w:val="30"/>
          <w:szCs w:val="30"/>
        </w:rPr>
        <w:t>四、对在你单位办公的机关及所属事业单位现办公用房和业务用房的使用情况，提供布局平面图（注明：房间面积、使用用途）。</w:t>
      </w:r>
    </w:p>
    <w:p>
      <w:pPr>
        <w:pStyle w:val="25"/>
        <w:ind w:firstLine="600"/>
        <w:rPr>
          <w:rFonts w:ascii="仿宋_GB2312" w:eastAsia="仿宋_GB2312"/>
          <w:sz w:val="30"/>
          <w:szCs w:val="30"/>
        </w:rPr>
      </w:pPr>
      <w:r>
        <w:rPr>
          <w:rFonts w:hint="eastAsia" w:ascii="仿宋_GB2312" w:eastAsia="仿宋_GB2312"/>
          <w:sz w:val="30"/>
          <w:szCs w:val="30"/>
        </w:rPr>
        <w:t>五、认为需提供的其他材料。</w:t>
      </w:r>
    </w:p>
    <w:p>
      <w:pPr>
        <w:pStyle w:val="25"/>
      </w:pPr>
    </w:p>
    <w:p>
      <w:pPr>
        <w:pStyle w:val="25"/>
      </w:pPr>
    </w:p>
    <w:p>
      <w:pPr>
        <w:pStyle w:val="99"/>
      </w:pPr>
    </w:p>
    <w:p>
      <w:pPr>
        <w:pStyle w:val="87"/>
        <w:tabs>
          <w:tab w:val="clear" w:pos="0"/>
        </w:tabs>
      </w:pPr>
    </w:p>
    <w:p>
      <w:pPr>
        <w:pStyle w:val="85"/>
        <w:numPr>
          <w:ilvl w:val="0"/>
          <w:numId w:val="20"/>
        </w:numPr>
        <w:tabs>
          <w:tab w:val="clear" w:pos="360"/>
        </w:tabs>
      </w:pPr>
      <w:r>
        <w:br w:type="textWrapping"/>
      </w:r>
      <w:bookmarkStart w:id="22" w:name="_Toc118305885"/>
      <w:r>
        <w:rPr>
          <w:rFonts w:hint="eastAsia"/>
        </w:rPr>
        <w:t>（资料性）</w:t>
      </w:r>
      <w:r>
        <w:br w:type="textWrapping"/>
      </w:r>
      <w:r>
        <w:rPr>
          <w:rFonts w:hint="eastAsia"/>
        </w:rPr>
        <w:t>机构及人员编制详情（含非领导职数）和现办公地址统计表样式</w:t>
      </w:r>
      <w:bookmarkEnd w:id="22"/>
    </w:p>
    <w:p>
      <w:pPr>
        <w:jc w:val="center"/>
        <w:rPr>
          <w:b/>
          <w:bCs/>
          <w:color w:val="000000"/>
          <w:sz w:val="32"/>
          <w:szCs w:val="32"/>
        </w:rPr>
      </w:pPr>
      <w:r>
        <w:rPr>
          <w:rFonts w:hint="eastAsia"/>
          <w:b/>
          <w:bCs/>
          <w:color w:val="000000"/>
          <w:sz w:val="32"/>
          <w:szCs w:val="32"/>
        </w:rPr>
        <w:t>机构及人员编制详情（含非领导职数）和现办公地址统计表</w:t>
      </w:r>
    </w:p>
    <w:p>
      <w:pPr>
        <w:spacing w:before="312" w:beforeLines="100" w:after="156" w:afterLines="50"/>
        <w:jc w:val="center"/>
      </w:pPr>
      <w:r>
        <w:rPr>
          <w:rFonts w:hint="eastAsia"/>
        </w:rPr>
        <w:t xml:space="preserve">填表单位（盖章）：  </w:t>
      </w:r>
      <w:r>
        <w:t xml:space="preserve">  </w:t>
      </w:r>
      <w:r>
        <w:rPr>
          <w:rFonts w:hint="eastAsia"/>
        </w:rPr>
        <w:t xml:space="preserve">                                                年   月   日</w:t>
      </w:r>
    </w:p>
    <w:tbl>
      <w:tblPr>
        <w:tblStyle w:val="34"/>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48"/>
        <w:gridCol w:w="505"/>
        <w:gridCol w:w="504"/>
        <w:gridCol w:w="727"/>
        <w:gridCol w:w="567"/>
        <w:gridCol w:w="708"/>
        <w:gridCol w:w="567"/>
        <w:gridCol w:w="709"/>
        <w:gridCol w:w="567"/>
        <w:gridCol w:w="709"/>
        <w:gridCol w:w="567"/>
        <w:gridCol w:w="567"/>
        <w:gridCol w:w="567"/>
        <w:gridCol w:w="567"/>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vMerge w:val="restart"/>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内设机构</w:t>
            </w:r>
          </w:p>
          <w:p>
            <w:pPr>
              <w:autoSpaceDE w:val="0"/>
              <w:autoSpaceDN w:val="0"/>
              <w:spacing w:line="240" w:lineRule="exact"/>
              <w:jc w:val="center"/>
              <w:rPr>
                <w:rFonts w:cs="宋体"/>
                <w:color w:val="000000"/>
                <w:sz w:val="18"/>
                <w:szCs w:val="18"/>
              </w:rPr>
            </w:pPr>
            <w:r>
              <w:rPr>
                <w:rFonts w:hint="eastAsia" w:cs="宋体"/>
                <w:color w:val="000000"/>
                <w:sz w:val="18"/>
                <w:szCs w:val="18"/>
              </w:rPr>
              <w:t>及所属事业单位</w:t>
            </w:r>
          </w:p>
        </w:tc>
        <w:tc>
          <w:tcPr>
            <w:tcW w:w="505" w:type="dxa"/>
            <w:vMerge w:val="restart"/>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总编制数</w:t>
            </w:r>
          </w:p>
        </w:tc>
        <w:tc>
          <w:tcPr>
            <w:tcW w:w="1231" w:type="dxa"/>
            <w:gridSpan w:val="2"/>
            <w:tcBorders>
              <w:tl2br w:val="nil"/>
              <w:tr2bl w:val="nil"/>
            </w:tcBorders>
            <w:tcMar>
              <w:left w:w="28" w:type="dxa"/>
              <w:right w:w="28" w:type="dxa"/>
            </w:tcMar>
            <w:vAlign w:val="center"/>
          </w:tcPr>
          <w:p>
            <w:pPr>
              <w:autoSpaceDE w:val="0"/>
              <w:autoSpaceDN w:val="0"/>
              <w:spacing w:before="120" w:after="120" w:line="240" w:lineRule="exact"/>
              <w:jc w:val="center"/>
              <w:rPr>
                <w:rFonts w:cs="宋体"/>
                <w:color w:val="000000"/>
                <w:sz w:val="18"/>
                <w:szCs w:val="18"/>
              </w:rPr>
            </w:pPr>
            <w:r>
              <w:rPr>
                <w:rFonts w:hint="eastAsia" w:cs="宋体"/>
                <w:color w:val="000000"/>
                <w:sz w:val="18"/>
                <w:szCs w:val="18"/>
              </w:rPr>
              <w:t>正处级人员数</w:t>
            </w:r>
          </w:p>
        </w:tc>
        <w:tc>
          <w:tcPr>
            <w:tcW w:w="1275" w:type="dxa"/>
            <w:gridSpan w:val="2"/>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副处级人员数</w:t>
            </w:r>
          </w:p>
        </w:tc>
        <w:tc>
          <w:tcPr>
            <w:tcW w:w="1276" w:type="dxa"/>
            <w:gridSpan w:val="2"/>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正科级人员数</w:t>
            </w:r>
          </w:p>
        </w:tc>
        <w:tc>
          <w:tcPr>
            <w:tcW w:w="1276" w:type="dxa"/>
            <w:gridSpan w:val="2"/>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副科级人员数</w:t>
            </w:r>
          </w:p>
        </w:tc>
        <w:tc>
          <w:tcPr>
            <w:tcW w:w="567" w:type="dxa"/>
            <w:vMerge w:val="restart"/>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科级以下人员数</w:t>
            </w:r>
          </w:p>
        </w:tc>
        <w:tc>
          <w:tcPr>
            <w:tcW w:w="567" w:type="dxa"/>
            <w:vMerge w:val="restart"/>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工勤人员数</w:t>
            </w:r>
          </w:p>
        </w:tc>
        <w:tc>
          <w:tcPr>
            <w:tcW w:w="567" w:type="dxa"/>
            <w:vMerge w:val="restart"/>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机构规格</w:t>
            </w:r>
          </w:p>
        </w:tc>
        <w:tc>
          <w:tcPr>
            <w:tcW w:w="567" w:type="dxa"/>
            <w:vMerge w:val="restart"/>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经费形式</w:t>
            </w:r>
          </w:p>
        </w:tc>
        <w:tc>
          <w:tcPr>
            <w:tcW w:w="709" w:type="dxa"/>
            <w:vMerge w:val="restart"/>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现办公地址及对应办公人数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79" w:hRule="atLeast"/>
          <w:jc w:val="center"/>
        </w:trPr>
        <w:tc>
          <w:tcPr>
            <w:tcW w:w="948" w:type="dxa"/>
            <w:vMerge w:val="continue"/>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05" w:type="dxa"/>
            <w:vMerge w:val="continue"/>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领导职数</w:t>
            </w:r>
          </w:p>
        </w:tc>
        <w:tc>
          <w:tcPr>
            <w:tcW w:w="727" w:type="dxa"/>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非领导职数</w:t>
            </w:r>
          </w:p>
        </w:tc>
        <w:tc>
          <w:tcPr>
            <w:tcW w:w="567" w:type="dxa"/>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领导职数</w:t>
            </w:r>
          </w:p>
        </w:tc>
        <w:tc>
          <w:tcPr>
            <w:tcW w:w="708" w:type="dxa"/>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非领导职数</w:t>
            </w:r>
          </w:p>
        </w:tc>
        <w:tc>
          <w:tcPr>
            <w:tcW w:w="567" w:type="dxa"/>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领导职数</w:t>
            </w:r>
          </w:p>
        </w:tc>
        <w:tc>
          <w:tcPr>
            <w:tcW w:w="709" w:type="dxa"/>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非领导职数</w:t>
            </w:r>
          </w:p>
        </w:tc>
        <w:tc>
          <w:tcPr>
            <w:tcW w:w="567" w:type="dxa"/>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领导职数</w:t>
            </w:r>
          </w:p>
        </w:tc>
        <w:tc>
          <w:tcPr>
            <w:tcW w:w="709" w:type="dxa"/>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r>
              <w:rPr>
                <w:rFonts w:hint="eastAsia" w:cs="宋体"/>
                <w:color w:val="000000"/>
                <w:sz w:val="18"/>
                <w:szCs w:val="18"/>
              </w:rPr>
              <w:t>非领导职数</w:t>
            </w:r>
          </w:p>
        </w:tc>
        <w:tc>
          <w:tcPr>
            <w:tcW w:w="567" w:type="dxa"/>
            <w:vMerge w:val="continue"/>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p>
        </w:tc>
        <w:tc>
          <w:tcPr>
            <w:tcW w:w="567" w:type="dxa"/>
            <w:vMerge w:val="continue"/>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p>
        </w:tc>
        <w:tc>
          <w:tcPr>
            <w:tcW w:w="567" w:type="dxa"/>
            <w:vMerge w:val="continue"/>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p>
        </w:tc>
        <w:tc>
          <w:tcPr>
            <w:tcW w:w="567" w:type="dxa"/>
            <w:vMerge w:val="continue"/>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p>
        </w:tc>
        <w:tc>
          <w:tcPr>
            <w:tcW w:w="709" w:type="dxa"/>
            <w:vMerge w:val="continue"/>
            <w:tcBorders>
              <w:tl2br w:val="nil"/>
              <w:tr2bl w:val="nil"/>
            </w:tcBorders>
            <w:tcMar>
              <w:left w:w="28" w:type="dxa"/>
              <w:right w:w="28" w:type="dxa"/>
            </w:tcMar>
            <w:vAlign w:val="center"/>
          </w:tcPr>
          <w:p>
            <w:pPr>
              <w:autoSpaceDE w:val="0"/>
              <w:autoSpaceDN w:val="0"/>
              <w:spacing w:line="240" w:lineRule="exact"/>
              <w:jc w:val="center"/>
              <w:rPr>
                <w:rFonts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一、部门领导</w:t>
            </w:r>
          </w:p>
        </w:tc>
        <w:tc>
          <w:tcPr>
            <w:tcW w:w="505" w:type="dxa"/>
            <w:tcBorders>
              <w:tl2br w:val="nil"/>
              <w:tr2bl w:val="nil"/>
            </w:tcBorders>
            <w:tcMar>
              <w:left w:w="28" w:type="dxa"/>
              <w:right w:w="28" w:type="dxa"/>
            </w:tcMar>
            <w:vAlign w:val="center"/>
          </w:tcPr>
          <w:p>
            <w:pPr>
              <w:autoSpaceDE w:val="0"/>
              <w:autoSpaceDN w:val="0"/>
              <w:spacing w:before="120" w:after="12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2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8"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二、内设机构</w:t>
            </w:r>
          </w:p>
        </w:tc>
        <w:tc>
          <w:tcPr>
            <w:tcW w:w="505" w:type="dxa"/>
            <w:tcBorders>
              <w:tl2br w:val="nil"/>
              <w:tr2bl w:val="nil"/>
            </w:tcBorders>
            <w:tcMar>
              <w:left w:w="28" w:type="dxa"/>
              <w:right w:w="28" w:type="dxa"/>
            </w:tcMar>
            <w:vAlign w:val="center"/>
          </w:tcPr>
          <w:p>
            <w:pPr>
              <w:autoSpaceDE w:val="0"/>
              <w:autoSpaceDN w:val="0"/>
              <w:spacing w:before="120" w:after="12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2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8"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1、</w:t>
            </w:r>
          </w:p>
        </w:tc>
        <w:tc>
          <w:tcPr>
            <w:tcW w:w="505" w:type="dxa"/>
            <w:tcBorders>
              <w:tl2br w:val="nil"/>
              <w:tr2bl w:val="nil"/>
            </w:tcBorders>
            <w:tcMar>
              <w:left w:w="28" w:type="dxa"/>
              <w:right w:w="28" w:type="dxa"/>
            </w:tcMar>
            <w:vAlign w:val="center"/>
          </w:tcPr>
          <w:p>
            <w:pPr>
              <w:autoSpaceDE w:val="0"/>
              <w:autoSpaceDN w:val="0"/>
              <w:spacing w:before="120" w:after="12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2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8"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2、</w:t>
            </w:r>
          </w:p>
        </w:tc>
        <w:tc>
          <w:tcPr>
            <w:tcW w:w="505" w:type="dxa"/>
            <w:tcBorders>
              <w:tl2br w:val="nil"/>
              <w:tr2bl w:val="nil"/>
            </w:tcBorders>
            <w:tcMar>
              <w:left w:w="28" w:type="dxa"/>
              <w:right w:w="28" w:type="dxa"/>
            </w:tcMar>
            <w:vAlign w:val="center"/>
          </w:tcPr>
          <w:p>
            <w:pPr>
              <w:autoSpaceDE w:val="0"/>
              <w:autoSpaceDN w:val="0"/>
              <w:spacing w:before="120" w:after="12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2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8"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三、所属事业单位</w:t>
            </w:r>
          </w:p>
        </w:tc>
        <w:tc>
          <w:tcPr>
            <w:tcW w:w="505" w:type="dxa"/>
            <w:tcBorders>
              <w:tl2br w:val="nil"/>
              <w:tr2bl w:val="nil"/>
            </w:tcBorders>
            <w:tcMar>
              <w:left w:w="28" w:type="dxa"/>
              <w:right w:w="28" w:type="dxa"/>
            </w:tcMar>
            <w:vAlign w:val="center"/>
          </w:tcPr>
          <w:p>
            <w:pPr>
              <w:autoSpaceDE w:val="0"/>
              <w:autoSpaceDN w:val="0"/>
              <w:spacing w:before="120" w:after="12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2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8"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1、</w:t>
            </w:r>
          </w:p>
        </w:tc>
        <w:tc>
          <w:tcPr>
            <w:tcW w:w="505" w:type="dxa"/>
            <w:tcBorders>
              <w:tl2br w:val="nil"/>
              <w:tr2bl w:val="nil"/>
            </w:tcBorders>
            <w:tcMar>
              <w:left w:w="28" w:type="dxa"/>
              <w:right w:w="28" w:type="dxa"/>
            </w:tcMar>
            <w:vAlign w:val="center"/>
          </w:tcPr>
          <w:p>
            <w:pPr>
              <w:autoSpaceDE w:val="0"/>
              <w:autoSpaceDN w:val="0"/>
              <w:spacing w:before="120" w:after="12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2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8"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2、</w:t>
            </w:r>
          </w:p>
        </w:tc>
        <w:tc>
          <w:tcPr>
            <w:tcW w:w="505" w:type="dxa"/>
            <w:tcBorders>
              <w:tl2br w:val="nil"/>
              <w:tr2bl w:val="nil"/>
            </w:tcBorders>
            <w:tcMar>
              <w:left w:w="28" w:type="dxa"/>
              <w:right w:w="28" w:type="dxa"/>
            </w:tcMar>
            <w:vAlign w:val="center"/>
          </w:tcPr>
          <w:p>
            <w:pPr>
              <w:autoSpaceDE w:val="0"/>
              <w:autoSpaceDN w:val="0"/>
              <w:spacing w:before="120" w:after="12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2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8"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948" w:type="dxa"/>
            <w:tcBorders>
              <w:tl2br w:val="nil"/>
              <w:tr2bl w:val="nil"/>
            </w:tcBorders>
            <w:tcMar>
              <w:left w:w="28" w:type="dxa"/>
              <w:right w:w="28" w:type="dxa"/>
            </w:tcMar>
            <w:vAlign w:val="center"/>
          </w:tcPr>
          <w:p>
            <w:pPr>
              <w:autoSpaceDE w:val="0"/>
              <w:autoSpaceDN w:val="0"/>
              <w:jc w:val="center"/>
              <w:rPr>
                <w:rFonts w:cs="宋体"/>
                <w:color w:val="000000"/>
                <w:sz w:val="18"/>
                <w:szCs w:val="18"/>
              </w:rPr>
            </w:pPr>
            <w:r>
              <w:rPr>
                <w:rFonts w:hint="eastAsia" w:cs="宋体"/>
                <w:color w:val="000000"/>
                <w:sz w:val="18"/>
                <w:szCs w:val="18"/>
              </w:rPr>
              <w:t>合计</w:t>
            </w:r>
          </w:p>
        </w:tc>
        <w:tc>
          <w:tcPr>
            <w:tcW w:w="505" w:type="dxa"/>
            <w:tcBorders>
              <w:tl2br w:val="nil"/>
              <w:tr2bl w:val="nil"/>
            </w:tcBorders>
            <w:tcMar>
              <w:left w:w="28" w:type="dxa"/>
              <w:right w:w="28" w:type="dxa"/>
            </w:tcMar>
            <w:vAlign w:val="center"/>
          </w:tcPr>
          <w:p>
            <w:pPr>
              <w:autoSpaceDE w:val="0"/>
              <w:autoSpaceDN w:val="0"/>
              <w:spacing w:before="120" w:after="120"/>
              <w:ind w:firstLine="300"/>
              <w:jc w:val="center"/>
              <w:rPr>
                <w:rFonts w:cs="宋体"/>
                <w:color w:val="000000"/>
                <w:sz w:val="18"/>
                <w:szCs w:val="18"/>
              </w:rPr>
            </w:pPr>
          </w:p>
        </w:tc>
        <w:tc>
          <w:tcPr>
            <w:tcW w:w="504"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2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8"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567"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c>
          <w:tcPr>
            <w:tcW w:w="709" w:type="dxa"/>
            <w:tcBorders>
              <w:tl2br w:val="nil"/>
              <w:tr2bl w:val="nil"/>
            </w:tcBorders>
            <w:tcMar>
              <w:left w:w="28" w:type="dxa"/>
              <w:right w:w="28" w:type="dxa"/>
            </w:tcMar>
            <w:vAlign w:val="center"/>
          </w:tcPr>
          <w:p>
            <w:pPr>
              <w:autoSpaceDE w:val="0"/>
              <w:autoSpaceDN w:val="0"/>
              <w:ind w:firstLine="300"/>
              <w:jc w:val="center"/>
              <w:rPr>
                <w:rFonts w:cs="宋体"/>
                <w:color w:val="000000"/>
                <w:sz w:val="18"/>
                <w:szCs w:val="18"/>
              </w:rPr>
            </w:pPr>
          </w:p>
        </w:tc>
      </w:tr>
    </w:tbl>
    <w:p>
      <w:pPr>
        <w:pStyle w:val="25"/>
        <w:spacing w:before="156" w:beforeLines="50"/>
        <w:ind w:firstLine="0" w:firstLineChars="0"/>
      </w:pPr>
      <w:r>
        <w:rPr>
          <w:rFonts w:hint="eastAsia"/>
        </w:rPr>
        <w:t>填写说明：</w:t>
      </w:r>
    </w:p>
    <w:p>
      <w:pPr>
        <w:pStyle w:val="25"/>
        <w:ind w:left="707" w:leftChars="200" w:hanging="287" w:hangingChars="137"/>
      </w:pPr>
      <w:r>
        <w:rPr>
          <w:rFonts w:hint="eastAsia"/>
        </w:rPr>
        <w:t>1、在“内设机构”栏以下填写内设机构的明细情况，在“所属事业单位”栏以下填写所属事业单位明细情况；</w:t>
      </w:r>
    </w:p>
    <w:p>
      <w:pPr>
        <w:pStyle w:val="25"/>
        <w:ind w:left="707" w:leftChars="200" w:hanging="287" w:hangingChars="137"/>
      </w:pPr>
      <w:r>
        <w:rPr>
          <w:rFonts w:hint="eastAsia"/>
        </w:rPr>
        <w:t>2、填写的人员编制数需对应市编办批文；</w:t>
      </w:r>
    </w:p>
    <w:p>
      <w:pPr>
        <w:pStyle w:val="25"/>
        <w:ind w:left="707" w:leftChars="200" w:hanging="287" w:hangingChars="137"/>
      </w:pPr>
      <w:r>
        <w:rPr>
          <w:rFonts w:hint="eastAsia"/>
        </w:rPr>
        <w:t>3、现办公地址涉及的办公用房，需提供布局平面简图和使用面积说明（加盖公章一并提交）。</w:t>
      </w:r>
    </w:p>
    <w:p>
      <w:pPr>
        <w:pStyle w:val="25"/>
      </w:pPr>
    </w:p>
    <w:p>
      <w:pPr>
        <w:pStyle w:val="99"/>
      </w:pPr>
    </w:p>
    <w:p>
      <w:pPr>
        <w:pStyle w:val="87"/>
        <w:tabs>
          <w:tab w:val="clear" w:pos="0"/>
        </w:tabs>
      </w:pPr>
    </w:p>
    <w:p>
      <w:pPr>
        <w:pStyle w:val="85"/>
        <w:numPr>
          <w:ilvl w:val="0"/>
          <w:numId w:val="20"/>
        </w:numPr>
        <w:tabs>
          <w:tab w:val="clear" w:pos="360"/>
        </w:tabs>
      </w:pPr>
      <w:r>
        <w:br w:type="textWrapping"/>
      </w:r>
      <w:bookmarkStart w:id="23" w:name="_Toc118305886"/>
      <w:r>
        <w:rPr>
          <w:rFonts w:hint="eastAsia"/>
        </w:rPr>
        <w:t>（资料性）</w:t>
      </w:r>
      <w:r>
        <w:br w:type="textWrapping"/>
      </w:r>
      <w:r>
        <w:rPr>
          <w:rFonts w:hint="eastAsia"/>
        </w:rPr>
        <w:t>市直土地、房屋移交清单样式</w:t>
      </w:r>
      <w:bookmarkEnd w:id="23"/>
    </w:p>
    <w:p>
      <w:pPr>
        <w:jc w:val="center"/>
        <w:rPr>
          <w:b/>
          <w:bCs/>
          <w:color w:val="000000"/>
          <w:sz w:val="36"/>
          <w:szCs w:val="36"/>
        </w:rPr>
      </w:pPr>
      <w:r>
        <w:rPr>
          <w:rFonts w:hint="eastAsia"/>
          <w:b/>
          <w:bCs/>
          <w:color w:val="000000"/>
          <w:sz w:val="36"/>
          <w:szCs w:val="36"/>
        </w:rPr>
        <w:t>市直土地、房屋移交清单</w:t>
      </w:r>
    </w:p>
    <w:p>
      <w:pPr>
        <w:spacing w:before="156" w:beforeLines="50" w:after="156" w:afterLines="50"/>
        <w:jc w:val="right"/>
      </w:pPr>
      <w:r>
        <w:rPr>
          <w:rFonts w:hint="eastAsia"/>
          <w:color w:val="000000"/>
        </w:rPr>
        <w:t>共   页       第   页</w:t>
      </w:r>
    </w:p>
    <w:tbl>
      <w:tblPr>
        <w:tblStyle w:val="34"/>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691"/>
        <w:gridCol w:w="842"/>
        <w:gridCol w:w="1010"/>
        <w:gridCol w:w="1001"/>
        <w:gridCol w:w="567"/>
        <w:gridCol w:w="122"/>
        <w:gridCol w:w="364"/>
        <w:gridCol w:w="506"/>
        <w:gridCol w:w="850"/>
        <w:gridCol w:w="851"/>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1" w:type="dxa"/>
            <w:tcBorders>
              <w:tl2br w:val="nil"/>
              <w:tr2bl w:val="nil"/>
            </w:tcBorders>
            <w:tcMar>
              <w:left w:w="57" w:type="dxa"/>
              <w:right w:w="57" w:type="dxa"/>
            </w:tcMar>
            <w:vAlign w:val="center"/>
          </w:tcPr>
          <w:p>
            <w:pPr>
              <w:autoSpaceDE w:val="0"/>
              <w:autoSpaceDN w:val="0"/>
              <w:jc w:val="center"/>
              <w:rPr>
                <w:color w:val="000000"/>
                <w:sz w:val="18"/>
                <w:szCs w:val="18"/>
              </w:rPr>
            </w:pPr>
            <w:r>
              <w:rPr>
                <w:rFonts w:hint="eastAsia"/>
                <w:color w:val="000000"/>
                <w:sz w:val="18"/>
                <w:szCs w:val="18"/>
              </w:rPr>
              <w:t>坐落</w:t>
            </w:r>
          </w:p>
          <w:p>
            <w:pPr>
              <w:autoSpaceDE w:val="0"/>
              <w:autoSpaceDN w:val="0"/>
              <w:jc w:val="center"/>
              <w:rPr>
                <w:color w:val="000000"/>
                <w:sz w:val="18"/>
                <w:szCs w:val="18"/>
              </w:rPr>
            </w:pPr>
            <w:r>
              <w:rPr>
                <w:rFonts w:hint="eastAsia"/>
                <w:color w:val="000000"/>
                <w:sz w:val="18"/>
                <w:szCs w:val="18"/>
              </w:rPr>
              <w:t>位置</w:t>
            </w:r>
          </w:p>
        </w:tc>
        <w:tc>
          <w:tcPr>
            <w:tcW w:w="8505" w:type="dxa"/>
            <w:gridSpan w:val="12"/>
            <w:tcBorders>
              <w:tl2br w:val="nil"/>
              <w:tr2bl w:val="nil"/>
            </w:tcBorders>
            <w:tcMar>
              <w:left w:w="57" w:type="dxa"/>
              <w:right w:w="57" w:type="dxa"/>
            </w:tcMar>
            <w:vAlign w:val="center"/>
          </w:tcPr>
          <w:p>
            <w:pPr>
              <w:autoSpaceDE w:val="0"/>
              <w:autoSpaceDN w:val="0"/>
              <w:ind w:firstLine="360"/>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41"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土地面积（㎡）</w:t>
            </w:r>
          </w:p>
        </w:tc>
        <w:tc>
          <w:tcPr>
            <w:tcW w:w="691" w:type="dxa"/>
            <w:tcBorders>
              <w:tl2br w:val="nil"/>
              <w:tr2bl w:val="nil"/>
            </w:tcBorders>
            <w:tcMar>
              <w:left w:w="57" w:type="dxa"/>
              <w:right w:w="57" w:type="dxa"/>
            </w:tcMar>
            <w:vAlign w:val="center"/>
          </w:tcPr>
          <w:p>
            <w:pPr>
              <w:autoSpaceDE w:val="0"/>
              <w:autoSpaceDN w:val="0"/>
              <w:spacing w:line="240" w:lineRule="exact"/>
              <w:ind w:firstLine="360"/>
              <w:jc w:val="center"/>
              <w:rPr>
                <w:color w:val="000000"/>
                <w:sz w:val="18"/>
                <w:szCs w:val="18"/>
              </w:rPr>
            </w:pPr>
          </w:p>
        </w:tc>
        <w:tc>
          <w:tcPr>
            <w:tcW w:w="842"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办公区土地交接四至范围</w:t>
            </w:r>
          </w:p>
        </w:tc>
        <w:tc>
          <w:tcPr>
            <w:tcW w:w="2011" w:type="dxa"/>
            <w:gridSpan w:val="2"/>
            <w:tcBorders>
              <w:tl2br w:val="nil"/>
              <w:tr2bl w:val="nil"/>
            </w:tcBorders>
            <w:tcMar>
              <w:left w:w="57" w:type="dxa"/>
              <w:right w:w="57" w:type="dxa"/>
            </w:tcMar>
            <w:vAlign w:val="center"/>
          </w:tcPr>
          <w:p>
            <w:pPr>
              <w:autoSpaceDE w:val="0"/>
              <w:autoSpaceDN w:val="0"/>
              <w:spacing w:line="240" w:lineRule="exact"/>
              <w:jc w:val="left"/>
              <w:rPr>
                <w:color w:val="000000"/>
                <w:sz w:val="18"/>
                <w:szCs w:val="18"/>
              </w:rPr>
            </w:pPr>
            <w:r>
              <w:rPr>
                <w:rFonts w:hint="eastAsia"/>
                <w:color w:val="000000"/>
                <w:sz w:val="18"/>
                <w:szCs w:val="18"/>
              </w:rPr>
              <w:t>东至：</w:t>
            </w:r>
          </w:p>
          <w:p>
            <w:pPr>
              <w:autoSpaceDE w:val="0"/>
              <w:autoSpaceDN w:val="0"/>
              <w:spacing w:line="240" w:lineRule="exact"/>
              <w:jc w:val="left"/>
              <w:rPr>
                <w:color w:val="000000"/>
                <w:sz w:val="18"/>
                <w:szCs w:val="18"/>
              </w:rPr>
            </w:pPr>
            <w:r>
              <w:rPr>
                <w:rFonts w:hint="eastAsia"/>
                <w:color w:val="000000"/>
                <w:sz w:val="18"/>
                <w:szCs w:val="18"/>
              </w:rPr>
              <w:t>南至：</w:t>
            </w:r>
          </w:p>
          <w:p>
            <w:pPr>
              <w:autoSpaceDE w:val="0"/>
              <w:autoSpaceDN w:val="0"/>
              <w:spacing w:line="240" w:lineRule="exact"/>
              <w:jc w:val="left"/>
              <w:rPr>
                <w:color w:val="000000"/>
                <w:sz w:val="18"/>
                <w:szCs w:val="18"/>
              </w:rPr>
            </w:pPr>
            <w:r>
              <w:rPr>
                <w:rFonts w:hint="eastAsia"/>
                <w:color w:val="000000"/>
                <w:sz w:val="18"/>
                <w:szCs w:val="18"/>
              </w:rPr>
              <w:t>西至：</w:t>
            </w:r>
          </w:p>
          <w:p>
            <w:pPr>
              <w:autoSpaceDE w:val="0"/>
              <w:autoSpaceDN w:val="0"/>
              <w:spacing w:line="240" w:lineRule="exact"/>
              <w:jc w:val="left"/>
              <w:rPr>
                <w:color w:val="000000"/>
                <w:sz w:val="18"/>
                <w:szCs w:val="18"/>
              </w:rPr>
            </w:pPr>
            <w:r>
              <w:rPr>
                <w:rFonts w:hint="eastAsia"/>
                <w:color w:val="000000"/>
                <w:sz w:val="18"/>
                <w:szCs w:val="18"/>
              </w:rPr>
              <w:t>北至：</w:t>
            </w:r>
          </w:p>
        </w:tc>
        <w:tc>
          <w:tcPr>
            <w:tcW w:w="689" w:type="dxa"/>
            <w:gridSpan w:val="2"/>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土地使用权人</w:t>
            </w:r>
          </w:p>
        </w:tc>
        <w:tc>
          <w:tcPr>
            <w:tcW w:w="870" w:type="dxa"/>
            <w:gridSpan w:val="2"/>
            <w:tcBorders>
              <w:tl2br w:val="nil"/>
              <w:tr2bl w:val="nil"/>
            </w:tcBorders>
            <w:tcMar>
              <w:left w:w="57" w:type="dxa"/>
              <w:right w:w="57" w:type="dxa"/>
            </w:tcMar>
            <w:vAlign w:val="center"/>
          </w:tcPr>
          <w:p>
            <w:pPr>
              <w:autoSpaceDE w:val="0"/>
              <w:autoSpaceDN w:val="0"/>
              <w:spacing w:line="240" w:lineRule="exact"/>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国有土地使用证</w:t>
            </w:r>
            <w:r>
              <w:rPr>
                <w:color w:val="000000"/>
                <w:sz w:val="18"/>
                <w:szCs w:val="18"/>
              </w:rPr>
              <w:br w:type="textWrapping"/>
            </w:r>
            <w:r>
              <w:rPr>
                <w:rFonts w:hint="eastAsia"/>
                <w:color w:val="000000"/>
                <w:sz w:val="18"/>
                <w:szCs w:val="18"/>
              </w:rPr>
              <w:t>证号</w:t>
            </w:r>
          </w:p>
        </w:tc>
        <w:tc>
          <w:tcPr>
            <w:tcW w:w="851" w:type="dxa"/>
            <w:tcBorders>
              <w:tl2br w:val="nil"/>
              <w:tr2bl w:val="nil"/>
            </w:tcBorders>
            <w:tcMar>
              <w:left w:w="57" w:type="dxa"/>
              <w:right w:w="57" w:type="dxa"/>
            </w:tcMar>
            <w:vAlign w:val="center"/>
          </w:tcPr>
          <w:p>
            <w:pPr>
              <w:autoSpaceDE w:val="0"/>
              <w:autoSpaceDN w:val="0"/>
              <w:spacing w:line="240" w:lineRule="exact"/>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与土地有关的其他情况</w:t>
            </w:r>
          </w:p>
        </w:tc>
        <w:tc>
          <w:tcPr>
            <w:tcW w:w="851" w:type="dxa"/>
            <w:tcBorders>
              <w:tl2br w:val="nil"/>
              <w:tr2bl w:val="nil"/>
            </w:tcBorders>
            <w:tcMar>
              <w:left w:w="57" w:type="dxa"/>
              <w:right w:w="57" w:type="dxa"/>
            </w:tcMar>
            <w:vAlign w:val="center"/>
          </w:tcPr>
          <w:p>
            <w:pPr>
              <w:autoSpaceDE w:val="0"/>
              <w:autoSpaceDN w:val="0"/>
              <w:spacing w:line="240" w:lineRule="exact"/>
              <w:ind w:firstLine="360"/>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46" w:type="dxa"/>
            <w:gridSpan w:val="13"/>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地上房屋及建筑物情况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41"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栋号</w:t>
            </w:r>
          </w:p>
        </w:tc>
        <w:tc>
          <w:tcPr>
            <w:tcW w:w="691"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建筑物自称号</w:t>
            </w:r>
          </w:p>
        </w:tc>
        <w:tc>
          <w:tcPr>
            <w:tcW w:w="842"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地上地下层数</w:t>
            </w:r>
          </w:p>
        </w:tc>
        <w:tc>
          <w:tcPr>
            <w:tcW w:w="1010"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地上建筑面积（㎡）</w:t>
            </w:r>
          </w:p>
        </w:tc>
        <w:tc>
          <w:tcPr>
            <w:tcW w:w="1001"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地下建筑面积（㎡）</w:t>
            </w:r>
          </w:p>
        </w:tc>
        <w:tc>
          <w:tcPr>
            <w:tcW w:w="567"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结构</w:t>
            </w:r>
          </w:p>
        </w:tc>
        <w:tc>
          <w:tcPr>
            <w:tcW w:w="486" w:type="dxa"/>
            <w:gridSpan w:val="2"/>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建成时间</w:t>
            </w:r>
          </w:p>
        </w:tc>
        <w:tc>
          <w:tcPr>
            <w:tcW w:w="506"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用途</w:t>
            </w:r>
          </w:p>
        </w:tc>
        <w:tc>
          <w:tcPr>
            <w:tcW w:w="850"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原值</w:t>
            </w:r>
            <w:r>
              <w:rPr>
                <w:color w:val="000000"/>
                <w:sz w:val="18"/>
                <w:szCs w:val="18"/>
              </w:rPr>
              <w:br w:type="textWrapping"/>
            </w:r>
            <w:r>
              <w:rPr>
                <w:rFonts w:hint="eastAsia"/>
                <w:color w:val="000000"/>
                <w:sz w:val="18"/>
                <w:szCs w:val="18"/>
              </w:rPr>
              <w:t>（万元）</w:t>
            </w:r>
          </w:p>
        </w:tc>
        <w:tc>
          <w:tcPr>
            <w:tcW w:w="851"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房屋所有权人</w:t>
            </w:r>
          </w:p>
        </w:tc>
        <w:tc>
          <w:tcPr>
            <w:tcW w:w="850"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房产证证号</w:t>
            </w:r>
          </w:p>
        </w:tc>
        <w:tc>
          <w:tcPr>
            <w:tcW w:w="851" w:type="dxa"/>
            <w:tcBorders>
              <w:tl2br w:val="nil"/>
              <w:tr2bl w:val="nil"/>
            </w:tcBorders>
            <w:tcMar>
              <w:left w:w="57" w:type="dxa"/>
              <w:right w:w="57" w:type="dxa"/>
            </w:tcMar>
            <w:vAlign w:val="center"/>
          </w:tcPr>
          <w:p>
            <w:pPr>
              <w:autoSpaceDE w:val="0"/>
              <w:autoSpaceDN w:val="0"/>
              <w:spacing w:line="240" w:lineRule="exact"/>
              <w:jc w:val="center"/>
              <w:rPr>
                <w:color w:val="000000"/>
                <w:sz w:val="18"/>
                <w:szCs w:val="18"/>
              </w:rPr>
            </w:pPr>
            <w:r>
              <w:rPr>
                <w:rFonts w:hint="eastAsia"/>
                <w:color w:val="000000"/>
                <w:sz w:val="18"/>
                <w:szCs w:val="18"/>
              </w:rPr>
              <w:t>房产登记的栋号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1" w:type="dxa"/>
            <w:tcBorders>
              <w:tl2br w:val="nil"/>
              <w:tr2bl w:val="nil"/>
            </w:tcBorders>
            <w:tcMar>
              <w:left w:w="57" w:type="dxa"/>
              <w:right w:w="57" w:type="dxa"/>
            </w:tcMar>
            <w:vAlign w:val="center"/>
          </w:tcPr>
          <w:p>
            <w:pPr>
              <w:autoSpaceDE w:val="0"/>
              <w:autoSpaceDN w:val="0"/>
              <w:spacing w:before="120" w:after="120"/>
              <w:jc w:val="center"/>
              <w:rPr>
                <w:color w:val="000000"/>
                <w:sz w:val="18"/>
                <w:szCs w:val="18"/>
              </w:rPr>
            </w:pPr>
            <w:r>
              <w:rPr>
                <w:rFonts w:hint="eastAsia"/>
                <w:color w:val="000000"/>
                <w:sz w:val="18"/>
                <w:szCs w:val="18"/>
              </w:rPr>
              <w:t>1</w:t>
            </w:r>
          </w:p>
        </w:tc>
        <w:tc>
          <w:tcPr>
            <w:tcW w:w="69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42"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101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100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567"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486" w:type="dxa"/>
            <w:gridSpan w:val="2"/>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506"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1" w:type="dxa"/>
            <w:tcBorders>
              <w:tl2br w:val="nil"/>
              <w:tr2bl w:val="nil"/>
            </w:tcBorders>
            <w:tcMar>
              <w:left w:w="57" w:type="dxa"/>
              <w:right w:w="57" w:type="dxa"/>
            </w:tcMar>
            <w:vAlign w:val="center"/>
          </w:tcPr>
          <w:p>
            <w:pPr>
              <w:autoSpaceDE w:val="0"/>
              <w:autoSpaceDN w:val="0"/>
              <w:spacing w:before="120" w:after="120"/>
              <w:jc w:val="center"/>
              <w:rPr>
                <w:color w:val="000000"/>
                <w:sz w:val="18"/>
                <w:szCs w:val="18"/>
              </w:rPr>
            </w:pPr>
            <w:r>
              <w:rPr>
                <w:rFonts w:hint="eastAsia"/>
                <w:color w:val="000000"/>
                <w:sz w:val="18"/>
                <w:szCs w:val="18"/>
              </w:rPr>
              <w:t>2</w:t>
            </w:r>
          </w:p>
        </w:tc>
        <w:tc>
          <w:tcPr>
            <w:tcW w:w="69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42"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101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100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567"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486" w:type="dxa"/>
            <w:gridSpan w:val="2"/>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506"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1" w:type="dxa"/>
            <w:tcBorders>
              <w:tl2br w:val="nil"/>
              <w:tr2bl w:val="nil"/>
            </w:tcBorders>
            <w:tcMar>
              <w:left w:w="57" w:type="dxa"/>
              <w:right w:w="57" w:type="dxa"/>
            </w:tcMar>
            <w:vAlign w:val="center"/>
          </w:tcPr>
          <w:p>
            <w:pPr>
              <w:autoSpaceDE w:val="0"/>
              <w:autoSpaceDN w:val="0"/>
              <w:spacing w:before="120" w:after="120"/>
              <w:jc w:val="center"/>
              <w:rPr>
                <w:color w:val="000000"/>
                <w:sz w:val="18"/>
                <w:szCs w:val="18"/>
              </w:rPr>
            </w:pPr>
            <w:r>
              <w:rPr>
                <w:rFonts w:hint="eastAsia"/>
                <w:color w:val="000000"/>
                <w:sz w:val="18"/>
                <w:szCs w:val="18"/>
              </w:rPr>
              <w:t>3</w:t>
            </w:r>
          </w:p>
        </w:tc>
        <w:tc>
          <w:tcPr>
            <w:tcW w:w="69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42"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101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100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567"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486" w:type="dxa"/>
            <w:gridSpan w:val="2"/>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506"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41" w:type="dxa"/>
            <w:tcBorders>
              <w:tl2br w:val="nil"/>
              <w:tr2bl w:val="nil"/>
            </w:tcBorders>
            <w:tcMar>
              <w:left w:w="57" w:type="dxa"/>
              <w:right w:w="57" w:type="dxa"/>
            </w:tcMar>
            <w:vAlign w:val="center"/>
          </w:tcPr>
          <w:p>
            <w:pPr>
              <w:autoSpaceDE w:val="0"/>
              <w:autoSpaceDN w:val="0"/>
              <w:spacing w:before="120" w:after="120"/>
              <w:jc w:val="center"/>
              <w:rPr>
                <w:color w:val="000000"/>
                <w:sz w:val="18"/>
                <w:szCs w:val="18"/>
              </w:rPr>
            </w:pPr>
            <w:r>
              <w:rPr>
                <w:rFonts w:hint="eastAsia"/>
                <w:color w:val="000000"/>
                <w:sz w:val="18"/>
                <w:szCs w:val="18"/>
              </w:rPr>
              <w:t>合计</w:t>
            </w:r>
          </w:p>
        </w:tc>
        <w:tc>
          <w:tcPr>
            <w:tcW w:w="69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42"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101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100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567"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486" w:type="dxa"/>
            <w:gridSpan w:val="2"/>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506"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0"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c>
          <w:tcPr>
            <w:tcW w:w="851" w:type="dxa"/>
            <w:tcBorders>
              <w:tl2br w:val="nil"/>
              <w:tr2bl w:val="nil"/>
            </w:tcBorders>
            <w:tcMar>
              <w:left w:w="57" w:type="dxa"/>
              <w:right w:w="57" w:type="dxa"/>
            </w:tcMar>
            <w:vAlign w:val="center"/>
          </w:tcPr>
          <w:p>
            <w:pPr>
              <w:autoSpaceDE w:val="0"/>
              <w:autoSpaceDN w:val="0"/>
              <w:spacing w:before="120" w:after="120"/>
              <w:ind w:firstLine="360"/>
              <w:jc w:val="center"/>
              <w:rPr>
                <w:color w:val="000000"/>
                <w:sz w:val="18"/>
                <w:szCs w:val="18"/>
              </w:rPr>
            </w:pPr>
          </w:p>
        </w:tc>
      </w:tr>
    </w:tbl>
    <w:p>
      <w:pPr>
        <w:autoSpaceDE w:val="0"/>
        <w:autoSpaceDN w:val="0"/>
        <w:ind w:firstLine="420"/>
        <w:rPr>
          <w:color w:val="000000"/>
        </w:rPr>
      </w:pPr>
    </w:p>
    <w:p>
      <w:pPr>
        <w:autoSpaceDE w:val="0"/>
        <w:autoSpaceDN w:val="0"/>
        <w:spacing w:before="312" w:beforeLines="100" w:after="312" w:afterLines="100"/>
        <w:ind w:firstLine="420"/>
        <w:rPr>
          <w:color w:val="000000"/>
        </w:rPr>
      </w:pPr>
      <w:r>
        <w:rPr>
          <w:rFonts w:hint="eastAsia"/>
          <w:color w:val="000000"/>
        </w:rPr>
        <w:t>移交方（签字 盖章）          接收方（签字 盖章）           监交方（签字 盖章）</w:t>
      </w:r>
    </w:p>
    <w:p>
      <w:pPr>
        <w:spacing w:before="312" w:beforeLines="100" w:after="312" w:afterLines="100"/>
      </w:pPr>
      <w:r>
        <w:rPr>
          <w:rFonts w:hint="eastAsia"/>
          <w:color w:val="000000"/>
        </w:rPr>
        <w:t xml:space="preserve">                                                                           年   月   日</w:t>
      </w:r>
    </w:p>
    <w:p>
      <w:pPr>
        <w:pStyle w:val="25"/>
      </w:pPr>
    </w:p>
    <w:p>
      <w:pPr>
        <w:pStyle w:val="99"/>
      </w:pPr>
    </w:p>
    <w:p>
      <w:pPr>
        <w:pStyle w:val="87"/>
        <w:tabs>
          <w:tab w:val="clear" w:pos="0"/>
        </w:tabs>
      </w:pPr>
    </w:p>
    <w:p>
      <w:pPr>
        <w:pStyle w:val="85"/>
        <w:numPr>
          <w:ilvl w:val="0"/>
          <w:numId w:val="20"/>
        </w:numPr>
        <w:tabs>
          <w:tab w:val="clear" w:pos="360"/>
        </w:tabs>
      </w:pPr>
      <w:r>
        <w:br w:type="textWrapping"/>
      </w:r>
      <w:bookmarkStart w:id="24" w:name="_Toc118305887"/>
      <w:r>
        <w:rPr>
          <w:rFonts w:hint="eastAsia"/>
        </w:rPr>
        <w:t>（资料性）</w:t>
      </w:r>
      <w:r>
        <w:br w:type="textWrapping"/>
      </w:r>
      <w:r>
        <w:rPr>
          <w:rFonts w:hint="eastAsia"/>
        </w:rPr>
        <w:t>机关办公用房使用管理工作流程图</w:t>
      </w:r>
      <w:bookmarkEnd w:id="24"/>
    </w:p>
    <w:p>
      <w:pPr>
        <w:pStyle w:val="25"/>
        <w:ind w:firstLine="0" w:firstLineChars="0"/>
        <w:jc w:val="center"/>
      </w:pPr>
      <w:r>
        <w:rPr>
          <w:color w:val="000000"/>
        </w:rPr>
        <w:drawing>
          <wp:anchor distT="0" distB="0" distL="114300" distR="114300" simplePos="0" relativeHeight="251666432" behindDoc="0" locked="0" layoutInCell="1" allowOverlap="1">
            <wp:simplePos x="0" y="0"/>
            <wp:positionH relativeFrom="column">
              <wp:posOffset>3810</wp:posOffset>
            </wp:positionH>
            <wp:positionV relativeFrom="paragraph">
              <wp:posOffset>200660</wp:posOffset>
            </wp:positionV>
            <wp:extent cx="5991225" cy="4733925"/>
            <wp:effectExtent l="0" t="0" r="9525" b="9525"/>
            <wp:wrapTopAndBottom/>
            <wp:docPr id="7"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true"/>
                    </pic:cNvPicPr>
                  </pic:nvPicPr>
                  <pic:blipFill>
                    <a:blip r:embed="rId10"/>
                    <a:stretch>
                      <a:fillRect/>
                    </a:stretch>
                  </pic:blipFill>
                  <pic:spPr>
                    <a:xfrm>
                      <a:off x="0" y="0"/>
                      <a:ext cx="5991225" cy="4733925"/>
                    </a:xfrm>
                    <a:prstGeom prst="rect">
                      <a:avLst/>
                    </a:prstGeom>
                    <a:noFill/>
                    <a:ln>
                      <a:noFill/>
                    </a:ln>
                  </pic:spPr>
                </pic:pic>
              </a:graphicData>
            </a:graphic>
          </wp:anchor>
        </w:drawing>
      </w:r>
    </w:p>
    <w:p>
      <w:pPr>
        <w:pStyle w:val="100"/>
        <w:spacing w:before="156" w:after="156"/>
      </w:pPr>
      <w:r>
        <w:rPr>
          <w:rFonts w:hint="eastAsia"/>
        </w:rPr>
        <w:t>机关办公用房使用管理工作流程图</w:t>
      </w:r>
    </w:p>
    <w:p/>
    <w:p/>
    <w:p>
      <w:r>
        <w:rPr>
          <w:rFonts w:hint="eastAsia"/>
          <w:color w:val="000000"/>
          <w:sz w:val="24"/>
        </w:rPr>
        <mc:AlternateContent>
          <mc:Choice Requires="wps">
            <w:drawing>
              <wp:anchor distT="0" distB="0" distL="114300" distR="114300" simplePos="0" relativeHeight="251665408" behindDoc="0" locked="0" layoutInCell="1" allowOverlap="1">
                <wp:simplePos x="0" y="0"/>
                <wp:positionH relativeFrom="column">
                  <wp:posOffset>1785620</wp:posOffset>
                </wp:positionH>
                <wp:positionV relativeFrom="paragraph">
                  <wp:posOffset>574040</wp:posOffset>
                </wp:positionV>
                <wp:extent cx="27432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6pt;margin-top:45.2pt;height:0pt;width:216pt;z-index:251665408;mso-width-relative:page;mso-height-relative:page;" filled="f" stroked="t" coordsize="21600,21600" o:gfxdata="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7K+r1QAAAAkBAAAPAAAAAAAA&#10;AAEAIAAAADgAAABkcnMvZG93bnJldi54bWxQSwECFAAUAAAACACHTuJAqO96A8YBAABjAwAADgAA&#10;AAAAAAABACAAAAA6AQAAZHJzL2Uyb0RvYy54bWxQSwUGAAAAAAYABgBZAQAAcgUAAAAA&#10;">
                <v:fill on="f" focussize="0,0"/>
                <v:stroke weight="0.5pt" color="#000000 [3200]" miterlimit="8" joinstyle="miter"/>
                <v:imagedata o:title=""/>
                <o:lock v:ext="edit" aspectratio="f"/>
              </v:line>
            </w:pict>
          </mc:Fallback>
        </mc:AlternateContent>
      </w: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YF</w:t>
    </w:r>
    <w:r>
      <w:rPr>
        <w:rFonts w:hint="eastAsia"/>
      </w:rPr>
      <w:t>.</w:t>
    </w:r>
    <w:r>
      <w:rPr>
        <w:rFonts w:hint="eastAsia"/>
        <w:lang w:val="en-US" w:eastAsia="zh-CN"/>
      </w:rPr>
      <w:t>210.</w:t>
    </w:r>
    <w:r>
      <w:t>0</w:t>
    </w:r>
    <w:r>
      <w:rPr>
        <w:rFonts w:hint="eastAsia"/>
        <w:lang w:val="en-US" w:eastAsia="zh-CN"/>
      </w:rPr>
      <w:t>08</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YF</w:t>
    </w:r>
    <w:r>
      <w:rPr>
        <w:rFonts w:hint="eastAsia"/>
      </w:rPr>
      <w:t>.</w:t>
    </w:r>
    <w:r>
      <w:rPr>
        <w:rFonts w:hint="eastAsia"/>
        <w:lang w:val="en-US" w:eastAsia="zh-CN"/>
      </w:rPr>
      <w:t>210.</w:t>
    </w:r>
    <w:r>
      <w:t>0</w:t>
    </w:r>
    <w:r>
      <w:rPr>
        <w:rFonts w:hint="eastAsia"/>
        <w:lang w:val="en-US" w:eastAsia="zh-CN"/>
      </w:rPr>
      <w:t>08</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1118"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568"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EF2EF6"/>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0F4BB7"/>
    <w:rsid w:val="00100680"/>
    <w:rsid w:val="0010472D"/>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CEA"/>
    <w:rsid w:val="00247FEE"/>
    <w:rsid w:val="00250E7D"/>
    <w:rsid w:val="00254586"/>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8751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36634"/>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1B9"/>
    <w:rsid w:val="00382EAB"/>
    <w:rsid w:val="00383191"/>
    <w:rsid w:val="00386DED"/>
    <w:rsid w:val="003912E7"/>
    <w:rsid w:val="00393947"/>
    <w:rsid w:val="003A170B"/>
    <w:rsid w:val="003A1C6A"/>
    <w:rsid w:val="003A2275"/>
    <w:rsid w:val="003A2A45"/>
    <w:rsid w:val="003A5313"/>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17F"/>
    <w:rsid w:val="003D6CEF"/>
    <w:rsid w:val="003E1867"/>
    <w:rsid w:val="003E5729"/>
    <w:rsid w:val="003E5EAE"/>
    <w:rsid w:val="003E6A28"/>
    <w:rsid w:val="003E7514"/>
    <w:rsid w:val="003E7529"/>
    <w:rsid w:val="003F0B58"/>
    <w:rsid w:val="003F2AF5"/>
    <w:rsid w:val="003F3E91"/>
    <w:rsid w:val="003F4EE0"/>
    <w:rsid w:val="003F5AC7"/>
    <w:rsid w:val="003F7207"/>
    <w:rsid w:val="0040076F"/>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3D7"/>
    <w:rsid w:val="00540BCD"/>
    <w:rsid w:val="00541D7D"/>
    <w:rsid w:val="0054264B"/>
    <w:rsid w:val="00543786"/>
    <w:rsid w:val="0054387C"/>
    <w:rsid w:val="00545D91"/>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1E15"/>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0CA3"/>
    <w:rsid w:val="00774FCA"/>
    <w:rsid w:val="00781AB5"/>
    <w:rsid w:val="007823C1"/>
    <w:rsid w:val="007913AB"/>
    <w:rsid w:val="007914F7"/>
    <w:rsid w:val="007972CC"/>
    <w:rsid w:val="00797409"/>
    <w:rsid w:val="007A58B4"/>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07A24"/>
    <w:rsid w:val="008127A2"/>
    <w:rsid w:val="00813900"/>
    <w:rsid w:val="00814471"/>
    <w:rsid w:val="00815D7E"/>
    <w:rsid w:val="00817A00"/>
    <w:rsid w:val="00820A1E"/>
    <w:rsid w:val="0082108D"/>
    <w:rsid w:val="00821CAE"/>
    <w:rsid w:val="00831AA2"/>
    <w:rsid w:val="00835DB3"/>
    <w:rsid w:val="0083617B"/>
    <w:rsid w:val="008370D2"/>
    <w:rsid w:val="008371BD"/>
    <w:rsid w:val="0084297F"/>
    <w:rsid w:val="008446E3"/>
    <w:rsid w:val="008447FF"/>
    <w:rsid w:val="00845FAB"/>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0FA5"/>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17DB0"/>
    <w:rsid w:val="00B23A84"/>
    <w:rsid w:val="00B242BD"/>
    <w:rsid w:val="00B26FAF"/>
    <w:rsid w:val="00B3383A"/>
    <w:rsid w:val="00B353EB"/>
    <w:rsid w:val="00B3550C"/>
    <w:rsid w:val="00B40B8C"/>
    <w:rsid w:val="00B435AA"/>
    <w:rsid w:val="00B439C4"/>
    <w:rsid w:val="00B4535E"/>
    <w:rsid w:val="00B523DB"/>
    <w:rsid w:val="00B52554"/>
    <w:rsid w:val="00B52A8C"/>
    <w:rsid w:val="00B56150"/>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0FB"/>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07AFE"/>
    <w:rsid w:val="00D114E9"/>
    <w:rsid w:val="00D116CD"/>
    <w:rsid w:val="00D17A82"/>
    <w:rsid w:val="00D258AB"/>
    <w:rsid w:val="00D26CDD"/>
    <w:rsid w:val="00D30301"/>
    <w:rsid w:val="00D324D3"/>
    <w:rsid w:val="00D362A9"/>
    <w:rsid w:val="00D42231"/>
    <w:rsid w:val="00D42827"/>
    <w:rsid w:val="00D429C6"/>
    <w:rsid w:val="00D44E80"/>
    <w:rsid w:val="00D45842"/>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54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40A0"/>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87E49"/>
    <w:rsid w:val="00E914C4"/>
    <w:rsid w:val="00E934F5"/>
    <w:rsid w:val="00E94024"/>
    <w:rsid w:val="00E95524"/>
    <w:rsid w:val="00E96961"/>
    <w:rsid w:val="00E97590"/>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2EF6"/>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6C5F"/>
    <w:rsid w:val="00FE1C50"/>
    <w:rsid w:val="00FE23DE"/>
    <w:rsid w:val="00FE4D17"/>
    <w:rsid w:val="00FE57AB"/>
    <w:rsid w:val="00FE7D7F"/>
    <w:rsid w:val="00FF04A9"/>
    <w:rsid w:val="2EA8435B"/>
    <w:rsid w:val="33251C93"/>
    <w:rsid w:val="3E377CB0"/>
    <w:rsid w:val="4590011C"/>
    <w:rsid w:val="52331739"/>
    <w:rsid w:val="67EC676F"/>
    <w:rsid w:val="77F3B43B"/>
    <w:rsid w:val="EBFF8FD9"/>
    <w:rsid w:val="EFED32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100" w:beforeLines="100" w:after="100"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13</Pages>
  <Words>5572</Words>
  <Characters>5732</Characters>
  <Lines>55</Lines>
  <Paragraphs>15</Paragraphs>
  <TotalTime>4</TotalTime>
  <ScaleCrop>false</ScaleCrop>
  <LinksUpToDate>false</LinksUpToDate>
  <CharactersWithSpaces>6039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2022-11-03T17:46:00Z</dcterms:created>
  <dc:creator>路源</dc:creator>
  <cp:lastModifiedBy>kylin</cp:lastModifiedBy>
  <cp:lastPrinted>2020-10-14T15:25:00Z</cp:lastPrinted>
  <dcterms:modified xsi:type="dcterms:W3CDTF">2023-03-18T17:55:18Z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69E3A794EB134F1690631B27D354927F</vt:lpwstr>
  </property>
</Properties>
</file>