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4"/>
      </w:pPr>
      <w:r>
        <w:rPr>
          <w:rFonts w:hint="eastAsia" w:ascii="Times New Roman"/>
        </w:rPr>
        <w:t>标准</w:t>
      </w:r>
      <w:r>
        <w:rPr>
          <w:rFonts w:ascii="Times New Roman"/>
        </w:rPr>
        <w:t>体系</w:t>
      </w:r>
      <w:r>
        <w:rPr>
          <w:rFonts w:hint="eastAsia" w:ascii="Times New Roman"/>
        </w:rPr>
        <w:t>编号</w:t>
      </w:r>
      <w:r>
        <w:rPr>
          <w:rFonts w:hAnsi="黑体"/>
        </w:rPr>
        <w:t>：ZC</w:t>
      </w:r>
    </w:p>
    <w:p>
      <w:pPr>
        <w:pStyle w:val="124"/>
      </w:pPr>
      <w:r>
        <w:rPr>
          <w:rFonts w:hint="eastAsia"/>
        </w:rPr>
        <w:t>文件</w:t>
      </w:r>
      <w:r>
        <w:t>类型</w:t>
      </w:r>
      <w:r>
        <w:rPr>
          <w:rFonts w:hint="eastAsia"/>
        </w:rPr>
        <w:t>：规范</w:t>
      </w:r>
    </w:p>
    <w:tbl>
      <w:tblPr>
        <w:tblStyle w:val="34"/>
        <w:tblW w:w="96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38" w:type="dxa"/>
            <w:tcBorders>
              <w:top w:val="nil"/>
              <w:left w:val="nil"/>
              <w:bottom w:val="nil"/>
              <w:right w:val="nil"/>
            </w:tcBorders>
            <w:shd w:val="clear" w:color="auto" w:fill="auto"/>
          </w:tcPr>
          <w:p>
            <w:pPr>
              <w:pStyle w:val="124"/>
            </w:pPr>
            <w:r>
              <mc:AlternateContent>
                <mc:Choice Requires="wps">
                  <w:drawing>
                    <wp:anchor distT="0" distB="0" distL="114300" distR="114300" simplePos="0" relativeHeight="251648000" behindDoc="1" locked="0" layoutInCell="1" allowOverlap="1">
                      <wp:simplePos x="0" y="0"/>
                      <wp:positionH relativeFrom="column">
                        <wp:posOffset>-66675</wp:posOffset>
                      </wp:positionH>
                      <wp:positionV relativeFrom="paragraph">
                        <wp:posOffset>0</wp:posOffset>
                      </wp:positionV>
                      <wp:extent cx="710565" cy="161925"/>
                      <wp:effectExtent l="0" t="0" r="0" b="9525"/>
                      <wp:wrapNone/>
                      <wp:docPr id="72" name="BAH"/>
                      <wp:cNvGraphicFramePr/>
                      <a:graphic xmlns:a="http://schemas.openxmlformats.org/drawingml/2006/main">
                        <a:graphicData uri="http://schemas.microsoft.com/office/word/2010/wordprocessingShape">
                          <wps:wsp>
                            <wps:cNvSpPr>
                              <a:spLocks noChangeArrowheads="true"/>
                            </wps:cNvSpPr>
                            <wps:spPr bwMode="auto">
                              <a:xfrm>
                                <a:off x="0" y="0"/>
                                <a:ext cx="710565" cy="161925"/>
                              </a:xfrm>
                              <a:prstGeom prst="rect">
                                <a:avLst/>
                              </a:prstGeom>
                              <a:solidFill>
                                <a:srgbClr val="FFFFFF"/>
                              </a:solidFill>
                              <a:ln>
                                <a:noFill/>
                              </a:ln>
                            </wps:spPr>
                            <wps:bodyPr rot="0" vert="horz" wrap="square" lIns="91440" tIns="45720" rIns="91440" bIns="45720" anchor="t" anchorCtr="false" upright="true">
                              <a:noAutofit/>
                            </wps:bodyPr>
                          </wps:wsp>
                        </a:graphicData>
                      </a:graphic>
                    </wp:anchor>
                  </w:drawing>
                </mc:Choice>
                <mc:Fallback>
                  <w:pict>
                    <v:rect id="BAH" o:spid="_x0000_s1026" o:spt="1" style="position:absolute;left:0pt;margin-left:-5.25pt;margin-top:0pt;height:12.75pt;width:55.95pt;z-index:-251668480;mso-width-relative:page;mso-height-relative:page;" fillcolor="#FFFFFF" filled="t" stroked="f" coordsize="21600,21600" o:gfxdata="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Gmdh1NUAAAAHAQAADwAAAAAAAAABACAAAAA4&#10;AAAAZHJzL2Rvd25yZXYueG1sUEsBAhQAFAAAAAgAh07iQI+WAAL3AQAA3QMAAA4AAAAAAAAAAQAg&#10;AAAAOgEAAGRycy9lMm9Eb2MueG1sUEsFBgAAAAAGAAYAWQEAAKMFAAAAAA==&#10;">
                      <v:fill on="t" focussize="0,0"/>
                      <v:stroke on="f"/>
                      <v:imagedata o:title=""/>
                      <o:lock v:ext="edit" aspectratio="f"/>
                    </v:rect>
                  </w:pict>
                </mc:Fallback>
              </mc:AlternateContent>
            </w:r>
          </w:p>
        </w:tc>
      </w:tr>
    </w:tbl>
    <w:p>
      <w:pPr>
        <w:pStyle w:val="110"/>
        <w:rPr>
          <w:w w:val="100"/>
        </w:rPr>
      </w:pPr>
      <w:bookmarkStart w:id="0" w:name="c3"/>
      <w:r>
        <w:rPr>
          <w:rFonts w:hint="eastAsia"/>
          <w:w w:val="100"/>
        </w:rPr>
        <w:t>邢</w:t>
      </w:r>
      <w:r>
        <w:rPr>
          <w:w w:val="100"/>
        </w:rPr>
        <w:t>JG</w:t>
      </w:r>
      <w:bookmarkEnd w:id="0"/>
    </w:p>
    <w:p>
      <w:pPr>
        <w:pStyle w:val="111"/>
      </w:pPr>
      <w:r>
        <w:rPr>
          <w:rFonts w:hint="eastAsia"/>
        </w:rPr>
        <w:t>邢台市机关后勤服务标准</w:t>
      </w:r>
    </w:p>
    <w:p>
      <w:pPr>
        <w:pStyle w:val="48"/>
        <w:wordWrap w:val="0"/>
        <w:rPr>
          <w:rFonts w:hAnsi="黑体"/>
        </w:rPr>
      </w:pPr>
      <w:r>
        <w:rPr>
          <w:rFonts w:hint="eastAsia" w:ascii="Times New Roman"/>
        </w:rPr>
        <w:t xml:space="preserve">邢JG </w:t>
      </w:r>
      <w:r>
        <w:rPr>
          <w:rFonts w:hAnsi="黑体"/>
        </w:rPr>
        <w:t>ZC.</w:t>
      </w:r>
      <w:r>
        <w:rPr>
          <w:rFonts w:hint="eastAsia" w:hAnsi="黑体"/>
          <w:lang w:val="en-US" w:eastAsia="zh-CN"/>
        </w:rPr>
        <w:t>220.</w:t>
      </w:r>
      <w:r>
        <w:rPr>
          <w:rFonts w:hAnsi="黑体"/>
        </w:rPr>
        <w:t>001—2022</w:t>
      </w:r>
    </w:p>
    <w:tbl>
      <w:tblPr>
        <w:tblStyle w:val="34"/>
        <w:tblW w:w="91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1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40" w:type="dxa"/>
            <w:tcBorders>
              <w:top w:val="nil"/>
              <w:left w:val="nil"/>
              <w:bottom w:val="nil"/>
              <w:right w:val="nil"/>
            </w:tcBorders>
            <w:shd w:val="clear" w:color="auto" w:fill="auto"/>
          </w:tcPr>
          <w:p>
            <w:pPr>
              <w:pStyle w:val="77"/>
            </w:pPr>
            <w:bookmarkStart w:id="1" w:name="DT"/>
            <w:r>
              <mc:AlternateContent>
                <mc:Choice Requires="wps">
                  <w:drawing>
                    <wp:anchor distT="0" distB="0" distL="114300" distR="114300" simplePos="0" relativeHeight="251644928" behindDoc="1" locked="0" layoutInCell="1" allowOverlap="1">
                      <wp:simplePos x="0" y="0"/>
                      <wp:positionH relativeFrom="column">
                        <wp:posOffset>4734560</wp:posOffset>
                      </wp:positionH>
                      <wp:positionV relativeFrom="paragraph">
                        <wp:posOffset>34290</wp:posOffset>
                      </wp:positionV>
                      <wp:extent cx="982980" cy="196215"/>
                      <wp:effectExtent l="0" t="0" r="7620" b="0"/>
                      <wp:wrapNone/>
                      <wp:docPr id="71" name="DT"/>
                      <wp:cNvGraphicFramePr/>
                      <a:graphic xmlns:a="http://schemas.openxmlformats.org/drawingml/2006/main">
                        <a:graphicData uri="http://schemas.microsoft.com/office/word/2010/wordprocessingShape">
                          <wps:wsp>
                            <wps:cNvSpPr>
                              <a:spLocks noChangeArrowheads="true"/>
                            </wps:cNvSpPr>
                            <wps:spPr bwMode="auto">
                              <a:xfrm>
                                <a:off x="0" y="0"/>
                                <a:ext cx="982980" cy="196215"/>
                              </a:xfrm>
                              <a:prstGeom prst="rect">
                                <a:avLst/>
                              </a:prstGeom>
                              <a:solidFill>
                                <a:srgbClr val="FFFFFF"/>
                              </a:solidFill>
                              <a:ln>
                                <a:noFill/>
                              </a:ln>
                            </wps:spPr>
                            <wps:bodyPr rot="0" vert="horz" wrap="square" lIns="91440" tIns="45720" rIns="91440" bIns="45720" anchor="t" anchorCtr="false" upright="true">
                              <a:noAutofit/>
                            </wps:bodyPr>
                          </wps:wsp>
                        </a:graphicData>
                      </a:graphic>
                    </wp:anchor>
                  </w:drawing>
                </mc:Choice>
                <mc:Fallback>
                  <w:pict>
                    <v:rect id="DT" o:spid="_x0000_s1026" o:spt="1" style="position:absolute;left:0pt;margin-left:372.8pt;margin-top:2.7pt;height:15.45pt;width:77.4pt;z-index:-251671552;mso-width-relative:page;mso-height-relative:page;" fillcolor="#FFFFFF" filled="t" stroked="f" coordsize="21600,21600" o:gfxdata="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D1GGhXXAAAACAEAAA8AAAAAAAAAAQAgAAAA&#10;OAAAAGRycy9kb3ducmV2LnhtbFBLAQIUABQAAAAIAIdO4kDbXbkp9gEAANwDAAAOAAAAAAAAAAEA&#10;IAAAADwBAABkcnMvZTJvRG9jLnhtbFBLBQYAAAAABgAGAFkBAACkBQAAAAA=&#10;">
                      <v:fill on="t" focussize="0,0"/>
                      <v:stroke on="f"/>
                      <v:imagedata o:title=""/>
                      <o:lock v:ext="edit" aspectratio="f"/>
                    </v:rect>
                  </w:pict>
                </mc:Fallback>
              </mc:AlternateContent>
            </w:r>
            <w:r>
              <w:fldChar w:fldCharType="begin">
                <w:ffData>
                  <w:name w:val="DT"/>
                  <w:enabled/>
                  <w:calcOnExit w:val="0"/>
                  <w:textInput/>
                </w:ffData>
              </w:fldChar>
            </w:r>
            <w:r>
              <w:instrText xml:space="preserve"> FORMTEXT </w:instrText>
            </w:r>
            <w:r>
              <w:fldChar w:fldCharType="separate"/>
            </w:r>
            <w:r>
              <w:t>     </w:t>
            </w:r>
            <w:r>
              <w:fldChar w:fldCharType="end"/>
            </w:r>
            <w:bookmarkEnd w:id="1"/>
          </w:p>
        </w:tc>
      </w:tr>
    </w:tbl>
    <w:p>
      <w:pPr>
        <w:pStyle w:val="48"/>
        <w:rPr>
          <w:rFonts w:hAnsi="黑体"/>
        </w:rPr>
      </w:pPr>
    </w:p>
    <w:p>
      <w:pPr>
        <w:pStyle w:val="48"/>
        <w:rPr>
          <w:rFonts w:hAnsi="黑体"/>
        </w:rPr>
      </w:pPr>
    </w:p>
    <w:p>
      <w:pPr>
        <w:pStyle w:val="79"/>
        <w:ind w:firstLine="1050"/>
      </w:pPr>
      <w:r>
        <w:rPr>
          <w:rFonts w:hint="eastAsia"/>
        </w:rPr>
        <w:t>预决算公开管理规范</w:t>
      </w:r>
    </w:p>
    <w:p>
      <w:pPr>
        <w:pStyle w:val="81"/>
      </w:pPr>
    </w:p>
    <w:tbl>
      <w:tblPr>
        <w:tblStyle w:val="34"/>
        <w:tblW w:w="96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39" w:type="dxa"/>
            <w:tcBorders>
              <w:top w:val="nil"/>
              <w:left w:val="nil"/>
              <w:bottom w:val="nil"/>
              <w:right w:val="nil"/>
            </w:tcBorders>
            <w:shd w:val="clear" w:color="auto" w:fill="auto"/>
          </w:tcPr>
          <w:p>
            <w:pPr>
              <w:pStyle w:val="82"/>
            </w:pPr>
            <w:r>
              <mc:AlternateContent>
                <mc:Choice Requires="wps">
                  <w:drawing>
                    <wp:anchor distT="0" distB="0" distL="114300" distR="114300" simplePos="0" relativeHeight="251646976" behindDoc="1" locked="1" layoutInCell="1" allowOverlap="1">
                      <wp:simplePos x="0" y="0"/>
                      <wp:positionH relativeFrom="column">
                        <wp:posOffset>2200910</wp:posOffset>
                      </wp:positionH>
                      <wp:positionV relativeFrom="paragraph">
                        <wp:posOffset>573405</wp:posOffset>
                      </wp:positionV>
                      <wp:extent cx="1562100" cy="208280"/>
                      <wp:effectExtent l="0" t="0" r="0" b="1270"/>
                      <wp:wrapNone/>
                      <wp:docPr id="70" name="RQ"/>
                      <wp:cNvGraphicFramePr/>
                      <a:graphic xmlns:a="http://schemas.openxmlformats.org/drawingml/2006/main">
                        <a:graphicData uri="http://schemas.microsoft.com/office/word/2010/wordprocessingShape">
                          <wps:wsp>
                            <wps:cNvSpPr>
                              <a:spLocks noChangeArrowheads="true"/>
                            </wps:cNvSpPr>
                            <wps:spPr bwMode="auto">
                              <a:xfrm>
                                <a:off x="0" y="0"/>
                                <a:ext cx="1562100" cy="208280"/>
                              </a:xfrm>
                              <a:prstGeom prst="rect">
                                <a:avLst/>
                              </a:prstGeom>
                              <a:solidFill>
                                <a:srgbClr val="FFFFFF"/>
                              </a:solidFill>
                              <a:ln>
                                <a:noFill/>
                              </a:ln>
                            </wps:spPr>
                            <wps:bodyPr rot="0" vert="horz" wrap="square" lIns="91440" tIns="45720" rIns="91440" bIns="45720" anchor="t" anchorCtr="false" upright="true">
                              <a:noAutofit/>
                            </wps:bodyPr>
                          </wps:wsp>
                        </a:graphicData>
                      </a:graphic>
                    </wp:anchor>
                  </w:drawing>
                </mc:Choice>
                <mc:Fallback>
                  <w:pict>
                    <v:rect id="RQ" o:spid="_x0000_s1026" o:spt="1" style="position:absolute;left:0pt;margin-left:173.3pt;margin-top:45.15pt;height:16.4pt;width:123pt;z-index:-251669504;mso-width-relative:page;mso-height-relative:page;" fillcolor="#FFFFFF" filled="t" stroked="f" coordsize="21600,21600" o:gfxdata="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Ara7pn1wAAAAoBAAAPAAAAAAAAAAEAIAAA&#10;ADgAAABkcnMvZG93bnJldi54bWxQSwECFAAUAAAACACHTuJAk1qoePcBAADdAwAADgAAAAAAAAAB&#10;ACAAAAA8AQAAZHJzL2Uyb0RvYy54bWxQSwUGAAAAAAYABgBZAQAApQUAAAAA&#10;">
                      <v:fill on="t" focussize="0,0"/>
                      <v:stroke on="f"/>
                      <v:imagedata o:title=""/>
                      <o:lock v:ext="edit" aspectratio="f"/>
                      <w10:anchorlock/>
                    </v:rect>
                  </w:pict>
                </mc:Fallback>
              </mc:AlternateContent>
            </w:r>
            <w:r>
              <mc:AlternateContent>
                <mc:Choice Requires="wps">
                  <w:drawing>
                    <wp:anchor distT="0" distB="0" distL="114300" distR="114300" simplePos="0" relativeHeight="251645952" behindDoc="1" locked="0" layoutInCell="1" allowOverlap="1">
                      <wp:simplePos x="0" y="0"/>
                      <wp:positionH relativeFrom="column">
                        <wp:posOffset>2454910</wp:posOffset>
                      </wp:positionH>
                      <wp:positionV relativeFrom="paragraph">
                        <wp:posOffset>255905</wp:posOffset>
                      </wp:positionV>
                      <wp:extent cx="1041400" cy="249555"/>
                      <wp:effectExtent l="0" t="0" r="6350" b="0"/>
                      <wp:wrapNone/>
                      <wp:docPr id="69" name="LB"/>
                      <wp:cNvGraphicFramePr/>
                      <a:graphic xmlns:a="http://schemas.openxmlformats.org/drawingml/2006/main">
                        <a:graphicData uri="http://schemas.microsoft.com/office/word/2010/wordprocessingShape">
                          <wps:wsp>
                            <wps:cNvSpPr>
                              <a:spLocks noChangeArrowheads="true"/>
                            </wps:cNvSpPr>
                            <wps:spPr bwMode="auto">
                              <a:xfrm>
                                <a:off x="0" y="0"/>
                                <a:ext cx="1041400" cy="249555"/>
                              </a:xfrm>
                              <a:prstGeom prst="rect">
                                <a:avLst/>
                              </a:prstGeom>
                              <a:solidFill>
                                <a:srgbClr val="FFFFFF"/>
                              </a:solidFill>
                              <a:ln>
                                <a:noFill/>
                              </a:ln>
                            </wps:spPr>
                            <wps:bodyPr rot="0" vert="horz" wrap="square" lIns="91440" tIns="45720" rIns="91440" bIns="45720" anchor="t" anchorCtr="false" upright="true">
                              <a:noAutofit/>
                            </wps:bodyPr>
                          </wps:wsp>
                        </a:graphicData>
                      </a:graphic>
                    </wp:anchor>
                  </w:drawing>
                </mc:Choice>
                <mc:Fallback>
                  <w:pict>
                    <v:rect id="LB" o:spid="_x0000_s1026" o:spt="1" style="position:absolute;left:0pt;margin-left:193.3pt;margin-top:20.15pt;height:19.65pt;width:82pt;z-index:-251670528;mso-width-relative:page;mso-height-relative:page;" fillcolor="#FFFFFF" filled="t" stroked="f" coordsize="21600,21600" o:gfxdata="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Mioem3XAAAACQEAAA8AAAAAAAAAAQAgAAAA&#10;OAAAAGRycy9kb3ducmV2LnhtbFBLAQIUABQAAAAIAIdO4kAJ5yrN9gEAAN0DAAAOAAAAAAAAAAEA&#10;IAAAADwBAABkcnMvZTJvRG9jLnhtbFBLBQYAAAAABgAGAFkBAACkBQAAAAA=&#10;">
                      <v:fill on="t" focussize="0,0"/>
                      <v:stroke on="f"/>
                      <v:imagedata o:title=""/>
                      <o:lock v:ext="edit" aspectratio="f"/>
                    </v:rect>
                  </w:pict>
                </mc:Fallback>
              </mc:AlternateConten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39" w:type="dxa"/>
            <w:tcBorders>
              <w:top w:val="nil"/>
              <w:left w:val="nil"/>
              <w:bottom w:val="nil"/>
              <w:right w:val="nil"/>
            </w:tcBorders>
            <w:shd w:val="clear" w:color="auto" w:fill="auto"/>
          </w:tcPr>
          <w:p>
            <w:pPr>
              <w:pStyle w:val="83"/>
            </w:pPr>
            <w:bookmarkStart w:id="17" w:name="_GoBack"/>
            <w:bookmarkEnd w:id="17"/>
          </w:p>
        </w:tc>
      </w:tr>
    </w:tbl>
    <w:p>
      <w:pPr>
        <w:pStyle w:val="132"/>
        <w:framePr w:hAnchor="page" w:x="1396" w:y="14191"/>
      </w:pPr>
      <w:r>
        <w:rPr>
          <w:rFonts w:hint="eastAsia" w:ascii="黑体"/>
        </w:rPr>
        <w:t>2022</w:t>
      </w:r>
      <w:r>
        <w:rPr>
          <w:rFonts w:ascii="黑体"/>
        </w:rPr>
        <w:t xml:space="preserve"> -</w:t>
      </w:r>
      <w:r>
        <w:t xml:space="preserve"> </w:t>
      </w:r>
      <w:r>
        <w:rPr>
          <w:rFonts w:ascii="黑体"/>
        </w:rPr>
        <w:t>10 -</w:t>
      </w:r>
      <w:r>
        <w:t xml:space="preserve"> </w:t>
      </w:r>
      <w:r>
        <w:rPr>
          <w:rFonts w:ascii="黑体"/>
        </w:rPr>
        <w:t>31</w:t>
      </w:r>
      <w:r>
        <w:rPr>
          <w:rFonts w:hint="eastAsia"/>
        </w:rPr>
        <w:t>发布</w:t>
      </w:r>
    </w:p>
    <w:p>
      <w:pPr>
        <w:pStyle w:val="133"/>
        <w:framePr w:hAnchor="page" w:x="7066" w:y="14116"/>
      </w:pPr>
      <w:r>
        <w:rPr>
          <w:rFonts w:hint="eastAsia" w:ascii="黑体"/>
        </w:rPr>
        <w:t>202</w:t>
      </w:r>
      <w:r>
        <w:rPr>
          <w:rFonts w:ascii="黑体"/>
        </w:rPr>
        <w:t>2</w:t>
      </w:r>
      <w:r>
        <w:t xml:space="preserve"> </w:t>
      </w:r>
      <w:r>
        <w:rPr>
          <w:rFonts w:ascii="黑体"/>
        </w:rPr>
        <w:t>- 11</w:t>
      </w:r>
      <w:r>
        <w:t xml:space="preserve"> </w:t>
      </w:r>
      <w:r>
        <w:rPr>
          <w:rFonts w:ascii="黑体"/>
        </w:rPr>
        <w:t>-</w:t>
      </w:r>
      <w:r>
        <w:t xml:space="preserve"> </w:t>
      </w:r>
      <w:r>
        <w:rPr>
          <w:rFonts w:ascii="黑体"/>
        </w:rPr>
        <w:t>0</w:t>
      </w:r>
      <w:r>
        <w:rPr>
          <w:rFonts w:hint="eastAsia" w:ascii="黑体"/>
        </w:rPr>
        <w:t>1</w:t>
      </w:r>
      <w:r>
        <w:rPr>
          <w:rFonts w:hint="eastAsia"/>
        </w:rPr>
        <w:t>实施</w:t>
      </w:r>
    </w:p>
    <w:p>
      <w:pPr>
        <w:pStyle w:val="112"/>
      </w:pPr>
      <w:r>
        <w:rPr>
          <w:rFonts w:hint="eastAsia"/>
        </w:rPr>
        <w:t>邢台市机关后勤服务中心</w:t>
      </w:r>
      <w:r>
        <w:rPr>
          <w:rFonts w:hAnsi="黑体"/>
        </w:rPr>
        <w:t> </w:t>
      </w:r>
      <w:r>
        <w:rPr>
          <w:rStyle w:val="74"/>
          <w:rFonts w:hint="eastAsia"/>
        </w:rPr>
        <w:t>发布</w:t>
      </w:r>
    </w:p>
    <w:p>
      <w:pPr>
        <w:pStyle w:val="25"/>
        <w:sectPr>
          <w:footerReference r:id="rId3" w:type="default"/>
          <w:pgSz w:w="11906" w:h="16838"/>
          <w:pgMar w:top="567" w:right="850" w:bottom="1134" w:left="1418" w:header="0" w:footer="0" w:gutter="0"/>
          <w:pgNumType w:start="70"/>
          <w:cols w:space="425" w:num="1"/>
          <w:docGrid w:type="lines" w:linePitch="312" w:charSpace="0"/>
        </w:sectPr>
      </w:pPr>
      <w:r>
        <mc:AlternateContent>
          <mc:Choice Requires="wps">
            <w:drawing>
              <wp:anchor distT="0" distB="0" distL="114300" distR="114300" simplePos="0" relativeHeight="251659264" behindDoc="0" locked="0" layoutInCell="1" allowOverlap="1">
                <wp:simplePos x="0" y="0"/>
                <wp:positionH relativeFrom="column">
                  <wp:posOffset>-1270</wp:posOffset>
                </wp:positionH>
                <wp:positionV relativeFrom="paragraph">
                  <wp:posOffset>9046210</wp:posOffset>
                </wp:positionV>
                <wp:extent cx="6062980" cy="0"/>
                <wp:effectExtent l="0" t="0" r="33020" b="19050"/>
                <wp:wrapNone/>
                <wp:docPr id="42" name="Line 11"/>
                <wp:cNvGraphicFramePr/>
                <a:graphic xmlns:a="http://schemas.openxmlformats.org/drawingml/2006/main">
                  <a:graphicData uri="http://schemas.microsoft.com/office/word/2010/wordprocessingShape">
                    <wps:wsp>
                      <wps:cNvCnPr>
                        <a:cxnSpLocks noChangeShapeType="true"/>
                      </wps:cNvCnPr>
                      <wps:spPr bwMode="auto">
                        <a:xfrm>
                          <a:off x="0" y="0"/>
                          <a:ext cx="6062980" cy="0"/>
                        </a:xfrm>
                        <a:prstGeom prst="line">
                          <a:avLst/>
                        </a:prstGeom>
                        <a:noFill/>
                        <a:ln w="9525">
                          <a:solidFill>
                            <a:srgbClr val="000000"/>
                          </a:solidFill>
                          <a:round/>
                        </a:ln>
                      </wps:spPr>
                      <wps:bodyPr/>
                    </wps:wsp>
                  </a:graphicData>
                </a:graphic>
              </wp:anchor>
            </w:drawing>
          </mc:Choice>
          <mc:Fallback>
            <w:pict>
              <v:line id="Line 11" o:spid="_x0000_s1026" o:spt="20" style="position:absolute;left:0pt;margin-left:-0.1pt;margin-top:712.3pt;height:0pt;width:477.4pt;z-index:251659264;mso-width-relative:page;mso-height-relative:page;" filled="f" stroked="t" coordsize="21600,21600" o:gfxdata="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BYAAABk&#10;cnMvUEsBAhQAFAAAAAgAh07iQM3UUFbWAAAACwEAAA8AAAAAAAAAAQAgAAAAOAAAAGRycy9kb3du&#10;cmV2LnhtbFBLAQIUABQAAAAIAIdO4kD646/esgEAAFYDAAAOAAAAAAAAAAEAIAAAADsBAABkcnMv&#10;ZTJvRG9jLnhtbFBLBQYAAAAABgAGAFkBAABf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42880" behindDoc="0" locked="0" layoutInCell="1" allowOverlap="1">
                <wp:simplePos x="0" y="0"/>
                <wp:positionH relativeFrom="column">
                  <wp:posOffset>-635</wp:posOffset>
                </wp:positionH>
                <wp:positionV relativeFrom="paragraph">
                  <wp:posOffset>2339340</wp:posOffset>
                </wp:positionV>
                <wp:extent cx="6062980" cy="0"/>
                <wp:effectExtent l="0" t="0" r="33020" b="19050"/>
                <wp:wrapNone/>
                <wp:docPr id="67" name="Line 11"/>
                <wp:cNvGraphicFramePr/>
                <a:graphic xmlns:a="http://schemas.openxmlformats.org/drawingml/2006/main">
                  <a:graphicData uri="http://schemas.microsoft.com/office/word/2010/wordprocessingShape">
                    <wps:wsp>
                      <wps:cNvCnPr>
                        <a:cxnSpLocks noChangeShapeType="true"/>
                      </wps:cNvCnPr>
                      <wps:spPr bwMode="auto">
                        <a:xfrm>
                          <a:off x="0" y="0"/>
                          <a:ext cx="6062980" cy="0"/>
                        </a:xfrm>
                        <a:prstGeom prst="line">
                          <a:avLst/>
                        </a:prstGeom>
                        <a:noFill/>
                        <a:ln w="9525">
                          <a:solidFill>
                            <a:srgbClr val="000000"/>
                          </a:solidFill>
                          <a:round/>
                        </a:ln>
                      </wps:spPr>
                      <wps:bodyPr/>
                    </wps:wsp>
                  </a:graphicData>
                </a:graphic>
              </wp:anchor>
            </w:drawing>
          </mc:Choice>
          <mc:Fallback>
            <w:pict>
              <v:line id="Line 11" o:spid="_x0000_s1026" o:spt="20" style="position:absolute;left:0pt;margin-left:-0.05pt;margin-top:184.2pt;height:0pt;width:477.4pt;z-index:251642880;mso-width-relative:page;mso-height-relative:page;" filled="f" stroked="t" coordsize="21600,21600" o:gfxdata="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WAAAA&#10;ZHJzL1BLAQIUABQAAAAIAIdO4kCg+je+1wAAAAkBAAAPAAAAAAAAAAEAIAAAADgAAABkcnMvZG93&#10;bnJldi54bWxQSwECFAAUAAAACACHTuJAww02KbIBAABWAwAADgAAAAAAAAABACAAAAA8AQAAZHJz&#10;L2Uyb0RvYy54bWxQSwUGAAAAAAYABgBZAQAAYAUAAAAA&#10;">
                <v:fill on="f" focussize="0,0"/>
                <v:stroke color="#000000" joinstyle="round"/>
                <v:imagedata o:title=""/>
                <o:lock v:ext="edit" aspectratio="f"/>
              </v:line>
            </w:pict>
          </mc:Fallback>
        </mc:AlternateContent>
      </w:r>
    </w:p>
    <w:p>
      <w:pPr>
        <w:pStyle w:val="113"/>
      </w:pPr>
      <w:bookmarkStart w:id="2" w:name="_Toc475694823"/>
      <w:bookmarkStart w:id="3" w:name="_Toc118664127"/>
      <w:bookmarkStart w:id="4" w:name="_Toc49518022"/>
      <w:r>
        <w:rPr>
          <w:rFonts w:hint="eastAsia"/>
        </w:rPr>
        <w:t>前</w:t>
      </w:r>
      <w:bookmarkStart w:id="5" w:name="BKQY"/>
      <w:r>
        <w:rPr>
          <w:rFonts w:hAnsi="黑体"/>
        </w:rPr>
        <w:t>  </w:t>
      </w:r>
      <w:r>
        <w:rPr>
          <w:rFonts w:hint="eastAsia"/>
        </w:rPr>
        <w:t>言</w:t>
      </w:r>
      <w:bookmarkEnd w:id="2"/>
      <w:bookmarkEnd w:id="3"/>
      <w:bookmarkEnd w:id="4"/>
      <w:bookmarkEnd w:id="5"/>
    </w:p>
    <w:p>
      <w:pPr>
        <w:ind w:firstLine="420" w:firstLineChars="200"/>
        <w:rPr>
          <w:rFonts w:asciiTheme="minorEastAsia" w:hAnsiTheme="minorEastAsia" w:eastAsiaTheme="minorEastAsia"/>
          <w:szCs w:val="28"/>
        </w:rPr>
      </w:pPr>
      <w:r>
        <w:rPr>
          <w:rFonts w:hint="eastAsia" w:asciiTheme="minorEastAsia" w:hAnsiTheme="minorEastAsia" w:eastAsiaTheme="minorEastAsia"/>
          <w:szCs w:val="28"/>
        </w:rPr>
        <w:t>本文件参照GB/T 1.1—20</w:t>
      </w:r>
      <w:r>
        <w:rPr>
          <w:rFonts w:asciiTheme="minorEastAsia" w:hAnsiTheme="minorEastAsia" w:eastAsiaTheme="minorEastAsia"/>
          <w:szCs w:val="28"/>
        </w:rPr>
        <w:t>20</w:t>
      </w:r>
      <w:r>
        <w:rPr>
          <w:rFonts w:hint="eastAsia" w:asciiTheme="minorEastAsia" w:hAnsiTheme="minorEastAsia" w:eastAsiaTheme="minorEastAsia"/>
          <w:szCs w:val="28"/>
        </w:rPr>
        <w:t>《标准化工作导则 第1部分：标准化文件的结构和起草规则》的规定起草。</w:t>
      </w:r>
    </w:p>
    <w:p>
      <w:pPr>
        <w:pStyle w:val="25"/>
        <w:rPr>
          <w:rFonts w:cs="仿宋_GB2312" w:asciiTheme="minorEastAsia" w:hAnsiTheme="minorEastAsia" w:eastAsiaTheme="minorEastAsia"/>
          <w:szCs w:val="32"/>
        </w:rPr>
      </w:pPr>
      <w:r>
        <w:rPr>
          <w:rFonts w:hint="eastAsia" w:cs="仿宋_GB2312" w:asciiTheme="minorEastAsia" w:hAnsiTheme="minorEastAsia" w:eastAsiaTheme="minorEastAsia"/>
          <w:szCs w:val="32"/>
        </w:rPr>
        <w:t>本文件归口部门：</w:t>
      </w:r>
      <w:r>
        <w:rPr>
          <w:rFonts w:hint="eastAsia" w:cs="仿宋_GB2312" w:asciiTheme="minorEastAsia" w:hAnsiTheme="minorEastAsia" w:eastAsiaTheme="minorEastAsia"/>
          <w:szCs w:val="32"/>
          <w:u w:val="single"/>
        </w:rPr>
        <w:t xml:space="preserve"> </w:t>
      </w:r>
      <w:r>
        <w:rPr>
          <w:rFonts w:cs="仿宋_GB2312" w:asciiTheme="minorEastAsia" w:hAnsiTheme="minorEastAsia" w:eastAsiaTheme="minorEastAsia"/>
          <w:szCs w:val="32"/>
          <w:u w:val="single"/>
        </w:rPr>
        <w:t xml:space="preserve">  </w:t>
      </w:r>
      <w:r>
        <w:rPr>
          <w:rFonts w:hint="eastAsia" w:cs="仿宋_GB2312" w:asciiTheme="minorEastAsia" w:hAnsiTheme="minorEastAsia" w:eastAsiaTheme="minorEastAsia"/>
          <w:szCs w:val="32"/>
          <w:u w:val="single"/>
        </w:rPr>
        <w:t xml:space="preserve">财务资产科   </w:t>
      </w:r>
      <w:r>
        <w:rPr>
          <w:rFonts w:hint="eastAsia" w:cs="仿宋_GB2312" w:asciiTheme="minorEastAsia" w:hAnsiTheme="minorEastAsia" w:eastAsiaTheme="minorEastAsia"/>
          <w:szCs w:val="32"/>
        </w:rPr>
        <w:t>。</w:t>
      </w:r>
    </w:p>
    <w:p>
      <w:pPr>
        <w:pStyle w:val="25"/>
        <w:rPr>
          <w:rFonts w:cs="仿宋_GB2312" w:asciiTheme="minorEastAsia" w:hAnsiTheme="minorEastAsia" w:eastAsiaTheme="minorEastAsia"/>
          <w:szCs w:val="32"/>
        </w:rPr>
      </w:pPr>
      <w:r>
        <w:rPr>
          <w:rFonts w:hint="eastAsia" w:cs="仿宋_GB2312" w:asciiTheme="minorEastAsia" w:hAnsiTheme="minorEastAsia" w:eastAsiaTheme="minorEastAsia"/>
          <w:szCs w:val="32"/>
        </w:rPr>
        <w:t>本文件起草部门：</w:t>
      </w:r>
      <w:r>
        <w:rPr>
          <w:rFonts w:hint="eastAsia" w:cs="仿宋_GB2312" w:asciiTheme="minorEastAsia" w:hAnsiTheme="minorEastAsia" w:eastAsiaTheme="minorEastAsia"/>
          <w:szCs w:val="32"/>
          <w:u w:val="single"/>
        </w:rPr>
        <w:t xml:space="preserve"> </w:t>
      </w:r>
      <w:r>
        <w:rPr>
          <w:rFonts w:cs="仿宋_GB2312" w:asciiTheme="minorEastAsia" w:hAnsiTheme="minorEastAsia" w:eastAsiaTheme="minorEastAsia"/>
          <w:szCs w:val="32"/>
          <w:u w:val="single"/>
        </w:rPr>
        <w:t xml:space="preserve">  </w:t>
      </w:r>
      <w:r>
        <w:rPr>
          <w:rFonts w:hint="eastAsia" w:cs="仿宋_GB2312" w:asciiTheme="minorEastAsia" w:hAnsiTheme="minorEastAsia" w:eastAsiaTheme="minorEastAsia"/>
          <w:szCs w:val="32"/>
          <w:u w:val="single"/>
        </w:rPr>
        <w:t xml:space="preserve">财务资产科   </w:t>
      </w:r>
      <w:r>
        <w:rPr>
          <w:rFonts w:hint="eastAsia" w:cs="仿宋_GB2312" w:asciiTheme="minorEastAsia" w:hAnsiTheme="minorEastAsia" w:eastAsiaTheme="minorEastAsia"/>
          <w:szCs w:val="32"/>
        </w:rPr>
        <w:t>。</w:t>
      </w:r>
    </w:p>
    <w:p>
      <w:pPr>
        <w:pStyle w:val="25"/>
        <w:rPr>
          <w:rFonts w:cs="仿宋_GB2312" w:asciiTheme="minorEastAsia" w:hAnsiTheme="minorEastAsia" w:eastAsiaTheme="minorEastAsia"/>
          <w:szCs w:val="32"/>
        </w:rPr>
      </w:pPr>
      <w:r>
        <w:rPr>
          <w:rFonts w:hint="eastAsia" w:cs="仿宋_GB2312" w:asciiTheme="minorEastAsia" w:hAnsiTheme="minorEastAsia" w:eastAsiaTheme="minorEastAsia"/>
          <w:szCs w:val="32"/>
        </w:rPr>
        <w:t>本文件主要起草人：</w:t>
      </w:r>
      <w:r>
        <w:rPr>
          <w:rFonts w:hint="eastAsia" w:cs="仿宋_GB2312" w:asciiTheme="minorEastAsia" w:hAnsiTheme="minorEastAsia" w:eastAsiaTheme="minorEastAsia"/>
          <w:szCs w:val="32"/>
          <w:u w:val="single"/>
        </w:rPr>
        <w:t xml:space="preserve">    </w:t>
      </w:r>
      <w:r>
        <w:rPr>
          <w:rFonts w:hint="eastAsia" w:cs="仿宋_GB2312" w:asciiTheme="minorEastAsia" w:hAnsiTheme="minorEastAsia" w:eastAsiaTheme="minorEastAsia"/>
          <w:szCs w:val="32"/>
          <w:u w:val="single"/>
          <w:lang w:eastAsia="zh-CN"/>
        </w:rPr>
        <w:t>张根国、、董艳云、张艳</w:t>
      </w:r>
      <w:r>
        <w:rPr>
          <w:rFonts w:cs="仿宋_GB2312" w:asciiTheme="minorEastAsia" w:hAnsiTheme="minorEastAsia" w:eastAsiaTheme="minorEastAsia"/>
          <w:szCs w:val="32"/>
          <w:u w:val="single"/>
        </w:rPr>
        <w:t xml:space="preserve">  </w:t>
      </w:r>
      <w:r>
        <w:rPr>
          <w:rFonts w:hint="eastAsia" w:cs="仿宋_GB2312" w:asciiTheme="minorEastAsia" w:hAnsiTheme="minorEastAsia" w:eastAsiaTheme="minorEastAsia"/>
          <w:szCs w:val="32"/>
          <w:u w:val="single"/>
        </w:rPr>
        <w:t xml:space="preserve">   </w:t>
      </w:r>
      <w:r>
        <w:rPr>
          <w:rFonts w:hint="eastAsia" w:cs="仿宋_GB2312" w:asciiTheme="minorEastAsia" w:hAnsiTheme="minorEastAsia" w:eastAsiaTheme="minorEastAsia"/>
          <w:szCs w:val="32"/>
        </w:rPr>
        <w:t>，日期：</w:t>
      </w:r>
      <w:r>
        <w:rPr>
          <w:rFonts w:hint="eastAsia" w:cs="仿宋_GB2312" w:asciiTheme="minorEastAsia" w:hAnsiTheme="minorEastAsia" w:eastAsiaTheme="minorEastAsia"/>
          <w:szCs w:val="32"/>
          <w:u w:val="single"/>
        </w:rPr>
        <w:t xml:space="preserve"> </w:t>
      </w:r>
      <w:r>
        <w:rPr>
          <w:rFonts w:cs="仿宋_GB2312" w:asciiTheme="minorEastAsia" w:hAnsiTheme="minorEastAsia" w:eastAsiaTheme="minorEastAsia"/>
          <w:szCs w:val="32"/>
          <w:u w:val="single"/>
        </w:rPr>
        <w:t xml:space="preserve"> </w:t>
      </w:r>
      <w:r>
        <w:rPr>
          <w:rFonts w:hint="eastAsia" w:cs="仿宋_GB2312" w:asciiTheme="minorEastAsia" w:hAnsiTheme="minorEastAsia" w:eastAsiaTheme="minorEastAsia"/>
          <w:szCs w:val="32"/>
          <w:u w:val="single"/>
          <w:lang w:val="en-US" w:eastAsia="zh-CN"/>
        </w:rPr>
        <w:t xml:space="preserve">2022 </w:t>
      </w:r>
      <w:r>
        <w:rPr>
          <w:rFonts w:hint="eastAsia" w:cs="仿宋_GB2312" w:asciiTheme="minorEastAsia" w:hAnsiTheme="minorEastAsia" w:eastAsiaTheme="minorEastAsia"/>
          <w:szCs w:val="32"/>
          <w:u w:val="single"/>
        </w:rPr>
        <w:t>年</w:t>
      </w:r>
      <w:r>
        <w:rPr>
          <w:rFonts w:hint="eastAsia" w:cs="仿宋_GB2312" w:asciiTheme="minorEastAsia" w:hAnsiTheme="minorEastAsia" w:eastAsiaTheme="minorEastAsia"/>
          <w:szCs w:val="32"/>
          <w:u w:val="single"/>
          <w:lang w:val="en-US" w:eastAsia="zh-CN"/>
        </w:rPr>
        <w:t xml:space="preserve"> 8</w:t>
      </w:r>
      <w:r>
        <w:rPr>
          <w:rFonts w:hint="eastAsia" w:cs="仿宋_GB2312" w:asciiTheme="minorEastAsia" w:hAnsiTheme="minorEastAsia" w:eastAsiaTheme="minorEastAsia"/>
          <w:szCs w:val="32"/>
          <w:u w:val="single"/>
        </w:rPr>
        <w:t>月</w:t>
      </w:r>
      <w:r>
        <w:rPr>
          <w:rFonts w:hint="eastAsia" w:cs="仿宋_GB2312" w:asciiTheme="minorEastAsia" w:hAnsiTheme="minorEastAsia" w:eastAsiaTheme="minorEastAsia"/>
          <w:szCs w:val="32"/>
          <w:u w:val="single"/>
          <w:lang w:val="en-US" w:eastAsia="zh-CN"/>
        </w:rPr>
        <w:t xml:space="preserve"> 1</w:t>
      </w:r>
      <w:r>
        <w:rPr>
          <w:rFonts w:hint="eastAsia" w:cs="仿宋_GB2312" w:asciiTheme="minorEastAsia" w:hAnsiTheme="minorEastAsia" w:eastAsiaTheme="minorEastAsia"/>
          <w:szCs w:val="32"/>
          <w:u w:val="single"/>
        </w:rPr>
        <w:t xml:space="preserve">日 </w:t>
      </w:r>
      <w:r>
        <w:rPr>
          <w:rFonts w:hint="eastAsia" w:cs="仿宋_GB2312" w:asciiTheme="minorEastAsia" w:hAnsiTheme="minorEastAsia" w:eastAsiaTheme="minorEastAsia"/>
          <w:szCs w:val="32"/>
        </w:rPr>
        <w:t>。</w:t>
      </w:r>
    </w:p>
    <w:p>
      <w:pPr>
        <w:pStyle w:val="25"/>
        <w:rPr>
          <w:rFonts w:cs="仿宋_GB2312" w:asciiTheme="minorEastAsia" w:hAnsiTheme="minorEastAsia" w:eastAsiaTheme="minorEastAsia"/>
          <w:szCs w:val="32"/>
        </w:rPr>
      </w:pPr>
      <w:r>
        <w:rPr>
          <w:rFonts w:hint="eastAsia" w:cs="仿宋_GB2312" w:asciiTheme="minorEastAsia" w:hAnsiTheme="minorEastAsia" w:eastAsiaTheme="minorEastAsia"/>
          <w:szCs w:val="32"/>
        </w:rPr>
        <w:t>本文件主要审核人：</w:t>
      </w:r>
      <w:r>
        <w:rPr>
          <w:rFonts w:hint="eastAsia" w:cs="仿宋_GB2312" w:asciiTheme="minorEastAsia" w:hAnsiTheme="minorEastAsia" w:eastAsiaTheme="minorEastAsia"/>
          <w:szCs w:val="32"/>
          <w:u w:val="single"/>
        </w:rPr>
        <w:t xml:space="preserve">      </w:t>
      </w:r>
      <w:r>
        <w:rPr>
          <w:rFonts w:hint="eastAsia" w:cs="仿宋_GB2312" w:asciiTheme="minorEastAsia" w:hAnsiTheme="minorEastAsia" w:eastAsiaTheme="minorEastAsia"/>
          <w:szCs w:val="32"/>
          <w:u w:val="single"/>
          <w:lang w:eastAsia="zh-CN"/>
        </w:rPr>
        <w:t>张长青</w:t>
      </w:r>
      <w:r>
        <w:rPr>
          <w:rFonts w:hint="eastAsia" w:cs="仿宋_GB2312" w:asciiTheme="minorEastAsia" w:hAnsiTheme="minorEastAsia" w:eastAsiaTheme="minorEastAsia"/>
          <w:szCs w:val="32"/>
          <w:u w:val="single"/>
        </w:rPr>
        <w:t xml:space="preserve">        </w:t>
      </w:r>
      <w:r>
        <w:rPr>
          <w:rFonts w:hint="eastAsia" w:cs="仿宋_GB2312" w:asciiTheme="minorEastAsia" w:hAnsiTheme="minorEastAsia" w:eastAsiaTheme="minorEastAsia"/>
          <w:szCs w:val="32"/>
        </w:rPr>
        <w:t>，日期：</w:t>
      </w:r>
      <w:r>
        <w:rPr>
          <w:rFonts w:hint="eastAsia" w:cs="仿宋_GB2312" w:asciiTheme="minorEastAsia" w:hAnsiTheme="minorEastAsia" w:eastAsiaTheme="minorEastAsia"/>
          <w:szCs w:val="32"/>
          <w:u w:val="single"/>
        </w:rPr>
        <w:t xml:space="preserve">   </w:t>
      </w:r>
      <w:r>
        <w:rPr>
          <w:rFonts w:hint="eastAsia" w:cs="仿宋_GB2312" w:asciiTheme="minorEastAsia" w:hAnsiTheme="minorEastAsia" w:eastAsiaTheme="minorEastAsia"/>
          <w:szCs w:val="32"/>
          <w:u w:val="single"/>
          <w:lang w:val="en-US" w:eastAsia="zh-CN"/>
        </w:rPr>
        <w:t>2022</w:t>
      </w:r>
      <w:r>
        <w:rPr>
          <w:rFonts w:hint="eastAsia" w:cs="仿宋_GB2312" w:asciiTheme="minorEastAsia" w:hAnsiTheme="minorEastAsia" w:eastAsiaTheme="minorEastAsia"/>
          <w:szCs w:val="32"/>
          <w:u w:val="single"/>
        </w:rPr>
        <w:t>年</w:t>
      </w:r>
      <w:r>
        <w:rPr>
          <w:rFonts w:cs="仿宋_GB2312" w:asciiTheme="minorEastAsia" w:hAnsiTheme="minorEastAsia" w:eastAsiaTheme="minorEastAsia"/>
          <w:szCs w:val="32"/>
          <w:u w:val="single"/>
        </w:rPr>
        <w:t xml:space="preserve"> </w:t>
      </w:r>
      <w:r>
        <w:rPr>
          <w:rFonts w:hint="eastAsia" w:cs="仿宋_GB2312" w:asciiTheme="minorEastAsia" w:hAnsiTheme="minorEastAsia" w:eastAsiaTheme="minorEastAsia"/>
          <w:szCs w:val="32"/>
          <w:u w:val="single"/>
          <w:lang w:val="en-US" w:eastAsia="zh-CN"/>
        </w:rPr>
        <w:t>8</w:t>
      </w:r>
      <w:r>
        <w:rPr>
          <w:rFonts w:hint="eastAsia" w:cs="仿宋_GB2312" w:asciiTheme="minorEastAsia" w:hAnsiTheme="minorEastAsia" w:eastAsiaTheme="minorEastAsia"/>
          <w:szCs w:val="32"/>
          <w:u w:val="single"/>
        </w:rPr>
        <w:t>月</w:t>
      </w:r>
      <w:r>
        <w:rPr>
          <w:rFonts w:cs="仿宋_GB2312" w:asciiTheme="minorEastAsia" w:hAnsiTheme="minorEastAsia" w:eastAsiaTheme="minorEastAsia"/>
          <w:szCs w:val="32"/>
          <w:u w:val="single"/>
        </w:rPr>
        <w:t xml:space="preserve"> </w:t>
      </w:r>
      <w:r>
        <w:rPr>
          <w:rFonts w:hint="eastAsia" w:cs="仿宋_GB2312" w:asciiTheme="minorEastAsia" w:hAnsiTheme="minorEastAsia" w:eastAsiaTheme="minorEastAsia"/>
          <w:szCs w:val="32"/>
          <w:u w:val="single"/>
          <w:lang w:val="en-US" w:eastAsia="zh-CN"/>
        </w:rPr>
        <w:t>15</w:t>
      </w:r>
      <w:r>
        <w:rPr>
          <w:rFonts w:hint="eastAsia" w:cs="仿宋_GB2312" w:asciiTheme="minorEastAsia" w:hAnsiTheme="minorEastAsia" w:eastAsiaTheme="minorEastAsia"/>
          <w:szCs w:val="32"/>
          <w:u w:val="single"/>
        </w:rPr>
        <w:t xml:space="preserve">日 </w:t>
      </w:r>
      <w:r>
        <w:rPr>
          <w:rFonts w:hint="eastAsia" w:cs="仿宋_GB2312" w:asciiTheme="minorEastAsia" w:hAnsiTheme="minorEastAsia" w:eastAsiaTheme="minorEastAsia"/>
          <w:szCs w:val="32"/>
        </w:rPr>
        <w:t>。</w:t>
      </w:r>
    </w:p>
    <w:p>
      <w:pPr>
        <w:ind w:firstLine="420" w:firstLineChars="200"/>
        <w:rPr>
          <w:rFonts w:cs="仿宋_GB2312" w:asciiTheme="minorEastAsia" w:hAnsiTheme="minorEastAsia" w:eastAsiaTheme="minorEastAsia"/>
          <w:szCs w:val="32"/>
        </w:rPr>
      </w:pPr>
      <w:r>
        <w:rPr>
          <w:rFonts w:hint="eastAsia" w:cs="仿宋_GB2312" w:asciiTheme="minorEastAsia" w:hAnsiTheme="minorEastAsia" w:eastAsiaTheme="minorEastAsia"/>
          <w:szCs w:val="32"/>
        </w:rPr>
        <w:t>本文件批准人：</w:t>
      </w:r>
      <w:r>
        <w:rPr>
          <w:rFonts w:hint="eastAsia" w:cs="仿宋_GB2312" w:asciiTheme="minorEastAsia" w:hAnsiTheme="minorEastAsia" w:eastAsiaTheme="minorEastAsia"/>
          <w:szCs w:val="32"/>
          <w:u w:val="single"/>
        </w:rPr>
        <w:t xml:space="preserve">       </w:t>
      </w:r>
      <w:r>
        <w:rPr>
          <w:rFonts w:hint="eastAsia" w:cs="仿宋_GB2312" w:asciiTheme="minorEastAsia" w:hAnsiTheme="minorEastAsia" w:eastAsiaTheme="minorEastAsia"/>
          <w:szCs w:val="32"/>
          <w:u w:val="single"/>
          <w:lang w:eastAsia="zh-CN"/>
        </w:rPr>
        <w:t>陈德礼</w:t>
      </w:r>
      <w:r>
        <w:rPr>
          <w:rFonts w:hint="eastAsia" w:cs="仿宋_GB2312" w:asciiTheme="minorEastAsia" w:hAnsiTheme="minorEastAsia" w:eastAsiaTheme="minorEastAsia"/>
          <w:szCs w:val="32"/>
          <w:u w:val="single"/>
        </w:rPr>
        <w:t xml:space="preserve">       </w:t>
      </w:r>
      <w:r>
        <w:rPr>
          <w:rFonts w:hint="eastAsia" w:cs="仿宋_GB2312" w:asciiTheme="minorEastAsia" w:hAnsiTheme="minorEastAsia" w:eastAsiaTheme="minorEastAsia"/>
          <w:szCs w:val="32"/>
        </w:rPr>
        <w:t>，日期：</w:t>
      </w:r>
      <w:r>
        <w:rPr>
          <w:rFonts w:hint="eastAsia" w:cs="仿宋_GB2312" w:asciiTheme="minorEastAsia" w:hAnsiTheme="minorEastAsia" w:eastAsiaTheme="minorEastAsia"/>
          <w:szCs w:val="32"/>
          <w:u w:val="single"/>
        </w:rPr>
        <w:t xml:space="preserve">  </w:t>
      </w:r>
      <w:r>
        <w:rPr>
          <w:rFonts w:cs="仿宋_GB2312" w:asciiTheme="minorEastAsia" w:hAnsiTheme="minorEastAsia" w:eastAsiaTheme="minorEastAsia"/>
          <w:szCs w:val="32"/>
          <w:u w:val="single"/>
        </w:rPr>
        <w:t xml:space="preserve"> </w:t>
      </w:r>
      <w:r>
        <w:rPr>
          <w:rFonts w:hint="eastAsia" w:cs="仿宋_GB2312" w:asciiTheme="minorEastAsia" w:hAnsiTheme="minorEastAsia" w:eastAsiaTheme="minorEastAsia"/>
          <w:szCs w:val="32"/>
          <w:u w:val="single"/>
          <w:lang w:val="en-US" w:eastAsia="zh-CN"/>
        </w:rPr>
        <w:t>2022</w:t>
      </w:r>
      <w:r>
        <w:rPr>
          <w:rFonts w:cs="仿宋_GB2312" w:asciiTheme="minorEastAsia" w:hAnsiTheme="minorEastAsia" w:eastAsiaTheme="minorEastAsia"/>
          <w:szCs w:val="32"/>
          <w:u w:val="single"/>
        </w:rPr>
        <w:t xml:space="preserve"> </w:t>
      </w:r>
      <w:r>
        <w:rPr>
          <w:rFonts w:hint="eastAsia" w:cs="仿宋_GB2312" w:asciiTheme="minorEastAsia" w:hAnsiTheme="minorEastAsia" w:eastAsiaTheme="minorEastAsia"/>
          <w:szCs w:val="32"/>
          <w:u w:val="single"/>
        </w:rPr>
        <w:t>年</w:t>
      </w:r>
      <w:r>
        <w:rPr>
          <w:rFonts w:hint="eastAsia" w:cs="仿宋_GB2312" w:asciiTheme="minorEastAsia" w:hAnsiTheme="minorEastAsia" w:eastAsiaTheme="minorEastAsia"/>
          <w:szCs w:val="32"/>
          <w:u w:val="single"/>
          <w:lang w:val="en-US" w:eastAsia="zh-CN"/>
        </w:rPr>
        <w:t>8</w:t>
      </w:r>
      <w:r>
        <w:rPr>
          <w:rFonts w:hint="eastAsia" w:cs="仿宋_GB2312" w:asciiTheme="minorEastAsia" w:hAnsiTheme="minorEastAsia" w:eastAsiaTheme="minorEastAsia"/>
          <w:szCs w:val="32"/>
          <w:u w:val="single"/>
        </w:rPr>
        <w:t>月</w:t>
      </w:r>
      <w:r>
        <w:rPr>
          <w:rFonts w:cs="仿宋_GB2312" w:asciiTheme="minorEastAsia" w:hAnsiTheme="minorEastAsia" w:eastAsiaTheme="minorEastAsia"/>
          <w:szCs w:val="32"/>
          <w:u w:val="single"/>
        </w:rPr>
        <w:t xml:space="preserve"> </w:t>
      </w:r>
      <w:r>
        <w:rPr>
          <w:rFonts w:hint="eastAsia" w:cs="仿宋_GB2312" w:asciiTheme="minorEastAsia" w:hAnsiTheme="minorEastAsia" w:eastAsiaTheme="minorEastAsia"/>
          <w:szCs w:val="32"/>
          <w:u w:val="single"/>
          <w:lang w:val="en-US" w:eastAsia="zh-CN"/>
        </w:rPr>
        <w:t>31</w:t>
      </w:r>
      <w:r>
        <w:rPr>
          <w:rFonts w:hint="eastAsia" w:cs="仿宋_GB2312" w:asciiTheme="minorEastAsia" w:hAnsiTheme="minorEastAsia" w:eastAsiaTheme="minorEastAsia"/>
          <w:szCs w:val="32"/>
          <w:u w:val="single"/>
        </w:rPr>
        <w:t xml:space="preserve">日 </w:t>
      </w:r>
      <w:r>
        <w:rPr>
          <w:rFonts w:hint="eastAsia" w:cs="仿宋_GB2312" w:asciiTheme="minorEastAsia" w:hAnsiTheme="minorEastAsia" w:eastAsiaTheme="minorEastAsia"/>
          <w:szCs w:val="32"/>
        </w:rPr>
        <w:t>。</w:t>
      </w:r>
    </w:p>
    <w:p>
      <w:pPr>
        <w:ind w:firstLine="420" w:firstLineChars="200"/>
        <w:rPr>
          <w:rFonts w:ascii="仿宋_GB2312" w:hAnsi="仿宋_GB2312" w:cs="仿宋_GB2312"/>
          <w:szCs w:val="32"/>
        </w:rPr>
      </w:pPr>
    </w:p>
    <w:p>
      <w:pPr>
        <w:pStyle w:val="25"/>
        <w:rPr>
          <w:rFonts w:ascii="仿宋_GB2312" w:hAnsi="仿宋_GB2312" w:cs="仿宋_GB2312"/>
          <w:szCs w:val="32"/>
        </w:rPr>
      </w:pPr>
    </w:p>
    <w:p>
      <w:pPr>
        <w:pStyle w:val="25"/>
        <w:spacing w:before="156" w:beforeLines="50" w:after="156" w:afterLines="50"/>
        <w:rPr>
          <w:rFonts w:ascii="黑体" w:hAnsi="黑体" w:eastAsia="黑体" w:cs="黑体"/>
          <w:szCs w:val="32"/>
        </w:rPr>
      </w:pPr>
      <w:r>
        <w:rPr>
          <w:rFonts w:hint="eastAsia" w:ascii="黑体" w:hAnsi="黑体" w:eastAsia="黑体" w:cs="黑体"/>
          <w:szCs w:val="32"/>
        </w:rPr>
        <w:t>文件履历：</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1651"/>
        <w:gridCol w:w="1227"/>
        <w:gridCol w:w="5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tcPr>
          <w:p>
            <w:pPr>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版本号</w:t>
            </w:r>
          </w:p>
        </w:tc>
        <w:tc>
          <w:tcPr>
            <w:tcW w:w="1651" w:type="dxa"/>
          </w:tcPr>
          <w:p>
            <w:pPr>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日期</w:t>
            </w:r>
          </w:p>
        </w:tc>
        <w:tc>
          <w:tcPr>
            <w:tcW w:w="1227" w:type="dxa"/>
          </w:tcPr>
          <w:p>
            <w:pPr>
              <w:ind w:firstLine="1" w:firstLineChars="1"/>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创建/更改</w:t>
            </w:r>
          </w:p>
        </w:tc>
        <w:tc>
          <w:tcPr>
            <w:tcW w:w="5386" w:type="dxa"/>
          </w:tcPr>
          <w:p>
            <w:pPr>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修改内容简介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tcPr>
          <w:p>
            <w:pPr>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1.0</w:t>
            </w:r>
          </w:p>
        </w:tc>
        <w:tc>
          <w:tcPr>
            <w:tcW w:w="1651" w:type="dxa"/>
          </w:tcPr>
          <w:p>
            <w:pPr>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2020年8月31日</w:t>
            </w:r>
          </w:p>
        </w:tc>
        <w:tc>
          <w:tcPr>
            <w:tcW w:w="1227" w:type="dxa"/>
          </w:tcPr>
          <w:p>
            <w:pPr>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创建</w:t>
            </w:r>
          </w:p>
        </w:tc>
        <w:tc>
          <w:tcPr>
            <w:tcW w:w="5386" w:type="dxa"/>
          </w:tcPr>
          <w:p>
            <w:pPr>
              <w:ind w:firstLine="360" w:firstLineChars="200"/>
              <w:jc w:val="center"/>
              <w:rPr>
                <w:rFonts w:cs="仿宋_GB2312" w:asciiTheme="minorEastAsia" w:hAnsiTheme="minorEastAsia" w:eastAsiaTheme="minor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tcPr>
          <w:p>
            <w:pPr>
              <w:ind w:firstLine="360" w:firstLineChars="200"/>
              <w:jc w:val="center"/>
              <w:rPr>
                <w:rFonts w:cs="仿宋_GB2312" w:asciiTheme="minorEastAsia" w:hAnsiTheme="minorEastAsia" w:eastAsiaTheme="minorEastAsia"/>
                <w:kern w:val="0"/>
                <w:sz w:val="18"/>
                <w:szCs w:val="18"/>
              </w:rPr>
            </w:pPr>
          </w:p>
        </w:tc>
        <w:tc>
          <w:tcPr>
            <w:tcW w:w="1651" w:type="dxa"/>
          </w:tcPr>
          <w:p>
            <w:pPr>
              <w:ind w:firstLine="360" w:firstLineChars="200"/>
              <w:jc w:val="center"/>
              <w:rPr>
                <w:rFonts w:cs="仿宋_GB2312" w:asciiTheme="minorEastAsia" w:hAnsiTheme="minorEastAsia" w:eastAsiaTheme="minorEastAsia"/>
                <w:kern w:val="0"/>
                <w:sz w:val="18"/>
                <w:szCs w:val="18"/>
              </w:rPr>
            </w:pPr>
          </w:p>
        </w:tc>
        <w:tc>
          <w:tcPr>
            <w:tcW w:w="1227" w:type="dxa"/>
          </w:tcPr>
          <w:p>
            <w:pPr>
              <w:ind w:firstLine="360" w:firstLineChars="200"/>
              <w:jc w:val="center"/>
              <w:rPr>
                <w:rFonts w:cs="仿宋_GB2312" w:asciiTheme="minorEastAsia" w:hAnsiTheme="minorEastAsia" w:eastAsiaTheme="minorEastAsia"/>
                <w:kern w:val="0"/>
                <w:sz w:val="18"/>
                <w:szCs w:val="18"/>
              </w:rPr>
            </w:pPr>
          </w:p>
        </w:tc>
        <w:tc>
          <w:tcPr>
            <w:tcW w:w="5386" w:type="dxa"/>
          </w:tcPr>
          <w:p>
            <w:pPr>
              <w:ind w:firstLine="360" w:firstLineChars="200"/>
              <w:jc w:val="center"/>
              <w:rPr>
                <w:rFonts w:cs="仿宋_GB2312" w:asciiTheme="minorEastAsia" w:hAnsiTheme="minorEastAsia" w:eastAsiaTheme="minor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6" w:type="dxa"/>
          </w:tcPr>
          <w:p>
            <w:pPr>
              <w:ind w:firstLine="360" w:firstLineChars="200"/>
              <w:jc w:val="center"/>
              <w:rPr>
                <w:rFonts w:cs="仿宋_GB2312" w:asciiTheme="minorEastAsia" w:hAnsiTheme="minorEastAsia" w:eastAsiaTheme="minorEastAsia"/>
                <w:kern w:val="0"/>
                <w:sz w:val="18"/>
                <w:szCs w:val="18"/>
              </w:rPr>
            </w:pPr>
          </w:p>
        </w:tc>
        <w:tc>
          <w:tcPr>
            <w:tcW w:w="1651" w:type="dxa"/>
          </w:tcPr>
          <w:p>
            <w:pPr>
              <w:ind w:firstLine="360" w:firstLineChars="200"/>
              <w:jc w:val="center"/>
              <w:rPr>
                <w:rFonts w:cs="仿宋_GB2312" w:asciiTheme="minorEastAsia" w:hAnsiTheme="minorEastAsia" w:eastAsiaTheme="minorEastAsia"/>
                <w:kern w:val="0"/>
                <w:sz w:val="18"/>
                <w:szCs w:val="18"/>
              </w:rPr>
            </w:pPr>
          </w:p>
        </w:tc>
        <w:tc>
          <w:tcPr>
            <w:tcW w:w="1227" w:type="dxa"/>
          </w:tcPr>
          <w:p>
            <w:pPr>
              <w:ind w:firstLine="360" w:firstLineChars="200"/>
              <w:jc w:val="center"/>
              <w:rPr>
                <w:rFonts w:cs="仿宋_GB2312" w:asciiTheme="minorEastAsia" w:hAnsiTheme="minorEastAsia" w:eastAsiaTheme="minorEastAsia"/>
                <w:kern w:val="0"/>
                <w:sz w:val="18"/>
                <w:szCs w:val="18"/>
              </w:rPr>
            </w:pPr>
          </w:p>
        </w:tc>
        <w:tc>
          <w:tcPr>
            <w:tcW w:w="5386" w:type="dxa"/>
          </w:tcPr>
          <w:p>
            <w:pPr>
              <w:ind w:firstLine="360" w:firstLineChars="200"/>
              <w:jc w:val="center"/>
              <w:rPr>
                <w:rFonts w:cs="仿宋_GB2312" w:asciiTheme="minorEastAsia" w:hAnsiTheme="minorEastAsia" w:eastAsiaTheme="minor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tcPr>
          <w:p>
            <w:pPr>
              <w:ind w:firstLine="360" w:firstLineChars="200"/>
              <w:jc w:val="center"/>
              <w:rPr>
                <w:rFonts w:cs="仿宋_GB2312" w:asciiTheme="minorEastAsia" w:hAnsiTheme="minorEastAsia" w:eastAsiaTheme="minorEastAsia"/>
                <w:kern w:val="0"/>
                <w:sz w:val="18"/>
                <w:szCs w:val="18"/>
              </w:rPr>
            </w:pPr>
          </w:p>
        </w:tc>
        <w:tc>
          <w:tcPr>
            <w:tcW w:w="1651" w:type="dxa"/>
          </w:tcPr>
          <w:p>
            <w:pPr>
              <w:ind w:firstLine="360" w:firstLineChars="200"/>
              <w:jc w:val="center"/>
              <w:rPr>
                <w:rFonts w:cs="仿宋_GB2312" w:asciiTheme="minorEastAsia" w:hAnsiTheme="minorEastAsia" w:eastAsiaTheme="minorEastAsia"/>
                <w:kern w:val="0"/>
                <w:sz w:val="18"/>
                <w:szCs w:val="18"/>
              </w:rPr>
            </w:pPr>
          </w:p>
        </w:tc>
        <w:tc>
          <w:tcPr>
            <w:tcW w:w="1227" w:type="dxa"/>
          </w:tcPr>
          <w:p>
            <w:pPr>
              <w:ind w:firstLine="360" w:firstLineChars="200"/>
              <w:jc w:val="center"/>
              <w:rPr>
                <w:rFonts w:cs="仿宋_GB2312" w:asciiTheme="minorEastAsia" w:hAnsiTheme="minorEastAsia" w:eastAsiaTheme="minorEastAsia"/>
                <w:kern w:val="0"/>
                <w:sz w:val="18"/>
                <w:szCs w:val="18"/>
              </w:rPr>
            </w:pPr>
          </w:p>
        </w:tc>
        <w:tc>
          <w:tcPr>
            <w:tcW w:w="5386" w:type="dxa"/>
          </w:tcPr>
          <w:p>
            <w:pPr>
              <w:ind w:firstLine="360" w:firstLineChars="200"/>
              <w:jc w:val="center"/>
              <w:rPr>
                <w:rFonts w:cs="仿宋_GB2312" w:asciiTheme="minorEastAsia" w:hAnsiTheme="minorEastAsia" w:eastAsiaTheme="minor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tcPr>
          <w:p>
            <w:pPr>
              <w:ind w:firstLine="360" w:firstLineChars="200"/>
              <w:jc w:val="center"/>
              <w:rPr>
                <w:rFonts w:cs="仿宋_GB2312" w:asciiTheme="minorEastAsia" w:hAnsiTheme="minorEastAsia" w:eastAsiaTheme="minorEastAsia"/>
                <w:kern w:val="0"/>
                <w:sz w:val="18"/>
                <w:szCs w:val="18"/>
              </w:rPr>
            </w:pPr>
          </w:p>
        </w:tc>
        <w:tc>
          <w:tcPr>
            <w:tcW w:w="1651" w:type="dxa"/>
          </w:tcPr>
          <w:p>
            <w:pPr>
              <w:ind w:firstLine="360" w:firstLineChars="200"/>
              <w:jc w:val="center"/>
              <w:rPr>
                <w:rFonts w:cs="仿宋_GB2312" w:asciiTheme="minorEastAsia" w:hAnsiTheme="minorEastAsia" w:eastAsiaTheme="minorEastAsia"/>
                <w:kern w:val="0"/>
                <w:sz w:val="18"/>
                <w:szCs w:val="18"/>
              </w:rPr>
            </w:pPr>
          </w:p>
        </w:tc>
        <w:tc>
          <w:tcPr>
            <w:tcW w:w="1227" w:type="dxa"/>
          </w:tcPr>
          <w:p>
            <w:pPr>
              <w:ind w:firstLine="360" w:firstLineChars="200"/>
              <w:jc w:val="center"/>
              <w:rPr>
                <w:rFonts w:cs="仿宋_GB2312" w:asciiTheme="minorEastAsia" w:hAnsiTheme="minorEastAsia" w:eastAsiaTheme="minorEastAsia"/>
                <w:kern w:val="0"/>
                <w:sz w:val="18"/>
                <w:szCs w:val="18"/>
              </w:rPr>
            </w:pPr>
          </w:p>
        </w:tc>
        <w:tc>
          <w:tcPr>
            <w:tcW w:w="5386" w:type="dxa"/>
          </w:tcPr>
          <w:p>
            <w:pPr>
              <w:ind w:firstLine="360" w:firstLineChars="200"/>
              <w:jc w:val="center"/>
              <w:rPr>
                <w:rFonts w:cs="仿宋_GB2312" w:asciiTheme="minorEastAsia" w:hAnsiTheme="minorEastAsia" w:eastAsiaTheme="minor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tcPr>
          <w:p>
            <w:pPr>
              <w:ind w:firstLine="360" w:firstLineChars="200"/>
              <w:jc w:val="center"/>
              <w:rPr>
                <w:rFonts w:cs="仿宋_GB2312" w:asciiTheme="minorEastAsia" w:hAnsiTheme="minorEastAsia" w:eastAsiaTheme="minorEastAsia"/>
                <w:kern w:val="0"/>
                <w:sz w:val="18"/>
                <w:szCs w:val="18"/>
              </w:rPr>
            </w:pPr>
          </w:p>
        </w:tc>
        <w:tc>
          <w:tcPr>
            <w:tcW w:w="1651" w:type="dxa"/>
          </w:tcPr>
          <w:p>
            <w:pPr>
              <w:ind w:firstLine="360" w:firstLineChars="200"/>
              <w:jc w:val="center"/>
              <w:rPr>
                <w:rFonts w:cs="仿宋_GB2312" w:asciiTheme="minorEastAsia" w:hAnsiTheme="minorEastAsia" w:eastAsiaTheme="minorEastAsia"/>
                <w:kern w:val="0"/>
                <w:sz w:val="18"/>
                <w:szCs w:val="18"/>
              </w:rPr>
            </w:pPr>
          </w:p>
        </w:tc>
        <w:tc>
          <w:tcPr>
            <w:tcW w:w="1227" w:type="dxa"/>
          </w:tcPr>
          <w:p>
            <w:pPr>
              <w:ind w:firstLine="360" w:firstLineChars="200"/>
              <w:jc w:val="center"/>
              <w:rPr>
                <w:rFonts w:cs="仿宋_GB2312" w:asciiTheme="minorEastAsia" w:hAnsiTheme="minorEastAsia" w:eastAsiaTheme="minorEastAsia"/>
                <w:kern w:val="0"/>
                <w:sz w:val="18"/>
                <w:szCs w:val="18"/>
              </w:rPr>
            </w:pPr>
          </w:p>
        </w:tc>
        <w:tc>
          <w:tcPr>
            <w:tcW w:w="5386" w:type="dxa"/>
          </w:tcPr>
          <w:p>
            <w:pPr>
              <w:ind w:firstLine="360" w:firstLineChars="200"/>
              <w:jc w:val="center"/>
              <w:rPr>
                <w:rFonts w:cs="仿宋_GB2312" w:asciiTheme="minorEastAsia" w:hAnsiTheme="minorEastAsia" w:eastAsiaTheme="minor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6" w:type="dxa"/>
          </w:tcPr>
          <w:p>
            <w:pPr>
              <w:ind w:firstLine="360" w:firstLineChars="200"/>
              <w:jc w:val="center"/>
              <w:rPr>
                <w:rFonts w:cs="仿宋_GB2312" w:asciiTheme="minorEastAsia" w:hAnsiTheme="minorEastAsia" w:eastAsiaTheme="minorEastAsia"/>
                <w:kern w:val="0"/>
                <w:sz w:val="18"/>
                <w:szCs w:val="18"/>
              </w:rPr>
            </w:pPr>
          </w:p>
        </w:tc>
        <w:tc>
          <w:tcPr>
            <w:tcW w:w="1651" w:type="dxa"/>
          </w:tcPr>
          <w:p>
            <w:pPr>
              <w:ind w:firstLine="360" w:firstLineChars="200"/>
              <w:jc w:val="center"/>
              <w:rPr>
                <w:rFonts w:cs="仿宋_GB2312" w:asciiTheme="minorEastAsia" w:hAnsiTheme="minorEastAsia" w:eastAsiaTheme="minorEastAsia"/>
                <w:kern w:val="0"/>
                <w:sz w:val="18"/>
                <w:szCs w:val="18"/>
              </w:rPr>
            </w:pPr>
          </w:p>
        </w:tc>
        <w:tc>
          <w:tcPr>
            <w:tcW w:w="1227" w:type="dxa"/>
          </w:tcPr>
          <w:p>
            <w:pPr>
              <w:ind w:firstLine="360" w:firstLineChars="200"/>
              <w:jc w:val="center"/>
              <w:rPr>
                <w:rFonts w:cs="仿宋_GB2312" w:asciiTheme="minorEastAsia" w:hAnsiTheme="minorEastAsia" w:eastAsiaTheme="minorEastAsia"/>
                <w:kern w:val="0"/>
                <w:sz w:val="18"/>
                <w:szCs w:val="18"/>
              </w:rPr>
            </w:pPr>
          </w:p>
        </w:tc>
        <w:tc>
          <w:tcPr>
            <w:tcW w:w="5386" w:type="dxa"/>
          </w:tcPr>
          <w:p>
            <w:pPr>
              <w:ind w:firstLine="360" w:firstLineChars="200"/>
              <w:jc w:val="center"/>
              <w:rPr>
                <w:rFonts w:cs="仿宋_GB2312" w:asciiTheme="minorEastAsia" w:hAnsiTheme="minorEastAsia" w:eastAsiaTheme="minor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tcPr>
          <w:p>
            <w:pPr>
              <w:ind w:firstLine="360" w:firstLineChars="200"/>
              <w:jc w:val="center"/>
              <w:rPr>
                <w:rFonts w:cs="仿宋_GB2312" w:asciiTheme="minorEastAsia" w:hAnsiTheme="minorEastAsia" w:eastAsiaTheme="minorEastAsia"/>
                <w:kern w:val="0"/>
                <w:sz w:val="18"/>
                <w:szCs w:val="18"/>
              </w:rPr>
            </w:pPr>
          </w:p>
        </w:tc>
        <w:tc>
          <w:tcPr>
            <w:tcW w:w="1651" w:type="dxa"/>
          </w:tcPr>
          <w:p>
            <w:pPr>
              <w:ind w:firstLine="360" w:firstLineChars="200"/>
              <w:jc w:val="center"/>
              <w:rPr>
                <w:rFonts w:cs="仿宋_GB2312" w:asciiTheme="minorEastAsia" w:hAnsiTheme="minorEastAsia" w:eastAsiaTheme="minorEastAsia"/>
                <w:kern w:val="0"/>
                <w:sz w:val="18"/>
                <w:szCs w:val="18"/>
              </w:rPr>
            </w:pPr>
          </w:p>
        </w:tc>
        <w:tc>
          <w:tcPr>
            <w:tcW w:w="1227" w:type="dxa"/>
          </w:tcPr>
          <w:p>
            <w:pPr>
              <w:ind w:firstLine="360" w:firstLineChars="200"/>
              <w:jc w:val="center"/>
              <w:rPr>
                <w:rFonts w:cs="仿宋_GB2312" w:asciiTheme="minorEastAsia" w:hAnsiTheme="minorEastAsia" w:eastAsiaTheme="minorEastAsia"/>
                <w:kern w:val="0"/>
                <w:sz w:val="18"/>
                <w:szCs w:val="18"/>
              </w:rPr>
            </w:pPr>
          </w:p>
        </w:tc>
        <w:tc>
          <w:tcPr>
            <w:tcW w:w="5386" w:type="dxa"/>
          </w:tcPr>
          <w:p>
            <w:pPr>
              <w:ind w:firstLine="360" w:firstLineChars="200"/>
              <w:jc w:val="center"/>
              <w:rPr>
                <w:rFonts w:cs="仿宋_GB2312" w:asciiTheme="minorEastAsia" w:hAnsiTheme="minorEastAsia" w:eastAsiaTheme="minorEastAsia"/>
                <w:kern w:val="0"/>
                <w:sz w:val="18"/>
                <w:szCs w:val="18"/>
              </w:rPr>
            </w:pPr>
          </w:p>
        </w:tc>
      </w:tr>
    </w:tbl>
    <w:p>
      <w:pPr>
        <w:ind w:firstLine="420" w:firstLineChars="200"/>
        <w:rPr>
          <w:rFonts w:ascii="宋体" w:hAnsi="宋体"/>
          <w:szCs w:val="28"/>
        </w:rPr>
      </w:pPr>
    </w:p>
    <w:p>
      <w:pPr>
        <w:widowControl/>
        <w:jc w:val="left"/>
      </w:pPr>
      <w:r>
        <w:br w:type="page"/>
      </w:r>
    </w:p>
    <w:p>
      <w:pPr>
        <w:pStyle w:val="51"/>
      </w:pPr>
      <w:r>
        <w:rPr>
          <w:rFonts w:hint="eastAsia"/>
        </w:rPr>
        <w:t>预决算公开管理规范</w:t>
      </w:r>
    </w:p>
    <w:p>
      <w:pPr>
        <w:pStyle w:val="46"/>
      </w:pPr>
      <w:bookmarkStart w:id="6" w:name="_Toc118664128"/>
      <w:r>
        <w:rPr>
          <w:rFonts w:hint="eastAsia"/>
        </w:rPr>
        <w:t>范围</w:t>
      </w:r>
      <w:bookmarkEnd w:id="6"/>
    </w:p>
    <w:p>
      <w:pPr>
        <w:pStyle w:val="25"/>
      </w:pPr>
      <w:r>
        <w:rPr>
          <w:rFonts w:hint="eastAsia"/>
        </w:rPr>
        <w:t>本文件规定了预决算公开的原则、基本要求、内容、方式。</w:t>
      </w:r>
    </w:p>
    <w:p>
      <w:pPr>
        <w:pStyle w:val="25"/>
        <w:tabs>
          <w:tab w:val="clear" w:pos="4201"/>
          <w:tab w:val="clear" w:pos="9298"/>
        </w:tabs>
      </w:pPr>
      <w:r>
        <w:rPr>
          <w:rFonts w:hint="eastAsia"/>
        </w:rPr>
        <w:t>本文件适用于河北省机关事务管理局预决算公开工作。</w:t>
      </w:r>
    </w:p>
    <w:p>
      <w:pPr>
        <w:pStyle w:val="46"/>
      </w:pPr>
      <w:bookmarkStart w:id="7" w:name="_Toc118664129"/>
      <w:r>
        <w:rPr>
          <w:rFonts w:hint="eastAsia"/>
        </w:rPr>
        <w:t>规范性引用文件</w:t>
      </w:r>
      <w:bookmarkEnd w:id="7"/>
    </w:p>
    <w:p>
      <w:pPr>
        <w:pStyle w:val="25"/>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p>
      <w:pPr>
        <w:pStyle w:val="25"/>
      </w:pPr>
      <w:r>
        <w:rPr>
          <w:rFonts w:hint="eastAsia"/>
        </w:rPr>
        <w:t>《预算法》（2018年12月29日第十三届全国人民代表大会常务委员会第七次会议修正）</w:t>
      </w:r>
    </w:p>
    <w:p>
      <w:pPr>
        <w:pStyle w:val="25"/>
      </w:pPr>
      <w:r>
        <w:rPr>
          <w:rFonts w:hint="eastAsia"/>
        </w:rPr>
        <w:t>中共河北省委办公厅 河北省人民政府办公厅印发《关于进一步推进预算公开工作的实施意见》的通知（冀办发〔2016〕29号）</w:t>
      </w:r>
    </w:p>
    <w:p>
      <w:pPr>
        <w:pStyle w:val="25"/>
      </w:pPr>
      <w:r>
        <w:rPr>
          <w:rFonts w:hint="eastAsia"/>
        </w:rPr>
        <w:t>河北省财政厅关于印发《河北省省级预算公开办法》的通知（冀财预〔2016〕61号）</w:t>
      </w:r>
    </w:p>
    <w:p>
      <w:pPr>
        <w:pStyle w:val="25"/>
      </w:pPr>
      <w:r>
        <w:rPr>
          <w:rFonts w:hint="eastAsia"/>
        </w:rPr>
        <w:t>河北省财政厅关于印发《河北省预决算公开操作规程实施细则》的通知（冀财预2016〕129号）</w:t>
      </w:r>
    </w:p>
    <w:p>
      <w:pPr>
        <w:pStyle w:val="46"/>
      </w:pPr>
      <w:bookmarkStart w:id="8" w:name="_Toc118664130"/>
      <w:r>
        <w:rPr>
          <w:rFonts w:hint="eastAsia"/>
        </w:rPr>
        <w:t>术语和定义</w:t>
      </w:r>
      <w:bookmarkEnd w:id="8"/>
    </w:p>
    <w:p>
      <w:pPr>
        <w:pStyle w:val="25"/>
        <w:rPr>
          <w:color w:val="000000"/>
        </w:rPr>
      </w:pPr>
      <w:r>
        <w:rPr>
          <w:rFonts w:hint="eastAsia"/>
          <w:color w:val="000000"/>
        </w:rPr>
        <w:t>下列术语和定义适用于本文件。</w:t>
      </w:r>
    </w:p>
    <w:p>
      <w:pPr>
        <w:pStyle w:val="146"/>
      </w:pPr>
    </w:p>
    <w:p>
      <w:pPr>
        <w:pStyle w:val="25"/>
        <w:rPr>
          <w:rFonts w:ascii="黑体" w:hAnsi="黑体" w:eastAsia="黑体"/>
        </w:rPr>
      </w:pPr>
      <w:r>
        <w:rPr>
          <w:rFonts w:hint="eastAsia" w:ascii="黑体" w:hAnsi="黑体" w:eastAsia="黑体"/>
        </w:rPr>
        <w:t>预算公开</w:t>
      </w:r>
    </w:p>
    <w:p>
      <w:pPr>
        <w:pStyle w:val="25"/>
      </w:pPr>
      <w:r>
        <w:rPr>
          <w:rFonts w:hint="eastAsia"/>
        </w:rPr>
        <w:t>经本级人民代表大会或者本级人民代表大会常务委员会批准的预算、预算调整、决算、预算执行情况的报告及报表，应当在批准后二十日内由本级政府财政部门向社会公开，并对本级政府财政转移支付安排、执行的情况以及举借债务的情况等重要事项作出说明。</w:t>
      </w:r>
    </w:p>
    <w:p>
      <w:pPr>
        <w:pStyle w:val="146"/>
      </w:pPr>
    </w:p>
    <w:p>
      <w:pPr>
        <w:pStyle w:val="25"/>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决算公开</w:t>
      </w:r>
    </w:p>
    <w:p>
      <w:pPr>
        <w:pStyle w:val="25"/>
      </w:pPr>
      <w:r>
        <w:rPr>
          <w:rFonts w:hint="eastAsia"/>
        </w:rPr>
        <w:t>经本级政府财政部门批复的部门预算、决算及报表，应当在批复后二十日内由各部门向社会公开，并对部门预算、决算中机关运行经费的安排、使用情况等重要事项作出说明。</w:t>
      </w:r>
    </w:p>
    <w:p>
      <w:pPr>
        <w:pStyle w:val="46"/>
      </w:pPr>
      <w:bookmarkStart w:id="9" w:name="_Toc118664131"/>
      <w:r>
        <w:rPr>
          <w:rFonts w:hint="eastAsia"/>
        </w:rPr>
        <w:t>总体原则</w:t>
      </w:r>
      <w:bookmarkEnd w:id="9"/>
    </w:p>
    <w:p>
      <w:pPr>
        <w:pStyle w:val="25"/>
      </w:pPr>
      <w:r>
        <w:rPr>
          <w:rFonts w:hint="eastAsia"/>
        </w:rPr>
        <w:t>以公开为常态、不公开为例外。除涉及国家秘密外，政府预决算、所有使用财政资金的部门和单位预决算都应依法公开，不得少公开、不公开应当公开的事项，保证公开内容全面、真实、完整。通过公开进一步促进财政改革，促进财税政策落实，促进财政管理规范，促进政府效能提高。</w:t>
      </w:r>
    </w:p>
    <w:p>
      <w:pPr>
        <w:pStyle w:val="46"/>
      </w:pPr>
      <w:bookmarkStart w:id="10" w:name="_Toc118664132"/>
      <w:r>
        <w:rPr>
          <w:rFonts w:hint="eastAsia"/>
        </w:rPr>
        <w:t>基本要求</w:t>
      </w:r>
      <w:bookmarkEnd w:id="10"/>
    </w:p>
    <w:p>
      <w:pPr>
        <w:pStyle w:val="25"/>
      </w:pPr>
      <w:r>
        <w:rPr>
          <w:rFonts w:hint="eastAsia"/>
        </w:rPr>
        <w:t>公开及时，内容准确，形式规范。坚持问题导向，重视公开时效，聚焦社会热点，回应公众关切。方便社会监督，公开内容公众找得着、看得懂、能监督。</w:t>
      </w:r>
    </w:p>
    <w:p>
      <w:pPr>
        <w:pStyle w:val="46"/>
      </w:pPr>
      <w:bookmarkStart w:id="11" w:name="_Toc118664133"/>
      <w:r>
        <w:rPr>
          <w:rFonts w:hint="eastAsia"/>
        </w:rPr>
        <w:t>部门预决算公开内容</w:t>
      </w:r>
      <w:bookmarkEnd w:id="11"/>
    </w:p>
    <w:p>
      <w:pPr>
        <w:pStyle w:val="43"/>
        <w:spacing w:before="156" w:after="156"/>
      </w:pPr>
      <w:bookmarkStart w:id="12" w:name="_Toc118664134"/>
      <w:r>
        <w:rPr>
          <w:rFonts w:hint="eastAsia"/>
        </w:rPr>
        <w:t>预算公开</w:t>
      </w:r>
      <w:bookmarkEnd w:id="12"/>
    </w:p>
    <w:p>
      <w:pPr>
        <w:pStyle w:val="25"/>
      </w:pPr>
      <w:r>
        <w:rPr>
          <w:rFonts w:hint="eastAsia"/>
        </w:rPr>
        <w:t>部门（含所属单位）预算公开内容为经本级财政部门批复的部门预算及报表（见附录</w:t>
      </w:r>
      <w:r>
        <w:t>A</w:t>
      </w:r>
      <w:r>
        <w:rPr>
          <w:rFonts w:hint="eastAsia"/>
        </w:rPr>
        <w:t>），并对有关事项作出说明，没有情况的表格和事项也要予以说明，至少包括：</w:t>
      </w:r>
    </w:p>
    <w:p>
      <w:pPr>
        <w:pStyle w:val="49"/>
      </w:pPr>
      <w:r>
        <w:rPr>
          <w:rFonts w:hint="eastAsia"/>
        </w:rPr>
        <w:t>本部门职责、机构设置等基本情况；</w:t>
      </w:r>
    </w:p>
    <w:p>
      <w:pPr>
        <w:pStyle w:val="49"/>
      </w:pPr>
      <w:r>
        <w:rPr>
          <w:rFonts w:hint="eastAsia"/>
        </w:rPr>
        <w:t>收支总体情况表，至少包括：</w:t>
      </w:r>
    </w:p>
    <w:p>
      <w:pPr>
        <w:pStyle w:val="50"/>
      </w:pPr>
      <w:r>
        <w:rPr>
          <w:rFonts w:hint="eastAsia"/>
        </w:rPr>
        <w:t>收支总表；</w:t>
      </w:r>
    </w:p>
    <w:p>
      <w:pPr>
        <w:pStyle w:val="50"/>
      </w:pPr>
      <w:r>
        <w:rPr>
          <w:rFonts w:hint="eastAsia"/>
        </w:rPr>
        <w:t>收入总表；</w:t>
      </w:r>
    </w:p>
    <w:p>
      <w:pPr>
        <w:pStyle w:val="50"/>
      </w:pPr>
      <w:r>
        <w:rPr>
          <w:rFonts w:hint="eastAsia"/>
        </w:rPr>
        <w:t>支出总表，公开至支出功能分类项级科目。</w:t>
      </w:r>
    </w:p>
    <w:p>
      <w:pPr>
        <w:pStyle w:val="49"/>
      </w:pPr>
      <w:r>
        <w:rPr>
          <w:rFonts w:hint="eastAsia"/>
        </w:rPr>
        <w:t>——财政拨款收支情况表，至少包括：</w:t>
      </w:r>
    </w:p>
    <w:p>
      <w:pPr>
        <w:pStyle w:val="50"/>
      </w:pPr>
      <w:r>
        <w:rPr>
          <w:rFonts w:hint="eastAsia"/>
        </w:rPr>
        <w:t>财政拨款收支总表；</w:t>
      </w:r>
    </w:p>
    <w:p>
      <w:pPr>
        <w:pStyle w:val="50"/>
      </w:pPr>
      <w:r>
        <w:rPr>
          <w:rFonts w:hint="eastAsia"/>
        </w:rPr>
        <w:t>一般公共预算支出表，公开至功能分类项级科目；</w:t>
      </w:r>
    </w:p>
    <w:p>
      <w:pPr>
        <w:pStyle w:val="50"/>
      </w:pPr>
      <w:r>
        <w:rPr>
          <w:rFonts w:hint="eastAsia"/>
        </w:rPr>
        <w:t>一般公共预算基本支出表，公开至经济分类款级科目；</w:t>
      </w:r>
    </w:p>
    <w:p>
      <w:pPr>
        <w:pStyle w:val="50"/>
      </w:pPr>
      <w:r>
        <w:rPr>
          <w:rFonts w:hint="eastAsia"/>
        </w:rPr>
        <w:t>政府性基金预算支出表，公开至功能分类项级科目；</w:t>
      </w:r>
    </w:p>
    <w:p>
      <w:pPr>
        <w:pStyle w:val="50"/>
      </w:pPr>
      <w:r>
        <w:rPr>
          <w:rFonts w:hint="eastAsia"/>
        </w:rPr>
        <w:t>国有资本经营预算支出表，公开至功能分类项级科目；</w:t>
      </w:r>
    </w:p>
    <w:p>
      <w:pPr>
        <w:pStyle w:val="50"/>
      </w:pPr>
      <w:r>
        <w:rPr>
          <w:rFonts w:hint="eastAsia"/>
        </w:rPr>
        <w:t>财政拨款“三公”经费支出表，应当按因公出国（境）费、公务用车购置及运行费（细化至公务用车购置费、公务用车运行费）、公务接待费公开；</w:t>
      </w:r>
    </w:p>
    <w:p>
      <w:pPr>
        <w:pStyle w:val="50"/>
      </w:pPr>
      <w:r>
        <w:rPr>
          <w:rFonts w:hint="eastAsia"/>
        </w:rPr>
        <w:t>没有数据的表格也要列示空表并予以说明。</w:t>
      </w:r>
    </w:p>
    <w:p>
      <w:pPr>
        <w:pStyle w:val="49"/>
      </w:pPr>
      <w:r>
        <w:rPr>
          <w:rFonts w:hint="eastAsia"/>
        </w:rPr>
        <w:t>绩效预算信息，至少包括本部门（含所属单位）总体绩效目标、部门职责及工作活动绩效目标指标等；</w:t>
      </w:r>
    </w:p>
    <w:p>
      <w:pPr>
        <w:pStyle w:val="49"/>
      </w:pPr>
      <w:r>
        <w:rPr>
          <w:rFonts w:hint="eastAsia"/>
        </w:rPr>
        <w:t>政府采购预算情况，至少包括采购项目、采购物品、采购数量、采购金额等信息；</w:t>
      </w:r>
    </w:p>
    <w:p>
      <w:pPr>
        <w:pStyle w:val="49"/>
      </w:pPr>
      <w:r>
        <w:rPr>
          <w:rFonts w:hint="eastAsia"/>
        </w:rPr>
        <w:t>国有资产信息，至少包括本部门（含所属单位）上年末国有资产占有情况和本年度拟购置情况等；</w:t>
      </w:r>
    </w:p>
    <w:p>
      <w:pPr>
        <w:pStyle w:val="49"/>
      </w:pPr>
      <w:r>
        <w:rPr>
          <w:rFonts w:hint="eastAsia"/>
        </w:rPr>
        <w:t>有关事项说明，至少包括：</w:t>
      </w:r>
    </w:p>
    <w:p>
      <w:pPr>
        <w:pStyle w:val="50"/>
      </w:pPr>
      <w:r>
        <w:rPr>
          <w:rFonts w:hint="eastAsia"/>
        </w:rPr>
        <w:t>部门预算安排的总体情况；</w:t>
      </w:r>
    </w:p>
    <w:p>
      <w:pPr>
        <w:pStyle w:val="50"/>
      </w:pPr>
      <w:r>
        <w:rPr>
          <w:rFonts w:hint="eastAsia"/>
        </w:rPr>
        <w:t>机关运行经费安排情况；</w:t>
      </w:r>
    </w:p>
    <w:p>
      <w:pPr>
        <w:pStyle w:val="50"/>
      </w:pPr>
      <w:r>
        <w:rPr>
          <w:rFonts w:hint="eastAsia"/>
        </w:rPr>
        <w:t>财政拨款“三公”经费预算情况，包括预算总额和分项数额，增减变化原因说明；</w:t>
      </w:r>
    </w:p>
    <w:p>
      <w:pPr>
        <w:pStyle w:val="50"/>
      </w:pPr>
      <w:r>
        <w:rPr>
          <w:rFonts w:hint="eastAsia"/>
        </w:rPr>
        <w:t>对相关专业性较强的名词进行必要解释；</w:t>
      </w:r>
    </w:p>
    <w:p>
      <w:pPr>
        <w:pStyle w:val="50"/>
      </w:pPr>
      <w:r>
        <w:rPr>
          <w:rFonts w:hint="eastAsia"/>
        </w:rPr>
        <w:t>其他需说明的事项。</w:t>
      </w:r>
    </w:p>
    <w:p>
      <w:pPr>
        <w:pStyle w:val="43"/>
        <w:spacing w:before="156" w:after="156"/>
      </w:pPr>
      <w:bookmarkStart w:id="13" w:name="_Toc118664135"/>
      <w:r>
        <w:rPr>
          <w:rFonts w:hint="eastAsia"/>
        </w:rPr>
        <w:t>决算公开</w:t>
      </w:r>
      <w:bookmarkEnd w:id="13"/>
    </w:p>
    <w:p>
      <w:pPr>
        <w:pStyle w:val="25"/>
      </w:pPr>
      <w:r>
        <w:rPr>
          <w:rFonts w:hint="eastAsia"/>
        </w:rPr>
        <w:t>部门（含所属单位）决算公开内容为经本级财政部门批复的部门决算及报表（见附录</w:t>
      </w:r>
      <w:r>
        <w:t>B</w:t>
      </w:r>
      <w:r>
        <w:rPr>
          <w:rFonts w:hint="eastAsia"/>
        </w:rPr>
        <w:t>），并对有关事项作出说明，没有情况的表格和事项也要予以说明，应按照统一公开要求至少包括：</w:t>
      </w:r>
    </w:p>
    <w:p>
      <w:pPr>
        <w:pStyle w:val="49"/>
      </w:pPr>
      <w:r>
        <w:rPr>
          <w:rFonts w:hint="eastAsia"/>
        </w:rPr>
        <w:t>本部门职责、机构设置等基本情况；</w:t>
      </w:r>
    </w:p>
    <w:p>
      <w:pPr>
        <w:pStyle w:val="49"/>
      </w:pPr>
      <w:r>
        <w:rPr>
          <w:rFonts w:hint="eastAsia"/>
        </w:rPr>
        <w:t>收支总体情况表，至少包括：</w:t>
      </w:r>
    </w:p>
    <w:p>
      <w:pPr>
        <w:pStyle w:val="50"/>
      </w:pPr>
      <w:r>
        <w:rPr>
          <w:rFonts w:hint="eastAsia"/>
        </w:rPr>
        <w:t>收支决算总表；</w:t>
      </w:r>
    </w:p>
    <w:p>
      <w:pPr>
        <w:pStyle w:val="50"/>
      </w:pPr>
      <w:r>
        <w:rPr>
          <w:rFonts w:hint="eastAsia"/>
        </w:rPr>
        <w:t>收入决算总表；</w:t>
      </w:r>
    </w:p>
    <w:p>
      <w:pPr>
        <w:pStyle w:val="50"/>
      </w:pPr>
      <w:r>
        <w:rPr>
          <w:rFonts w:hint="eastAsia"/>
        </w:rPr>
        <w:t>支出决算总表，公开至支出功能分类项级科目。</w:t>
      </w:r>
    </w:p>
    <w:p>
      <w:pPr>
        <w:pStyle w:val="49"/>
      </w:pPr>
      <w:r>
        <w:rPr>
          <w:rFonts w:hint="eastAsia"/>
        </w:rPr>
        <w:t>财政拨款收支情况表，至少包括：</w:t>
      </w:r>
    </w:p>
    <w:p>
      <w:pPr>
        <w:pStyle w:val="50"/>
      </w:pPr>
      <w:r>
        <w:rPr>
          <w:rFonts w:hint="eastAsia"/>
        </w:rPr>
        <w:t>财政拨款收支决算总表；</w:t>
      </w:r>
    </w:p>
    <w:p>
      <w:pPr>
        <w:pStyle w:val="50"/>
      </w:pPr>
      <w:r>
        <w:rPr>
          <w:rFonts w:hint="eastAsia"/>
        </w:rPr>
        <w:t>一般公共预算支出决算表，公开至功能分类项级科目；</w:t>
      </w:r>
    </w:p>
    <w:p>
      <w:pPr>
        <w:pStyle w:val="50"/>
      </w:pPr>
      <w:r>
        <w:rPr>
          <w:rFonts w:hint="eastAsia"/>
        </w:rPr>
        <w:t>一般公共预算基本支出决算表，公开至经济分类款级科目；</w:t>
      </w:r>
    </w:p>
    <w:p>
      <w:pPr>
        <w:pStyle w:val="50"/>
      </w:pPr>
      <w:r>
        <w:rPr>
          <w:rFonts w:hint="eastAsia"/>
        </w:rPr>
        <w:t>政府性基金预算收支决算表，公开至功能分类项级科目；</w:t>
      </w:r>
    </w:p>
    <w:p>
      <w:pPr>
        <w:pStyle w:val="50"/>
      </w:pPr>
      <w:r>
        <w:rPr>
          <w:rFonts w:hint="eastAsia"/>
        </w:rPr>
        <w:t>国有资本经营预算支出决算表，公开至功能分类项级科目；</w:t>
      </w:r>
    </w:p>
    <w:p>
      <w:pPr>
        <w:pStyle w:val="50"/>
      </w:pPr>
      <w:r>
        <w:rPr>
          <w:rFonts w:hint="eastAsia"/>
        </w:rPr>
        <w:t>财政拨款“三公”经费支出决算表，应当按因公出国（境）费、公务用车购置及运行费（细化至公务用车购置费、公务用车运行费）、公务接待费公开；</w:t>
      </w:r>
    </w:p>
    <w:p>
      <w:pPr>
        <w:pStyle w:val="50"/>
      </w:pPr>
      <w:r>
        <w:rPr>
          <w:rFonts w:hint="eastAsia"/>
        </w:rPr>
        <w:t>没有数据的表格也要列示空表并予以说明。</w:t>
      </w:r>
    </w:p>
    <w:p>
      <w:pPr>
        <w:pStyle w:val="49"/>
      </w:pPr>
      <w:r>
        <w:rPr>
          <w:rFonts w:hint="eastAsia"/>
        </w:rPr>
        <w:t>绩效预算信息，至少包括本部门绩效评价工作开展情况、绩效评价结果等信息；</w:t>
      </w:r>
    </w:p>
    <w:p>
      <w:pPr>
        <w:pStyle w:val="49"/>
      </w:pPr>
      <w:r>
        <w:rPr>
          <w:rFonts w:hint="eastAsia"/>
        </w:rPr>
        <w:t>政府采购预算执行情况，至少包括政府采购货物、工程、服务的总体情况，以及支持中小企业等政府采购政策的落实情况；</w:t>
      </w:r>
    </w:p>
    <w:p>
      <w:pPr>
        <w:pStyle w:val="49"/>
      </w:pPr>
      <w:r>
        <w:rPr>
          <w:rFonts w:hint="eastAsia"/>
        </w:rPr>
        <w:t>国有资产信息，至少包括本部门（含所属单位）本年末国有资产占有总体情况、分布构成、主要实物资产数据及本年度变动情况等；</w:t>
      </w:r>
    </w:p>
    <w:p>
      <w:pPr>
        <w:pStyle w:val="49"/>
      </w:pPr>
      <w:r>
        <w:rPr>
          <w:rFonts w:hint="eastAsia"/>
        </w:rPr>
        <w:t>有关事项说明，至少包括：</w:t>
      </w:r>
    </w:p>
    <w:p>
      <w:pPr>
        <w:pStyle w:val="50"/>
      </w:pPr>
      <w:r>
        <w:rPr>
          <w:rFonts w:hint="eastAsia"/>
        </w:rPr>
        <w:t>预算执行情况分析，包括综合收支与上年决算数、财政拨款支出与年初预算数对比情况，增减变化原因说明；</w:t>
      </w:r>
    </w:p>
    <w:p>
      <w:pPr>
        <w:pStyle w:val="50"/>
      </w:pPr>
      <w:r>
        <w:rPr>
          <w:rFonts w:hint="eastAsia"/>
        </w:rPr>
        <w:t>机关运行经费情况；</w:t>
      </w:r>
    </w:p>
    <w:p>
      <w:pPr>
        <w:pStyle w:val="50"/>
      </w:pPr>
      <w:r>
        <w:rPr>
          <w:rFonts w:hint="eastAsia"/>
        </w:rPr>
        <w:t>财政拨款“三公”经费决算情况，包括支出总额和分项数额，增减变化原因说明，以及因公出国（境）团组数及人数、公务用车购置数及保有量、国内公务接待的批次和人数等情况说明；</w:t>
      </w:r>
    </w:p>
    <w:p>
      <w:pPr>
        <w:pStyle w:val="50"/>
      </w:pPr>
      <w:r>
        <w:rPr>
          <w:rFonts w:hint="eastAsia"/>
        </w:rPr>
        <w:t>对相关专业性较强的名词进行必要解释；</w:t>
      </w:r>
    </w:p>
    <w:p>
      <w:pPr>
        <w:pStyle w:val="50"/>
      </w:pPr>
      <w:r>
        <w:rPr>
          <w:rFonts w:hint="eastAsia"/>
        </w:rPr>
        <w:t>其他需说明的事项。</w:t>
      </w:r>
    </w:p>
    <w:p>
      <w:pPr>
        <w:pStyle w:val="46"/>
      </w:pPr>
      <w:bookmarkStart w:id="14" w:name="_Toc118664136"/>
      <w:r>
        <w:rPr>
          <w:rFonts w:hint="eastAsia"/>
        </w:rPr>
        <w:t>公开方式</w:t>
      </w:r>
      <w:bookmarkEnd w:id="14"/>
    </w:p>
    <w:p>
      <w:pPr>
        <w:pStyle w:val="146"/>
      </w:pPr>
      <w:r>
        <w:rPr>
          <w:rFonts w:hint="eastAsia"/>
        </w:rPr>
        <w:t>各级财政部门和各部门建有门户网站的，应当在门户网站公开预决算，并永久保留，其中当年预决算应当公开在网站醒目位置；没有门户网站的，应当采取措施在公开媒体公开预决算，并积极推动门户网站建设。</w:t>
      </w:r>
    </w:p>
    <w:p>
      <w:pPr>
        <w:pStyle w:val="146"/>
      </w:pPr>
      <w:r>
        <w:rPr>
          <w:rFonts w:hint="eastAsia"/>
        </w:rPr>
        <w:t>各级财政部门应当在本级政府或财政部门门户网站上设立预决算公开统一平台（或专栏），将政府预决算、部门预决算在平台（专栏）上集中公开。对在统一平台公开政府预决算、部门预决算，应当编制目录，对公开内容进行分类、分级，方便公众查阅和监督。</w:t>
      </w:r>
    </w:p>
    <w:p>
      <w:pPr>
        <w:pStyle w:val="25"/>
        <w:sectPr>
          <w:headerReference r:id="rId4" w:type="default"/>
          <w:footerReference r:id="rId5" w:type="default"/>
          <w:pgSz w:w="11906" w:h="16838"/>
          <w:pgMar w:top="567" w:right="1134" w:bottom="1134" w:left="1418" w:header="1418" w:footer="1134" w:gutter="0"/>
          <w:cols w:space="425" w:num="1"/>
          <w:formProt w:val="0"/>
          <w:docGrid w:type="lines" w:linePitch="312" w:charSpace="0"/>
        </w:sectPr>
      </w:pPr>
    </w:p>
    <w:p>
      <w:pPr>
        <w:pStyle w:val="99"/>
      </w:pPr>
    </w:p>
    <w:p>
      <w:pPr>
        <w:pStyle w:val="87"/>
        <w:tabs>
          <w:tab w:val="clear" w:pos="0"/>
        </w:tabs>
      </w:pPr>
    </w:p>
    <w:p>
      <w:pPr>
        <w:pStyle w:val="85"/>
        <w:numPr>
          <w:ilvl w:val="0"/>
          <w:numId w:val="20"/>
        </w:numPr>
        <w:tabs>
          <w:tab w:val="clear" w:pos="360"/>
        </w:tabs>
        <w:spacing w:before="360"/>
      </w:pPr>
      <w:r>
        <w:br w:type="textWrapping"/>
      </w:r>
      <w:bookmarkStart w:id="15" w:name="_Toc118664137"/>
      <w:r>
        <w:rPr>
          <w:rFonts w:hint="eastAsia"/>
        </w:rPr>
        <w:t>（资料性）</w:t>
      </w:r>
      <w:r>
        <w:br w:type="textWrapping"/>
      </w:r>
      <w:r>
        <w:rPr>
          <w:rFonts w:hint="eastAsia"/>
        </w:rPr>
        <w:t>部门预算公开情况表样式</w:t>
      </w:r>
      <w:bookmarkEnd w:id="15"/>
    </w:p>
    <w:p>
      <w:pPr>
        <w:pStyle w:val="155"/>
      </w:pPr>
      <w:r>
        <w:rPr>
          <w:rFonts w:hint="eastAsia"/>
        </w:rPr>
        <w:t>A</w:t>
      </w:r>
      <w:r>
        <w:t>.1</w:t>
      </w:r>
      <w:r>
        <w:rPr>
          <w:rFonts w:hint="eastAsia"/>
        </w:rPr>
        <w:t>部门预算收支总表样式见图A.1。</w:t>
      </w:r>
    </w:p>
    <w:p>
      <w:pPr>
        <w:pStyle w:val="155"/>
        <w:jc w:val="center"/>
      </w:pPr>
      <w:r>
        <w:drawing>
          <wp:inline distT="0" distB="0" distL="0" distR="0">
            <wp:extent cx="8997950" cy="3783330"/>
            <wp:effectExtent l="0" t="0" r="0" b="762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noChangeArrowheads="true"/>
                    </pic:cNvPicPr>
                  </pic:nvPicPr>
                  <pic:blipFill>
                    <a:blip r:embed="rId7">
                      <a:extLst>
                        <a:ext uri="{28A0092B-C50C-407E-A947-70E740481C1C}">
                          <a14:useLocalDpi xmlns:a14="http://schemas.microsoft.com/office/drawing/2010/main" val="false"/>
                        </a:ext>
                      </a:extLst>
                    </a:blip>
                    <a:srcRect/>
                    <a:stretch>
                      <a:fillRect/>
                    </a:stretch>
                  </pic:blipFill>
                  <pic:spPr>
                    <a:xfrm>
                      <a:off x="0" y="0"/>
                      <a:ext cx="9008189" cy="3787959"/>
                    </a:xfrm>
                    <a:prstGeom prst="rect">
                      <a:avLst/>
                    </a:prstGeom>
                    <a:noFill/>
                  </pic:spPr>
                </pic:pic>
              </a:graphicData>
            </a:graphic>
          </wp:inline>
        </w:drawing>
      </w:r>
    </w:p>
    <w:p>
      <w:pPr>
        <w:pStyle w:val="100"/>
      </w:pPr>
      <w:r>
        <w:rPr>
          <w:rFonts w:hint="eastAsia"/>
        </w:rPr>
        <w:t>部门预算收支总表样式</w:t>
      </w:r>
    </w:p>
    <w:p>
      <w:pPr>
        <w:pStyle w:val="155"/>
      </w:pPr>
      <w:r>
        <w:rPr>
          <w:rFonts w:hint="eastAsia"/>
        </w:rPr>
        <w:t>A</w:t>
      </w:r>
      <w:r>
        <w:t>.2</w:t>
      </w:r>
      <w:r>
        <w:rPr>
          <w:rFonts w:hint="eastAsia"/>
        </w:rPr>
        <w:t>部门预算收入总表样式见图A.2。</w:t>
      </w:r>
    </w:p>
    <w:p>
      <w:pPr>
        <w:pStyle w:val="155"/>
        <w:jc w:val="center"/>
      </w:pPr>
      <w:r>
        <w:drawing>
          <wp:inline distT="0" distB="0" distL="0" distR="0">
            <wp:extent cx="9594850" cy="4319270"/>
            <wp:effectExtent l="0" t="0" r="6350" b="508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noChangeArrowheads="true"/>
                    </pic:cNvPicPr>
                  </pic:nvPicPr>
                  <pic:blipFill>
                    <a:blip r:embed="rId8">
                      <a:extLst>
                        <a:ext uri="{28A0092B-C50C-407E-A947-70E740481C1C}">
                          <a14:useLocalDpi xmlns:a14="http://schemas.microsoft.com/office/drawing/2010/main" val="false"/>
                        </a:ext>
                      </a:extLst>
                    </a:blip>
                    <a:srcRect/>
                    <a:stretch>
                      <a:fillRect/>
                    </a:stretch>
                  </pic:blipFill>
                  <pic:spPr>
                    <a:xfrm>
                      <a:off x="0" y="0"/>
                      <a:ext cx="9643468" cy="4341512"/>
                    </a:xfrm>
                    <a:prstGeom prst="rect">
                      <a:avLst/>
                    </a:prstGeom>
                    <a:noFill/>
                  </pic:spPr>
                </pic:pic>
              </a:graphicData>
            </a:graphic>
          </wp:inline>
        </w:drawing>
      </w:r>
    </w:p>
    <w:p>
      <w:pPr>
        <w:pStyle w:val="100"/>
      </w:pPr>
      <w:r>
        <w:rPr>
          <w:rFonts w:hint="eastAsia"/>
        </w:rPr>
        <w:t>部门预算收入总表样式</w:t>
      </w:r>
    </w:p>
    <w:p>
      <w:pPr>
        <w:pStyle w:val="25"/>
      </w:pPr>
    </w:p>
    <w:p>
      <w:pPr>
        <w:pStyle w:val="25"/>
      </w:pPr>
    </w:p>
    <w:p>
      <w:pPr>
        <w:pStyle w:val="25"/>
      </w:pPr>
    </w:p>
    <w:p>
      <w:pPr>
        <w:pStyle w:val="155"/>
      </w:pPr>
      <w:r>
        <w:rPr>
          <w:rFonts w:hint="eastAsia"/>
        </w:rPr>
        <w:t>A</w:t>
      </w:r>
      <w:r>
        <w:t>.3</w:t>
      </w:r>
      <w:r>
        <w:rPr>
          <w:rFonts w:hint="eastAsia"/>
        </w:rPr>
        <w:t>部门预算支出总表样式见图A.3。</w:t>
      </w:r>
    </w:p>
    <w:p>
      <w:pPr>
        <w:pStyle w:val="155"/>
        <w:jc w:val="center"/>
      </w:pPr>
      <w:r>
        <w:drawing>
          <wp:inline distT="0" distB="0" distL="0" distR="0">
            <wp:extent cx="9585325" cy="3744595"/>
            <wp:effectExtent l="0" t="0" r="0" b="8255"/>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noChangeArrowheads="true"/>
                    </pic:cNvPicPr>
                  </pic:nvPicPr>
                  <pic:blipFill>
                    <a:blip r:embed="rId9">
                      <a:extLst>
                        <a:ext uri="{28A0092B-C50C-407E-A947-70E740481C1C}">
                          <a14:useLocalDpi xmlns:a14="http://schemas.microsoft.com/office/drawing/2010/main" val="false"/>
                        </a:ext>
                      </a:extLst>
                    </a:blip>
                    <a:srcRect/>
                    <a:stretch>
                      <a:fillRect/>
                    </a:stretch>
                  </pic:blipFill>
                  <pic:spPr>
                    <a:xfrm>
                      <a:off x="0" y="0"/>
                      <a:ext cx="9721142" cy="3797964"/>
                    </a:xfrm>
                    <a:prstGeom prst="rect">
                      <a:avLst/>
                    </a:prstGeom>
                    <a:noFill/>
                  </pic:spPr>
                </pic:pic>
              </a:graphicData>
            </a:graphic>
          </wp:inline>
        </w:drawing>
      </w:r>
    </w:p>
    <w:p>
      <w:pPr>
        <w:pStyle w:val="100"/>
      </w:pPr>
      <w:r>
        <w:rPr>
          <w:rFonts w:hint="eastAsia"/>
        </w:rPr>
        <w:t>部门预算支出总表样式</w:t>
      </w:r>
    </w:p>
    <w:p>
      <w:pPr>
        <w:pStyle w:val="25"/>
      </w:pPr>
    </w:p>
    <w:p>
      <w:pPr>
        <w:pStyle w:val="25"/>
      </w:pPr>
    </w:p>
    <w:p>
      <w:pPr>
        <w:pStyle w:val="25"/>
      </w:pPr>
    </w:p>
    <w:p>
      <w:pPr>
        <w:pStyle w:val="25"/>
      </w:pPr>
    </w:p>
    <w:p>
      <w:pPr>
        <w:pStyle w:val="25"/>
      </w:pPr>
    </w:p>
    <w:p>
      <w:pPr>
        <w:pStyle w:val="25"/>
      </w:pPr>
    </w:p>
    <w:p>
      <w:pPr>
        <w:pStyle w:val="155"/>
      </w:pPr>
      <w:r>
        <w:rPr>
          <w:rFonts w:hint="eastAsia"/>
        </w:rPr>
        <w:t>A</w:t>
      </w:r>
      <w:r>
        <w:t>.4</w:t>
      </w:r>
      <w:r>
        <w:rPr>
          <w:rFonts w:hint="eastAsia"/>
        </w:rPr>
        <w:t>部门预算财政拨款收支总表样式见图A.4。</w:t>
      </w:r>
    </w:p>
    <w:p>
      <w:pPr>
        <w:pStyle w:val="155"/>
      </w:pPr>
      <w:r>
        <w:drawing>
          <wp:inline distT="0" distB="0" distL="0" distR="0">
            <wp:extent cx="9582785" cy="4918710"/>
            <wp:effectExtent l="0" t="0" r="0" b="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noChangeArrowheads="true"/>
                    </pic:cNvPicPr>
                  </pic:nvPicPr>
                  <pic:blipFill>
                    <a:blip r:embed="rId10">
                      <a:extLst>
                        <a:ext uri="{28A0092B-C50C-407E-A947-70E740481C1C}">
                          <a14:useLocalDpi xmlns:a14="http://schemas.microsoft.com/office/drawing/2010/main" val="false"/>
                        </a:ext>
                      </a:extLst>
                    </a:blip>
                    <a:srcRect/>
                    <a:stretch>
                      <a:fillRect/>
                    </a:stretch>
                  </pic:blipFill>
                  <pic:spPr>
                    <a:xfrm>
                      <a:off x="0" y="0"/>
                      <a:ext cx="9633304" cy="4944597"/>
                    </a:xfrm>
                    <a:prstGeom prst="rect">
                      <a:avLst/>
                    </a:prstGeom>
                    <a:noFill/>
                  </pic:spPr>
                </pic:pic>
              </a:graphicData>
            </a:graphic>
          </wp:inline>
        </w:drawing>
      </w:r>
    </w:p>
    <w:p>
      <w:pPr>
        <w:pStyle w:val="100"/>
      </w:pPr>
      <w:r>
        <w:rPr>
          <w:rFonts w:hint="eastAsia"/>
        </w:rPr>
        <w:t>部门预算财政拨款收支总表样式</w:t>
      </w:r>
    </w:p>
    <w:p>
      <w:pPr>
        <w:pStyle w:val="155"/>
      </w:pPr>
      <w:r>
        <w:rPr>
          <w:rFonts w:hint="eastAsia"/>
        </w:rPr>
        <w:t>A</w:t>
      </w:r>
      <w:r>
        <w:t>.5</w:t>
      </w:r>
      <w:r>
        <w:rPr>
          <w:rFonts w:hint="eastAsia"/>
        </w:rPr>
        <w:t>部门预算一般公共预算财政拨款支出表样式见图A.5。</w:t>
      </w:r>
    </w:p>
    <w:p>
      <w:pPr>
        <w:pStyle w:val="155"/>
        <w:jc w:val="center"/>
      </w:pPr>
      <w:r>
        <w:drawing>
          <wp:inline distT="0" distB="0" distL="0" distR="0">
            <wp:extent cx="9501505" cy="4256405"/>
            <wp:effectExtent l="0" t="0" r="4445" b="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noChangeArrowheads="true"/>
                    </pic:cNvPicPr>
                  </pic:nvPicPr>
                  <pic:blipFill>
                    <a:blip r:embed="rId11">
                      <a:extLst>
                        <a:ext uri="{28A0092B-C50C-407E-A947-70E740481C1C}">
                          <a14:useLocalDpi xmlns:a14="http://schemas.microsoft.com/office/drawing/2010/main" val="false"/>
                        </a:ext>
                      </a:extLst>
                    </a:blip>
                    <a:srcRect/>
                    <a:stretch>
                      <a:fillRect/>
                    </a:stretch>
                  </pic:blipFill>
                  <pic:spPr>
                    <a:xfrm>
                      <a:off x="0" y="0"/>
                      <a:ext cx="9530346" cy="4269535"/>
                    </a:xfrm>
                    <a:prstGeom prst="rect">
                      <a:avLst/>
                    </a:prstGeom>
                    <a:noFill/>
                  </pic:spPr>
                </pic:pic>
              </a:graphicData>
            </a:graphic>
          </wp:inline>
        </w:drawing>
      </w:r>
    </w:p>
    <w:p>
      <w:pPr>
        <w:pStyle w:val="100"/>
      </w:pPr>
      <w:r>
        <w:rPr>
          <w:rFonts w:hint="eastAsia"/>
        </w:rPr>
        <w:t>部门预算一般公共预算财政拨款支出表样式</w:t>
      </w:r>
    </w:p>
    <w:p>
      <w:pPr>
        <w:pStyle w:val="25"/>
      </w:pPr>
    </w:p>
    <w:p>
      <w:pPr>
        <w:pStyle w:val="25"/>
      </w:pPr>
    </w:p>
    <w:p>
      <w:pPr>
        <w:pStyle w:val="25"/>
      </w:pPr>
    </w:p>
    <w:p>
      <w:pPr>
        <w:pStyle w:val="155"/>
      </w:pPr>
      <w:r>
        <w:rPr>
          <w:rFonts w:hint="eastAsia"/>
        </w:rPr>
        <w:t>A</w:t>
      </w:r>
      <w:r>
        <w:t>.6</w:t>
      </w:r>
      <w:r>
        <w:rPr>
          <w:rFonts w:hint="eastAsia"/>
        </w:rPr>
        <w:t>部门预算一般公共预算财政拨款基本支出表样式见图A.6。</w:t>
      </w:r>
    </w:p>
    <w:p>
      <w:pPr>
        <w:pStyle w:val="155"/>
        <w:jc w:val="center"/>
      </w:pPr>
      <w:r>
        <w:drawing>
          <wp:inline distT="0" distB="0" distL="0" distR="0">
            <wp:extent cx="9620885" cy="4240530"/>
            <wp:effectExtent l="0" t="0" r="0" b="762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noChangeArrowheads="true"/>
                    </pic:cNvPicPr>
                  </pic:nvPicPr>
                  <pic:blipFill>
                    <a:blip r:embed="rId12">
                      <a:extLst>
                        <a:ext uri="{28A0092B-C50C-407E-A947-70E740481C1C}">
                          <a14:useLocalDpi xmlns:a14="http://schemas.microsoft.com/office/drawing/2010/main" val="false"/>
                        </a:ext>
                      </a:extLst>
                    </a:blip>
                    <a:srcRect/>
                    <a:stretch>
                      <a:fillRect/>
                    </a:stretch>
                  </pic:blipFill>
                  <pic:spPr>
                    <a:xfrm>
                      <a:off x="0" y="0"/>
                      <a:ext cx="9726724" cy="4287437"/>
                    </a:xfrm>
                    <a:prstGeom prst="rect">
                      <a:avLst/>
                    </a:prstGeom>
                    <a:noFill/>
                  </pic:spPr>
                </pic:pic>
              </a:graphicData>
            </a:graphic>
          </wp:inline>
        </w:drawing>
      </w:r>
    </w:p>
    <w:p>
      <w:pPr>
        <w:pStyle w:val="100"/>
      </w:pPr>
      <w:r>
        <w:rPr>
          <w:rFonts w:hint="eastAsia"/>
        </w:rPr>
        <w:t>部门预算一般公共预算财政拨款基本支出表样式</w:t>
      </w:r>
    </w:p>
    <w:p>
      <w:pPr>
        <w:pStyle w:val="25"/>
      </w:pPr>
    </w:p>
    <w:p>
      <w:pPr>
        <w:pStyle w:val="25"/>
      </w:pPr>
    </w:p>
    <w:p>
      <w:pPr>
        <w:pStyle w:val="25"/>
      </w:pPr>
    </w:p>
    <w:p>
      <w:pPr>
        <w:pStyle w:val="155"/>
      </w:pPr>
      <w:r>
        <w:rPr>
          <w:rFonts w:hint="eastAsia"/>
        </w:rPr>
        <w:t>A</w:t>
      </w:r>
      <w:r>
        <w:t>.7</w:t>
      </w:r>
      <w:r>
        <w:rPr>
          <w:rFonts w:hint="eastAsia"/>
        </w:rPr>
        <w:t>部门预算政府性基金预算财政拨款支出表样式见图A.7。</w:t>
      </w:r>
    </w:p>
    <w:p>
      <w:pPr>
        <w:pStyle w:val="155"/>
        <w:jc w:val="center"/>
      </w:pPr>
      <w:r>
        <w:drawing>
          <wp:inline distT="0" distB="0" distL="0" distR="0">
            <wp:extent cx="9370060" cy="4587240"/>
            <wp:effectExtent l="0" t="0" r="2540" b="3810"/>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noChangeArrowheads="true"/>
                    </pic:cNvPicPr>
                  </pic:nvPicPr>
                  <pic:blipFill>
                    <a:blip r:embed="rId13">
                      <a:extLst>
                        <a:ext uri="{28A0092B-C50C-407E-A947-70E740481C1C}">
                          <a14:useLocalDpi xmlns:a14="http://schemas.microsoft.com/office/drawing/2010/main" val="false"/>
                        </a:ext>
                      </a:extLst>
                    </a:blip>
                    <a:srcRect/>
                    <a:stretch>
                      <a:fillRect/>
                    </a:stretch>
                  </pic:blipFill>
                  <pic:spPr>
                    <a:xfrm>
                      <a:off x="0" y="0"/>
                      <a:ext cx="9374872" cy="4590122"/>
                    </a:xfrm>
                    <a:prstGeom prst="rect">
                      <a:avLst/>
                    </a:prstGeom>
                    <a:noFill/>
                  </pic:spPr>
                </pic:pic>
              </a:graphicData>
            </a:graphic>
          </wp:inline>
        </w:drawing>
      </w:r>
    </w:p>
    <w:p>
      <w:pPr>
        <w:pStyle w:val="100"/>
      </w:pPr>
      <w:r>
        <w:rPr>
          <w:rFonts w:hint="eastAsia"/>
        </w:rPr>
        <w:t>部门预算政府性基金预算财政拨款支出表样式</w:t>
      </w:r>
    </w:p>
    <w:p>
      <w:pPr>
        <w:pStyle w:val="25"/>
      </w:pPr>
    </w:p>
    <w:p>
      <w:pPr>
        <w:pStyle w:val="155"/>
      </w:pPr>
      <w:r>
        <w:rPr>
          <w:rFonts w:hint="eastAsia"/>
        </w:rPr>
        <w:t>A</w:t>
      </w:r>
      <w:r>
        <w:t xml:space="preserve">.8 </w:t>
      </w:r>
      <w:r>
        <w:rPr>
          <w:rFonts w:hint="eastAsia"/>
        </w:rPr>
        <w:t>部门预算国有资本经营预算财政拨款支出表样式见图A.8。</w:t>
      </w:r>
    </w:p>
    <w:p>
      <w:pPr>
        <w:pStyle w:val="155"/>
        <w:jc w:val="center"/>
      </w:pPr>
      <w:r>
        <w:drawing>
          <wp:inline distT="0" distB="0" distL="0" distR="0">
            <wp:extent cx="9681210" cy="4760595"/>
            <wp:effectExtent l="0" t="0" r="0" b="1905"/>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noChangeArrowheads="true"/>
                    </pic:cNvPicPr>
                  </pic:nvPicPr>
                  <pic:blipFill>
                    <a:blip r:embed="rId14">
                      <a:extLst>
                        <a:ext uri="{28A0092B-C50C-407E-A947-70E740481C1C}">
                          <a14:useLocalDpi xmlns:a14="http://schemas.microsoft.com/office/drawing/2010/main" val="false"/>
                        </a:ext>
                      </a:extLst>
                    </a:blip>
                    <a:srcRect/>
                    <a:stretch>
                      <a:fillRect/>
                    </a:stretch>
                  </pic:blipFill>
                  <pic:spPr>
                    <a:xfrm>
                      <a:off x="0" y="0"/>
                      <a:ext cx="9697325" cy="4768999"/>
                    </a:xfrm>
                    <a:prstGeom prst="rect">
                      <a:avLst/>
                    </a:prstGeom>
                    <a:noFill/>
                  </pic:spPr>
                </pic:pic>
              </a:graphicData>
            </a:graphic>
          </wp:inline>
        </w:drawing>
      </w:r>
    </w:p>
    <w:p>
      <w:pPr>
        <w:pStyle w:val="100"/>
      </w:pPr>
      <w:r>
        <w:rPr>
          <w:rFonts w:hint="eastAsia"/>
        </w:rPr>
        <w:t>部门预算国有资本经营预算财政拨款支出表样式</w:t>
      </w:r>
    </w:p>
    <w:p>
      <w:pPr>
        <w:pStyle w:val="155"/>
      </w:pPr>
      <w:r>
        <w:rPr>
          <w:rFonts w:hint="eastAsia"/>
        </w:rPr>
        <w:t>A</w:t>
      </w:r>
      <w:r>
        <w:t xml:space="preserve">.9 </w:t>
      </w:r>
      <w:r>
        <w:rPr>
          <w:rFonts w:hint="eastAsia"/>
        </w:rPr>
        <w:t>部门预算财政拨款“三公”经费支出表样式见图A.9。</w:t>
      </w:r>
    </w:p>
    <w:p>
      <w:pPr>
        <w:pStyle w:val="155"/>
        <w:jc w:val="center"/>
      </w:pPr>
      <w:r>
        <w:drawing>
          <wp:inline distT="0" distB="0" distL="0" distR="0">
            <wp:extent cx="9600565" cy="4114800"/>
            <wp:effectExtent l="0" t="0" r="635" b="0"/>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noChangeArrowheads="true"/>
                    </pic:cNvPicPr>
                  </pic:nvPicPr>
                  <pic:blipFill>
                    <a:blip r:embed="rId15">
                      <a:extLst>
                        <a:ext uri="{28A0092B-C50C-407E-A947-70E740481C1C}">
                          <a14:useLocalDpi xmlns:a14="http://schemas.microsoft.com/office/drawing/2010/main" val="false"/>
                        </a:ext>
                      </a:extLst>
                    </a:blip>
                    <a:srcRect/>
                    <a:stretch>
                      <a:fillRect/>
                    </a:stretch>
                  </pic:blipFill>
                  <pic:spPr>
                    <a:xfrm>
                      <a:off x="0" y="0"/>
                      <a:ext cx="9633053" cy="4128647"/>
                    </a:xfrm>
                    <a:prstGeom prst="rect">
                      <a:avLst/>
                    </a:prstGeom>
                    <a:noFill/>
                  </pic:spPr>
                </pic:pic>
              </a:graphicData>
            </a:graphic>
          </wp:inline>
        </w:drawing>
      </w:r>
    </w:p>
    <w:p>
      <w:pPr>
        <w:pStyle w:val="100"/>
      </w:pPr>
      <w:r>
        <w:rPr>
          <w:rFonts w:hint="eastAsia"/>
        </w:rPr>
        <w:t>部门预算财政拨款“三公”经费支出表样式</w:t>
      </w:r>
    </w:p>
    <w:p>
      <w:pPr>
        <w:pStyle w:val="155"/>
      </w:pPr>
    </w:p>
    <w:p>
      <w:pPr>
        <w:pStyle w:val="99"/>
      </w:pPr>
    </w:p>
    <w:p>
      <w:pPr>
        <w:pStyle w:val="87"/>
        <w:tabs>
          <w:tab w:val="clear" w:pos="0"/>
        </w:tabs>
      </w:pPr>
    </w:p>
    <w:p>
      <w:pPr>
        <w:pStyle w:val="85"/>
        <w:numPr>
          <w:ilvl w:val="0"/>
          <w:numId w:val="20"/>
        </w:numPr>
        <w:tabs>
          <w:tab w:val="clear" w:pos="360"/>
        </w:tabs>
      </w:pPr>
      <w:r>
        <w:br w:type="textWrapping"/>
      </w:r>
      <w:bookmarkStart w:id="16" w:name="_Toc118664138"/>
      <w:r>
        <w:rPr>
          <w:rFonts w:hint="eastAsia"/>
        </w:rPr>
        <w:t>（资料性）</w:t>
      </w:r>
      <w:r>
        <w:br w:type="textWrapping"/>
      </w:r>
      <w:r>
        <w:rPr>
          <w:rFonts w:hint="eastAsia"/>
        </w:rPr>
        <w:t>部门决算公开情况表样式</w:t>
      </w:r>
      <w:bookmarkEnd w:id="16"/>
    </w:p>
    <w:p>
      <w:pPr>
        <w:pStyle w:val="155"/>
      </w:pPr>
      <w:r>
        <w:t>B</w:t>
      </w:r>
      <w:r>
        <w:rPr>
          <w:rFonts w:hint="eastAsia"/>
        </w:rPr>
        <w:t>.1部门收支决算总表样式见图B.1。</w:t>
      </w:r>
    </w:p>
    <w:p>
      <w:pPr>
        <w:pStyle w:val="155"/>
        <w:jc w:val="center"/>
      </w:pPr>
      <w:r>
        <w:drawing>
          <wp:inline distT="0" distB="0" distL="0" distR="0">
            <wp:extent cx="9241790" cy="3704590"/>
            <wp:effectExtent l="0" t="0" r="0" b="0"/>
            <wp:docPr id="25"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true" noChangeArrowheads="true"/>
                    </pic:cNvPicPr>
                  </pic:nvPicPr>
                  <pic:blipFill>
                    <a:blip r:embed="rId16">
                      <a:extLst>
                        <a:ext uri="{28A0092B-C50C-407E-A947-70E740481C1C}">
                          <a14:useLocalDpi xmlns:a14="http://schemas.microsoft.com/office/drawing/2010/main" val="false"/>
                        </a:ext>
                      </a:extLst>
                    </a:blip>
                    <a:srcRect/>
                    <a:stretch>
                      <a:fillRect/>
                    </a:stretch>
                  </pic:blipFill>
                  <pic:spPr>
                    <a:xfrm>
                      <a:off x="0" y="0"/>
                      <a:ext cx="9267477" cy="3715041"/>
                    </a:xfrm>
                    <a:prstGeom prst="rect">
                      <a:avLst/>
                    </a:prstGeom>
                    <a:noFill/>
                  </pic:spPr>
                </pic:pic>
              </a:graphicData>
            </a:graphic>
          </wp:inline>
        </w:drawing>
      </w:r>
    </w:p>
    <w:p>
      <w:pPr>
        <w:pStyle w:val="100"/>
      </w:pPr>
      <w:r>
        <w:rPr>
          <w:rFonts w:hint="eastAsia"/>
        </w:rPr>
        <w:t>部门收支决算总表样式</w:t>
      </w:r>
    </w:p>
    <w:p>
      <w:pPr>
        <w:pStyle w:val="105"/>
      </w:pPr>
      <w:r>
        <w:t>B</w:t>
      </w:r>
      <w:r>
        <w:rPr>
          <w:rFonts w:hint="eastAsia"/>
        </w:rPr>
        <w:t>.2</w:t>
      </w:r>
      <w:r>
        <w:t xml:space="preserve"> </w:t>
      </w:r>
      <w:r>
        <w:rPr>
          <w:rFonts w:hint="eastAsia"/>
        </w:rPr>
        <w:t>部门收入决算总表样式见图B.2。</w:t>
      </w:r>
    </w:p>
    <w:p>
      <w:pPr>
        <w:pStyle w:val="105"/>
        <w:jc w:val="center"/>
      </w:pPr>
      <w:r>
        <w:drawing>
          <wp:inline distT="0" distB="0" distL="0" distR="0">
            <wp:extent cx="8719820" cy="4760595"/>
            <wp:effectExtent l="0" t="0" r="5080" b="1905"/>
            <wp:docPr id="20"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true" noChangeArrowheads="true"/>
                    </pic:cNvPicPr>
                  </pic:nvPicPr>
                  <pic:blipFill>
                    <a:blip r:embed="rId17">
                      <a:extLst>
                        <a:ext uri="{28A0092B-C50C-407E-A947-70E740481C1C}">
                          <a14:useLocalDpi xmlns:a14="http://schemas.microsoft.com/office/drawing/2010/main" val="false"/>
                        </a:ext>
                      </a:extLst>
                    </a:blip>
                    <a:srcRect/>
                    <a:stretch>
                      <a:fillRect/>
                    </a:stretch>
                  </pic:blipFill>
                  <pic:spPr>
                    <a:xfrm>
                      <a:off x="0" y="0"/>
                      <a:ext cx="8765700" cy="4785966"/>
                    </a:xfrm>
                    <a:prstGeom prst="rect">
                      <a:avLst/>
                    </a:prstGeom>
                    <a:noFill/>
                  </pic:spPr>
                </pic:pic>
              </a:graphicData>
            </a:graphic>
          </wp:inline>
        </w:drawing>
      </w:r>
    </w:p>
    <w:p>
      <w:pPr>
        <w:pStyle w:val="100"/>
      </w:pPr>
      <w:r>
        <w:rPr>
          <w:rFonts w:hint="eastAsia"/>
        </w:rPr>
        <w:t>部门收入决算总表样式</w:t>
      </w:r>
    </w:p>
    <w:p>
      <w:pPr>
        <w:pStyle w:val="155"/>
      </w:pPr>
      <w:r>
        <w:t>B</w:t>
      </w:r>
      <w:r>
        <w:rPr>
          <w:rFonts w:hint="eastAsia"/>
        </w:rPr>
        <w:t>.</w:t>
      </w:r>
      <w:r>
        <w:t>3</w:t>
      </w:r>
      <w:r>
        <w:rPr>
          <w:rFonts w:hint="eastAsia"/>
        </w:rPr>
        <w:t>部门支出决算总表样式见图</w:t>
      </w:r>
      <w:r>
        <w:t>B.</w:t>
      </w:r>
      <w:r>
        <w:rPr>
          <w:rFonts w:hint="eastAsia"/>
        </w:rPr>
        <w:t>3。</w:t>
      </w:r>
    </w:p>
    <w:p>
      <w:pPr>
        <w:pStyle w:val="155"/>
        <w:jc w:val="center"/>
      </w:pPr>
      <w:r>
        <w:drawing>
          <wp:inline distT="0" distB="0" distL="0" distR="0">
            <wp:extent cx="9278620" cy="4445635"/>
            <wp:effectExtent l="0" t="0" r="0" b="0"/>
            <wp:docPr id="18"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true" noChangeArrowheads="true"/>
                    </pic:cNvPicPr>
                  </pic:nvPicPr>
                  <pic:blipFill>
                    <a:blip r:embed="rId18">
                      <a:extLst>
                        <a:ext uri="{28A0092B-C50C-407E-A947-70E740481C1C}">
                          <a14:useLocalDpi xmlns:a14="http://schemas.microsoft.com/office/drawing/2010/main" val="false"/>
                        </a:ext>
                      </a:extLst>
                    </a:blip>
                    <a:srcRect/>
                    <a:stretch>
                      <a:fillRect/>
                    </a:stretch>
                  </pic:blipFill>
                  <pic:spPr>
                    <a:xfrm>
                      <a:off x="0" y="0"/>
                      <a:ext cx="9332184" cy="4471342"/>
                    </a:xfrm>
                    <a:prstGeom prst="rect">
                      <a:avLst/>
                    </a:prstGeom>
                    <a:noFill/>
                  </pic:spPr>
                </pic:pic>
              </a:graphicData>
            </a:graphic>
          </wp:inline>
        </w:drawing>
      </w:r>
    </w:p>
    <w:p>
      <w:pPr>
        <w:pStyle w:val="100"/>
      </w:pPr>
      <w:r>
        <w:rPr>
          <w:rFonts w:hint="eastAsia"/>
        </w:rPr>
        <w:t>部门支出决算总表样式</w:t>
      </w:r>
    </w:p>
    <w:p>
      <w:pPr>
        <w:pStyle w:val="25"/>
      </w:pPr>
    </w:p>
    <w:p>
      <w:pPr>
        <w:pStyle w:val="25"/>
      </w:pPr>
    </w:p>
    <w:p>
      <w:pPr>
        <w:pStyle w:val="155"/>
      </w:pPr>
      <w:r>
        <w:t>B</w:t>
      </w:r>
      <w:r>
        <w:rPr>
          <w:rFonts w:hint="eastAsia"/>
        </w:rPr>
        <w:t>.</w:t>
      </w:r>
      <w:r>
        <w:t>4</w:t>
      </w:r>
      <w:r>
        <w:rPr>
          <w:rFonts w:hint="eastAsia"/>
        </w:rPr>
        <w:t>部门财政拨款收支决算总表样式见图</w:t>
      </w:r>
      <w:r>
        <w:t>B.</w:t>
      </w:r>
      <w:r>
        <w:rPr>
          <w:rFonts w:hint="eastAsia"/>
        </w:rPr>
        <w:t>4。</w:t>
      </w:r>
    </w:p>
    <w:p>
      <w:pPr>
        <w:pStyle w:val="155"/>
        <w:jc w:val="center"/>
      </w:pPr>
      <w:r>
        <w:drawing>
          <wp:inline distT="0" distB="0" distL="0" distR="0">
            <wp:extent cx="9425305" cy="4855210"/>
            <wp:effectExtent l="0" t="0" r="4445" b="2540"/>
            <wp:docPr id="16"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true" noChangeArrowheads="true"/>
                    </pic:cNvPicPr>
                  </pic:nvPicPr>
                  <pic:blipFill>
                    <a:blip r:embed="rId19">
                      <a:extLst>
                        <a:ext uri="{28A0092B-C50C-407E-A947-70E740481C1C}">
                          <a14:useLocalDpi xmlns:a14="http://schemas.microsoft.com/office/drawing/2010/main" val="false"/>
                        </a:ext>
                      </a:extLst>
                    </a:blip>
                    <a:srcRect/>
                    <a:stretch>
                      <a:fillRect/>
                    </a:stretch>
                  </pic:blipFill>
                  <pic:spPr>
                    <a:xfrm>
                      <a:off x="0" y="0"/>
                      <a:ext cx="9430863" cy="4858363"/>
                    </a:xfrm>
                    <a:prstGeom prst="rect">
                      <a:avLst/>
                    </a:prstGeom>
                    <a:noFill/>
                  </pic:spPr>
                </pic:pic>
              </a:graphicData>
            </a:graphic>
          </wp:inline>
        </w:drawing>
      </w:r>
    </w:p>
    <w:p>
      <w:pPr>
        <w:pStyle w:val="100"/>
      </w:pPr>
      <w:r>
        <w:rPr>
          <w:rFonts w:hint="eastAsia"/>
        </w:rPr>
        <w:t>部门财政拨款收支决算总表样式</w:t>
      </w:r>
    </w:p>
    <w:p>
      <w:pPr>
        <w:pStyle w:val="155"/>
      </w:pPr>
      <w:r>
        <w:t>B</w:t>
      </w:r>
      <w:r>
        <w:rPr>
          <w:rFonts w:hint="eastAsia"/>
        </w:rPr>
        <w:t>.</w:t>
      </w:r>
      <w:r>
        <w:t>5</w:t>
      </w:r>
      <w:r>
        <w:rPr>
          <w:rFonts w:hint="eastAsia"/>
        </w:rPr>
        <w:t>部门一般公共预算财政拨款支出决算表样式见图B.5。</w:t>
      </w:r>
    </w:p>
    <w:p>
      <w:pPr>
        <w:pStyle w:val="155"/>
        <w:jc w:val="center"/>
      </w:pPr>
      <w:r>
        <w:drawing>
          <wp:inline distT="0" distB="0" distL="0" distR="0">
            <wp:extent cx="9585960" cy="4776470"/>
            <wp:effectExtent l="0" t="0" r="0" b="5080"/>
            <wp:docPr id="15"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true" noChangeArrowheads="true"/>
                    </pic:cNvPicPr>
                  </pic:nvPicPr>
                  <pic:blipFill>
                    <a:blip r:embed="rId20">
                      <a:extLst>
                        <a:ext uri="{28A0092B-C50C-407E-A947-70E740481C1C}">
                          <a14:useLocalDpi xmlns:a14="http://schemas.microsoft.com/office/drawing/2010/main" val="false"/>
                        </a:ext>
                      </a:extLst>
                    </a:blip>
                    <a:srcRect/>
                    <a:stretch>
                      <a:fillRect/>
                    </a:stretch>
                  </pic:blipFill>
                  <pic:spPr>
                    <a:xfrm>
                      <a:off x="0" y="0"/>
                      <a:ext cx="9641469" cy="4804305"/>
                    </a:xfrm>
                    <a:prstGeom prst="rect">
                      <a:avLst/>
                    </a:prstGeom>
                    <a:noFill/>
                  </pic:spPr>
                </pic:pic>
              </a:graphicData>
            </a:graphic>
          </wp:inline>
        </w:drawing>
      </w:r>
    </w:p>
    <w:p>
      <w:pPr>
        <w:pStyle w:val="100"/>
      </w:pPr>
      <w:r>
        <w:rPr>
          <w:rFonts w:hint="eastAsia"/>
        </w:rPr>
        <w:t>部门一般公共预算财政拨款支出决算表样式</w:t>
      </w:r>
    </w:p>
    <w:p>
      <w:pPr>
        <w:pStyle w:val="155"/>
      </w:pPr>
      <w:r>
        <w:t>B</w:t>
      </w:r>
      <w:r>
        <w:rPr>
          <w:rFonts w:hint="eastAsia"/>
        </w:rPr>
        <w:t>.</w:t>
      </w:r>
      <w:r>
        <w:t>6</w:t>
      </w:r>
      <w:r>
        <w:rPr>
          <w:rFonts w:hint="eastAsia"/>
        </w:rPr>
        <w:t>部门一般公共预算财政拨款基本支出决算表样式见图B.6。</w:t>
      </w:r>
    </w:p>
    <w:p>
      <w:pPr>
        <w:pStyle w:val="155"/>
        <w:jc w:val="center"/>
      </w:pPr>
      <w:r>
        <w:drawing>
          <wp:inline distT="0" distB="0" distL="0" distR="0">
            <wp:extent cx="8924290" cy="4839970"/>
            <wp:effectExtent l="0" t="0" r="0" b="0"/>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noChangeArrowheads="true"/>
                    </pic:cNvPicPr>
                  </pic:nvPicPr>
                  <pic:blipFill>
                    <a:blip r:embed="rId21">
                      <a:extLst>
                        <a:ext uri="{28A0092B-C50C-407E-A947-70E740481C1C}">
                          <a14:useLocalDpi xmlns:a14="http://schemas.microsoft.com/office/drawing/2010/main" val="false"/>
                        </a:ext>
                      </a:extLst>
                    </a:blip>
                    <a:srcRect/>
                    <a:stretch>
                      <a:fillRect/>
                    </a:stretch>
                  </pic:blipFill>
                  <pic:spPr>
                    <a:xfrm>
                      <a:off x="0" y="0"/>
                      <a:ext cx="8942219" cy="4849612"/>
                    </a:xfrm>
                    <a:prstGeom prst="rect">
                      <a:avLst/>
                    </a:prstGeom>
                    <a:noFill/>
                  </pic:spPr>
                </pic:pic>
              </a:graphicData>
            </a:graphic>
          </wp:inline>
        </w:drawing>
      </w:r>
    </w:p>
    <w:p>
      <w:pPr>
        <w:pStyle w:val="100"/>
      </w:pPr>
      <w:r>
        <w:rPr>
          <w:rFonts w:hint="eastAsia"/>
        </w:rPr>
        <w:t>部门一般公共预算财政拨款基本支出决算表样式</w:t>
      </w:r>
    </w:p>
    <w:p>
      <w:pPr>
        <w:pStyle w:val="155"/>
      </w:pPr>
      <w:r>
        <w:t>B</w:t>
      </w:r>
      <w:r>
        <w:rPr>
          <w:rFonts w:hint="eastAsia"/>
        </w:rPr>
        <w:t>.</w:t>
      </w:r>
      <w:r>
        <w:t>7</w:t>
      </w:r>
      <w:r>
        <w:rPr>
          <w:rFonts w:hint="eastAsia"/>
        </w:rPr>
        <w:t>部门政府性基金预算财政拨款收支决算表样式见图B.7。</w:t>
      </w:r>
    </w:p>
    <w:p>
      <w:pPr>
        <w:pStyle w:val="155"/>
        <w:jc w:val="center"/>
      </w:pPr>
      <w:r>
        <w:drawing>
          <wp:inline distT="0" distB="0" distL="0" distR="0">
            <wp:extent cx="9448165" cy="4524375"/>
            <wp:effectExtent l="0" t="0" r="635" b="9525"/>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noChangeArrowheads="true"/>
                    </pic:cNvPicPr>
                  </pic:nvPicPr>
                  <pic:blipFill>
                    <a:blip r:embed="rId22">
                      <a:extLst>
                        <a:ext uri="{28A0092B-C50C-407E-A947-70E740481C1C}">
                          <a14:useLocalDpi xmlns:a14="http://schemas.microsoft.com/office/drawing/2010/main" val="false"/>
                        </a:ext>
                      </a:extLst>
                    </a:blip>
                    <a:srcRect/>
                    <a:stretch>
                      <a:fillRect/>
                    </a:stretch>
                  </pic:blipFill>
                  <pic:spPr>
                    <a:xfrm>
                      <a:off x="0" y="0"/>
                      <a:ext cx="9449760" cy="4525301"/>
                    </a:xfrm>
                    <a:prstGeom prst="rect">
                      <a:avLst/>
                    </a:prstGeom>
                    <a:noFill/>
                  </pic:spPr>
                </pic:pic>
              </a:graphicData>
            </a:graphic>
          </wp:inline>
        </w:drawing>
      </w:r>
    </w:p>
    <w:p>
      <w:pPr>
        <w:pStyle w:val="100"/>
      </w:pPr>
      <w:r>
        <w:rPr>
          <w:rFonts w:hint="eastAsia"/>
        </w:rPr>
        <w:t>部门政府性基金预算财政拨款收支决算表样式</w:t>
      </w:r>
    </w:p>
    <w:p>
      <w:pPr>
        <w:pStyle w:val="25"/>
      </w:pPr>
    </w:p>
    <w:p>
      <w:pPr>
        <w:pStyle w:val="25"/>
      </w:pPr>
    </w:p>
    <w:p>
      <w:pPr>
        <w:pStyle w:val="155"/>
      </w:pPr>
      <w:r>
        <w:t>B</w:t>
      </w:r>
      <w:r>
        <w:rPr>
          <w:rFonts w:hint="eastAsia"/>
        </w:rPr>
        <w:t>.</w:t>
      </w:r>
      <w:r>
        <w:t>8</w:t>
      </w:r>
      <w:r>
        <w:rPr>
          <w:rFonts w:hint="eastAsia"/>
        </w:rPr>
        <w:t>部门国有资本经营预算财政拨款支出决算表样式见图</w:t>
      </w:r>
      <w:r>
        <w:t>B.</w:t>
      </w:r>
      <w:r>
        <w:rPr>
          <w:rFonts w:hint="eastAsia"/>
        </w:rPr>
        <w:t>8。</w:t>
      </w:r>
    </w:p>
    <w:p>
      <w:pPr>
        <w:pStyle w:val="155"/>
        <w:jc w:val="center"/>
      </w:pPr>
      <w:r>
        <w:drawing>
          <wp:inline distT="0" distB="0" distL="0" distR="0">
            <wp:extent cx="9105265" cy="4792345"/>
            <wp:effectExtent l="0" t="0" r="635" b="8255"/>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noChangeArrowheads="true"/>
                    </pic:cNvPicPr>
                  </pic:nvPicPr>
                  <pic:blipFill>
                    <a:blip r:embed="rId23">
                      <a:extLst>
                        <a:ext uri="{28A0092B-C50C-407E-A947-70E740481C1C}">
                          <a14:useLocalDpi xmlns:a14="http://schemas.microsoft.com/office/drawing/2010/main" val="false"/>
                        </a:ext>
                      </a:extLst>
                    </a:blip>
                    <a:srcRect/>
                    <a:stretch>
                      <a:fillRect/>
                    </a:stretch>
                  </pic:blipFill>
                  <pic:spPr>
                    <a:xfrm>
                      <a:off x="0" y="0"/>
                      <a:ext cx="9120221" cy="4800543"/>
                    </a:xfrm>
                    <a:prstGeom prst="rect">
                      <a:avLst/>
                    </a:prstGeom>
                    <a:noFill/>
                  </pic:spPr>
                </pic:pic>
              </a:graphicData>
            </a:graphic>
          </wp:inline>
        </w:drawing>
      </w:r>
    </w:p>
    <w:p>
      <w:pPr>
        <w:pStyle w:val="100"/>
      </w:pPr>
      <w:r>
        <w:rPr>
          <w:rFonts w:hint="eastAsia"/>
        </w:rPr>
        <w:t>部门国有资本经营预算财政拨款支出决算表样式</w:t>
      </w:r>
    </w:p>
    <w:p>
      <w:pPr>
        <w:pStyle w:val="155"/>
      </w:pPr>
      <w:r>
        <w:t>B</w:t>
      </w:r>
      <w:r>
        <w:rPr>
          <w:rFonts w:hint="eastAsia"/>
        </w:rPr>
        <w:t>.</w:t>
      </w:r>
      <w:r>
        <w:t>9</w:t>
      </w:r>
      <w:r>
        <w:rPr>
          <w:rFonts w:hint="eastAsia"/>
        </w:rPr>
        <w:t>部门财政拨款“三公”经费支出决算表样式见图</w:t>
      </w:r>
      <w:r>
        <w:t>B.</w:t>
      </w:r>
      <w:r>
        <w:rPr>
          <w:rFonts w:hint="eastAsia"/>
        </w:rPr>
        <w:t>9。</w:t>
      </w:r>
    </w:p>
    <w:p>
      <w:pPr>
        <w:pStyle w:val="155"/>
        <w:jc w:val="center"/>
      </w:pPr>
      <w:r>
        <w:drawing>
          <wp:inline distT="0" distB="0" distL="0" distR="0">
            <wp:extent cx="9699625" cy="3310255"/>
            <wp:effectExtent l="0" t="0" r="0" b="4445"/>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noChangeArrowheads="true"/>
                    </pic:cNvPicPr>
                  </pic:nvPicPr>
                  <pic:blipFill>
                    <a:blip r:embed="rId24">
                      <a:extLst>
                        <a:ext uri="{28A0092B-C50C-407E-A947-70E740481C1C}">
                          <a14:useLocalDpi xmlns:a14="http://schemas.microsoft.com/office/drawing/2010/main" val="false"/>
                        </a:ext>
                      </a:extLst>
                    </a:blip>
                    <a:srcRect/>
                    <a:stretch>
                      <a:fillRect/>
                    </a:stretch>
                  </pic:blipFill>
                  <pic:spPr>
                    <a:xfrm>
                      <a:off x="0" y="0"/>
                      <a:ext cx="9730544" cy="3321275"/>
                    </a:xfrm>
                    <a:prstGeom prst="rect">
                      <a:avLst/>
                    </a:prstGeom>
                    <a:noFill/>
                  </pic:spPr>
                </pic:pic>
              </a:graphicData>
            </a:graphic>
          </wp:inline>
        </w:drawing>
      </w:r>
    </w:p>
    <w:p>
      <w:pPr>
        <w:pStyle w:val="100"/>
      </w:pPr>
      <w:r>
        <w:rPr>
          <w:rFonts w:hint="eastAsia"/>
        </w:rPr>
        <w:t>部门财政拨款“三公”经费支出决算表样式</w:t>
      </w:r>
    </w:p>
    <w:p>
      <w:pPr>
        <w:pStyle w:val="149"/>
        <w:numPr>
          <w:ilvl w:val="0"/>
          <w:numId w:val="0"/>
        </w:numPr>
        <w:ind w:firstLine="420"/>
      </w:pPr>
    </w:p>
    <w:p>
      <w:pPr>
        <w:pStyle w:val="149"/>
        <w:numPr>
          <w:ilvl w:val="0"/>
          <w:numId w:val="0"/>
        </w:numPr>
        <w:ind w:firstLine="420"/>
      </w:pPr>
      <w:r>
        <mc:AlternateContent>
          <mc:Choice Requires="wps">
            <w:drawing>
              <wp:anchor distT="0" distB="0" distL="114300" distR="114300" simplePos="0" relativeHeight="251660288" behindDoc="0" locked="0" layoutInCell="1" allowOverlap="1">
                <wp:simplePos x="0" y="0"/>
                <wp:positionH relativeFrom="column">
                  <wp:posOffset>3110865</wp:posOffset>
                </wp:positionH>
                <wp:positionV relativeFrom="paragraph">
                  <wp:posOffset>640080</wp:posOffset>
                </wp:positionV>
                <wp:extent cx="3768090" cy="0"/>
                <wp:effectExtent l="0" t="0" r="23495" b="19050"/>
                <wp:wrapNone/>
                <wp:docPr id="26" name="直接连接符 26"/>
                <wp:cNvGraphicFramePr/>
                <a:graphic xmlns:a="http://schemas.openxmlformats.org/drawingml/2006/main">
                  <a:graphicData uri="http://schemas.microsoft.com/office/word/2010/wordprocessingShape">
                    <wps:wsp>
                      <wps:cNvCnPr/>
                      <wps:spPr>
                        <a:xfrm>
                          <a:off x="0" y="0"/>
                          <a:ext cx="37679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44.95pt;margin-top:50.4pt;height:0pt;width:296.7pt;z-index:251660288;mso-width-relative:page;mso-height-relative:page;" filled="f" stroked="t" coordsize="21600,21600" o:gfxdata="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BYAAABkcnMvUEsBAhQAFAAAAAgAh07iQHs1Qv3XAAAADAEAAA8A&#10;AAAAAAAAAQAgAAAAOAAAAGRycy9kb3ducmV2LnhtbFBLAQIUABQAAAAIAIdO4kABU73WyQEAAGUD&#10;AAAOAAAAAAAAAAEAIAAAADwBAABkcnMvZTJvRG9jLnhtbFBLBQYAAAAABgAGAFkBAAB3BQAAAAA=&#10;">
                <v:fill on="f" focussize="0,0"/>
                <v:stroke weight="0.5pt" color="#000000 [3200]" miterlimit="8" joinstyle="miter"/>
                <v:imagedata o:title=""/>
                <o:lock v:ext="edit" aspectratio="f"/>
              </v:line>
            </w:pict>
          </mc:Fallback>
        </mc:AlternateContent>
      </w:r>
    </w:p>
    <w:sectPr>
      <w:pgSz w:w="16838" w:h="11906" w:orient="landscape"/>
      <w:pgMar w:top="1418" w:right="567" w:bottom="1134" w:left="1134" w:header="1134" w:footer="851" w:gutter="0"/>
      <w:cols w:space="425" w:num="1"/>
      <w:formProt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FreeSerif"/>
    <w:panose1 w:val="02040503050406030204"/>
    <w:charset w:val="00"/>
    <w:family w:val="roman"/>
    <w:pitch w:val="default"/>
    <w:sig w:usb0="00000000" w:usb1="00000000" w:usb2="02000000" w:usb3="00000000" w:csb0="0000019F" w:csb1="00000000"/>
  </w:font>
  <w:font w:name="Calibri Light">
    <w:altName w:val="DejaVu Sans"/>
    <w:panose1 w:val="020F0302020204030204"/>
    <w:charset w:val="00"/>
    <w:family w:val="swiss"/>
    <w:pitch w:val="default"/>
    <w:sig w:usb0="00000000" w:usb1="00000000" w:usb2="00000009" w:usb3="00000000" w:csb0="000001FF" w:csb1="00000000"/>
  </w:font>
  <w:font w:name="仿宋_GB2312">
    <w:panose1 w:val="02010609030101010101"/>
    <w:charset w:val="86"/>
    <w:family w:val="modern"/>
    <w:pitch w:val="default"/>
    <w:sig w:usb0="00000001" w:usb1="080E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DejaVu Math TeX Gyre">
    <w:panose1 w:val="02000503000000000000"/>
    <w:charset w:val="00"/>
    <w:family w:val="auto"/>
    <w:pitch w:val="default"/>
    <w:sig w:usb0="A10000EF" w:usb1="4201F9EE" w:usb2="02000000" w:usb3="00000000" w:csb0="60000193" w:csb1="0DD4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24825795"/>
      <w:docPartObj>
        <w:docPartGallery w:val="autotext"/>
      </w:docPartObj>
    </w:sdtPr>
    <w:sdtContent>
      <w:p>
        <w:pPr>
          <w:pStyle w:val="19"/>
          <w:jc w:val="center"/>
        </w:pPr>
        <w:r>
          <w:fldChar w:fldCharType="begin"/>
        </w:r>
        <w:r>
          <w:instrText xml:space="preserve">PAGE   \* MERGEFORMAT</w:instrText>
        </w:r>
        <w:r>
          <w:fldChar w:fldCharType="separate"/>
        </w:r>
        <w:r>
          <w:rPr>
            <w:lang w:val="zh-CN"/>
          </w:rPr>
          <w:t>1</w:t>
        </w:r>
        <w:r>
          <w:fldChar w:fldCharType="end"/>
        </w:r>
      </w:p>
    </w:sdtContent>
  </w:sdt>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86105754"/>
      <w:docPartObj>
        <w:docPartGallery w:val="autotext"/>
      </w:docPartObj>
    </w:sdtPr>
    <w:sdtContent>
      <w:p>
        <w:pPr>
          <w:pStyle w:val="19"/>
          <w:jc w:val="center"/>
        </w:pPr>
        <w:r>
          <w:fldChar w:fldCharType="begin"/>
        </w:r>
        <w:r>
          <w:instrText xml:space="preserve">PAGE   \* MERGEFORMAT</w:instrText>
        </w:r>
        <w:r>
          <w:fldChar w:fldCharType="separate"/>
        </w:r>
        <w:r>
          <w:rPr>
            <w:lang w:val="zh-CN"/>
          </w:rPr>
          <w:t>3</w:t>
        </w:r>
        <w:r>
          <w:fldChar w:fldCharType="end"/>
        </w:r>
      </w:p>
    </w:sdtContent>
  </w:sdt>
  <w:p>
    <w:pPr>
      <w:pStyle w:val="4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Pr>
    <w:r>
      <w:rPr>
        <w:rFonts w:hint="eastAsia"/>
      </w:rPr>
      <w:t xml:space="preserve">邢JG </w:t>
    </w:r>
    <w:r>
      <w:t>ZC</w:t>
    </w:r>
    <w:r>
      <w:rPr>
        <w:rFonts w:hint="eastAsia"/>
      </w:rPr>
      <w:t>.</w:t>
    </w:r>
    <w:r>
      <w:rPr>
        <w:rFonts w:hint="eastAsia"/>
        <w:lang w:val="en-US" w:eastAsia="zh-CN"/>
      </w:rPr>
      <w:t>220.</w:t>
    </w:r>
    <w:r>
      <w:t>001</w:t>
    </w:r>
    <w:r>
      <w:rPr>
        <w:rFonts w:hint="eastAsia"/>
      </w:rPr>
      <w:t>—202</w:t>
    </w:r>
    <w: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9102AD"/>
    <w:multiLevelType w:val="multilevel"/>
    <w:tmpl w:val="079102AD"/>
    <w:lvl w:ilvl="0" w:tentative="0">
      <w:start w:val="1"/>
      <w:numFmt w:val="decimal"/>
      <w:pStyle w:val="59"/>
      <w:suff w:val="nothing"/>
      <w:lvlText w:val="注%1："/>
      <w:lvlJc w:val="left"/>
      <w:pPr>
        <w:ind w:left="811" w:hanging="448"/>
      </w:pPr>
      <w:rPr>
        <w:rFonts w:hint="eastAsia" w:ascii="黑体" w:eastAsia="黑体"/>
        <w:b w:val="0"/>
        <w:i w:val="0"/>
        <w:sz w:val="18"/>
        <w:lang w:val="en-US"/>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
    <w:nsid w:val="093C6778"/>
    <w:multiLevelType w:val="multilevel"/>
    <w:tmpl w:val="093C6778"/>
    <w:lvl w:ilvl="0" w:tentative="0">
      <w:start w:val="1"/>
      <w:numFmt w:val="decimal"/>
      <w:pStyle w:val="117"/>
      <w:suff w:val="nothing"/>
      <w:lvlText w:val="示例%1："/>
      <w:lvlJc w:val="left"/>
      <w:pPr>
        <w:ind w:left="0" w:firstLine="397"/>
      </w:pPr>
      <w:rPr>
        <w:rFonts w:hint="eastAsia" w:ascii="黑体" w:eastAsia="黑体"/>
        <w:sz w:val="18"/>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
    <w:nsid w:val="0AE367E9"/>
    <w:multiLevelType w:val="multilevel"/>
    <w:tmpl w:val="0AE367E9"/>
    <w:lvl w:ilvl="0" w:tentative="0">
      <w:start w:val="1"/>
      <w:numFmt w:val="none"/>
      <w:pStyle w:val="53"/>
      <w:suff w:val="nothing"/>
      <w:lvlText w:val="%1示例："/>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3">
    <w:nsid w:val="0D983844"/>
    <w:multiLevelType w:val="multilevel"/>
    <w:tmpl w:val="0D983844"/>
    <w:lvl w:ilvl="0" w:tentative="0">
      <w:start w:val="1"/>
      <w:numFmt w:val="decimal"/>
      <w:pStyle w:val="130"/>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4">
    <w:nsid w:val="0DDE2B46"/>
    <w:multiLevelType w:val="multilevel"/>
    <w:tmpl w:val="0DDE2B46"/>
    <w:lvl w:ilvl="0" w:tentative="0">
      <w:start w:val="1"/>
      <w:numFmt w:val="lowerLetter"/>
      <w:pStyle w:val="122"/>
      <w:suff w:val="nothing"/>
      <w:lvlText w:val="%1   "/>
      <w:lvlJc w:val="left"/>
      <w:pPr>
        <w:ind w:left="544" w:hanging="181"/>
      </w:pPr>
      <w:rPr>
        <w:rFonts w:hint="eastAsia" w:ascii="宋体" w:eastAsia="宋体"/>
        <w:b w:val="0"/>
        <w:i w:val="0"/>
        <w:sz w:val="18"/>
        <w:vertAlign w:val="superscript"/>
      </w:rPr>
    </w:lvl>
    <w:lvl w:ilvl="1" w:tentative="0">
      <w:start w:val="1"/>
      <w:numFmt w:val="lowerLetter"/>
      <w:lvlText w:val="%2"/>
      <w:lvlJc w:val="left"/>
      <w:pPr>
        <w:tabs>
          <w:tab w:val="left" w:pos="57"/>
        </w:tabs>
        <w:ind w:left="363" w:hanging="363"/>
      </w:pPr>
      <w:rPr>
        <w:rFonts w:hint="eastAsia"/>
      </w:rPr>
    </w:lvl>
    <w:lvl w:ilvl="2" w:tentative="0">
      <w:start w:val="1"/>
      <w:numFmt w:val="lowerRoman"/>
      <w:lvlText w:val="%3."/>
      <w:lvlJc w:val="right"/>
      <w:pPr>
        <w:tabs>
          <w:tab w:val="left" w:pos="57"/>
        </w:tabs>
        <w:ind w:left="363" w:hanging="363"/>
      </w:pPr>
      <w:rPr>
        <w:rFonts w:hint="eastAsia"/>
      </w:rPr>
    </w:lvl>
    <w:lvl w:ilvl="3" w:tentative="0">
      <w:start w:val="1"/>
      <w:numFmt w:val="decimal"/>
      <w:lvlText w:val="%4."/>
      <w:lvlJc w:val="left"/>
      <w:pPr>
        <w:tabs>
          <w:tab w:val="left" w:pos="57"/>
        </w:tabs>
        <w:ind w:left="363" w:hanging="363"/>
      </w:pPr>
      <w:rPr>
        <w:rFonts w:hint="eastAsia"/>
      </w:rPr>
    </w:lvl>
    <w:lvl w:ilvl="4" w:tentative="0">
      <w:start w:val="1"/>
      <w:numFmt w:val="lowerLetter"/>
      <w:lvlText w:val="%5)"/>
      <w:lvlJc w:val="left"/>
      <w:pPr>
        <w:tabs>
          <w:tab w:val="left" w:pos="57"/>
        </w:tabs>
        <w:ind w:left="363" w:hanging="363"/>
      </w:pPr>
      <w:rPr>
        <w:rFonts w:hint="eastAsia"/>
      </w:rPr>
    </w:lvl>
    <w:lvl w:ilvl="5" w:tentative="0">
      <w:start w:val="1"/>
      <w:numFmt w:val="lowerRoman"/>
      <w:lvlText w:val="%6."/>
      <w:lvlJc w:val="right"/>
      <w:pPr>
        <w:tabs>
          <w:tab w:val="left" w:pos="57"/>
        </w:tabs>
        <w:ind w:left="363" w:hanging="363"/>
      </w:pPr>
      <w:rPr>
        <w:rFonts w:hint="eastAsia"/>
      </w:rPr>
    </w:lvl>
    <w:lvl w:ilvl="6" w:tentative="0">
      <w:start w:val="1"/>
      <w:numFmt w:val="decimal"/>
      <w:lvlText w:val="%7."/>
      <w:lvlJc w:val="left"/>
      <w:pPr>
        <w:tabs>
          <w:tab w:val="left" w:pos="57"/>
        </w:tabs>
        <w:ind w:left="363" w:hanging="363"/>
      </w:pPr>
      <w:rPr>
        <w:rFonts w:hint="eastAsia"/>
      </w:rPr>
    </w:lvl>
    <w:lvl w:ilvl="7" w:tentative="0">
      <w:start w:val="1"/>
      <w:numFmt w:val="lowerLetter"/>
      <w:lvlText w:val="%8)"/>
      <w:lvlJc w:val="left"/>
      <w:pPr>
        <w:tabs>
          <w:tab w:val="left" w:pos="57"/>
        </w:tabs>
        <w:ind w:left="363" w:hanging="363"/>
      </w:pPr>
      <w:rPr>
        <w:rFonts w:hint="eastAsia"/>
      </w:rPr>
    </w:lvl>
    <w:lvl w:ilvl="8" w:tentative="0">
      <w:start w:val="1"/>
      <w:numFmt w:val="lowerRoman"/>
      <w:lvlText w:val="%9."/>
      <w:lvlJc w:val="right"/>
      <w:pPr>
        <w:tabs>
          <w:tab w:val="left" w:pos="57"/>
        </w:tabs>
        <w:ind w:left="363" w:hanging="363"/>
      </w:pPr>
      <w:rPr>
        <w:rFonts w:hint="eastAsia"/>
      </w:rPr>
    </w:lvl>
  </w:abstractNum>
  <w:abstractNum w:abstractNumId="5">
    <w:nsid w:val="16667BBD"/>
    <w:multiLevelType w:val="multilevel"/>
    <w:tmpl w:val="16667BBD"/>
    <w:lvl w:ilvl="0" w:tentative="0">
      <w:start w:val="1"/>
      <w:numFmt w:val="lowerLetter"/>
      <w:pStyle w:val="60"/>
      <w:lvlText w:val="%1)"/>
      <w:lvlJc w:val="left"/>
      <w:pPr>
        <w:tabs>
          <w:tab w:val="left" w:pos="840"/>
        </w:tabs>
        <w:ind w:left="839" w:hanging="419"/>
      </w:pPr>
      <w:rPr>
        <w:rFonts w:hint="eastAsia"/>
        <w:b w:val="0"/>
        <w:i w:val="0"/>
        <w:sz w:val="21"/>
        <w:szCs w:val="21"/>
      </w:rPr>
    </w:lvl>
    <w:lvl w:ilvl="1" w:tentative="0">
      <w:start w:val="1"/>
      <w:numFmt w:val="decimal"/>
      <w:pStyle w:val="55"/>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6">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suff w:val="nothing"/>
      <w:lvlText w:val="%1.%2.%3 "/>
      <w:lvlJc w:val="left"/>
      <w:pPr>
        <w:ind w:left="710" w:firstLine="0"/>
      </w:pPr>
      <w:rPr>
        <w:rFonts w:hint="eastAsia" w:ascii="黑体" w:hAnsi="Times New Roman" w:eastAsia="黑体"/>
        <w:b w:val="0"/>
        <w:i w:val="0"/>
        <w:sz w:val="21"/>
      </w:rPr>
    </w:lvl>
    <w:lvl w:ilvl="3" w:tentative="0">
      <w:start w:val="1"/>
      <w:numFmt w:val="decimal"/>
      <w:lvlText w:val="%1.%2.%3.%4 "/>
      <w:lvlJc w:val="left"/>
      <w:pPr>
        <w:ind w:left="0" w:firstLine="0"/>
      </w:pPr>
      <w:rPr>
        <w:rFonts w:hint="default"/>
      </w:rPr>
    </w:lvl>
    <w:lvl w:ilvl="4" w:tentative="0">
      <w:start w:val="1"/>
      <w:numFmt w:val="decimal"/>
      <w:pStyle w:val="119"/>
      <w:suff w:val="nothing"/>
      <w:lvlText w:val="%1.%2.%3.%4.%5 "/>
      <w:lvlJc w:val="left"/>
      <w:pPr>
        <w:ind w:left="0" w:firstLine="0"/>
      </w:pPr>
      <w:rPr>
        <w:rFonts w:hint="eastAsia" w:ascii="黑体" w:hAnsi="Times New Roman" w:eastAsia="黑体"/>
        <w:b w:val="0"/>
        <w:i w:val="0"/>
        <w:sz w:val="21"/>
      </w:rPr>
    </w:lvl>
    <w:lvl w:ilvl="5" w:tentative="0">
      <w:start w:val="1"/>
      <w:numFmt w:val="decimal"/>
      <w:pStyle w:val="125"/>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7">
    <w:nsid w:val="22827D5B"/>
    <w:multiLevelType w:val="multilevel"/>
    <w:tmpl w:val="22827D5B"/>
    <w:lvl w:ilvl="0" w:tentative="0">
      <w:start w:val="1"/>
      <w:numFmt w:val="none"/>
      <w:pStyle w:val="65"/>
      <w:suff w:val="nothing"/>
      <w:lvlText w:val="%1注："/>
      <w:lvlJc w:val="left"/>
      <w:pPr>
        <w:ind w:left="789" w:hanging="363"/>
      </w:pPr>
      <w:rPr>
        <w:rFonts w:hint="eastAsia" w:ascii="黑体" w:hAnsi="Times New Roman" w:eastAsia="黑体"/>
        <w:b w:val="0"/>
        <w:i w:val="0"/>
        <w:color w:val="000000" w:themeColor="text1"/>
        <w:sz w:val="18"/>
        <w14:textFill>
          <w14:solidFill>
            <w14:schemeClr w14:val="tx1"/>
          </w14:solidFill>
        </w14:textFill>
      </w:rPr>
    </w:lvl>
    <w:lvl w:ilvl="1" w:tentative="0">
      <w:start w:val="1"/>
      <w:numFmt w:val="lowerLetter"/>
      <w:lvlText w:val="%2)"/>
      <w:lvlJc w:val="left"/>
      <w:pPr>
        <w:tabs>
          <w:tab w:val="left" w:pos="1203"/>
        </w:tabs>
        <w:ind w:left="789" w:hanging="363"/>
      </w:pPr>
      <w:rPr>
        <w:rFonts w:hint="eastAsia"/>
      </w:rPr>
    </w:lvl>
    <w:lvl w:ilvl="2" w:tentative="0">
      <w:start w:val="1"/>
      <w:numFmt w:val="lowerRoman"/>
      <w:lvlText w:val="%3."/>
      <w:lvlJc w:val="right"/>
      <w:pPr>
        <w:tabs>
          <w:tab w:val="left" w:pos="1203"/>
        </w:tabs>
        <w:ind w:left="789" w:hanging="363"/>
      </w:pPr>
      <w:rPr>
        <w:rFonts w:hint="eastAsia"/>
      </w:rPr>
    </w:lvl>
    <w:lvl w:ilvl="3" w:tentative="0">
      <w:start w:val="1"/>
      <w:numFmt w:val="decimal"/>
      <w:lvlText w:val="%4."/>
      <w:lvlJc w:val="left"/>
      <w:pPr>
        <w:tabs>
          <w:tab w:val="left" w:pos="1203"/>
        </w:tabs>
        <w:ind w:left="789" w:hanging="363"/>
      </w:pPr>
      <w:rPr>
        <w:rFonts w:hint="eastAsia"/>
      </w:rPr>
    </w:lvl>
    <w:lvl w:ilvl="4" w:tentative="0">
      <w:start w:val="1"/>
      <w:numFmt w:val="lowerLetter"/>
      <w:lvlText w:val="%5)"/>
      <w:lvlJc w:val="left"/>
      <w:pPr>
        <w:tabs>
          <w:tab w:val="left" w:pos="1203"/>
        </w:tabs>
        <w:ind w:left="789" w:hanging="363"/>
      </w:pPr>
      <w:rPr>
        <w:rFonts w:hint="eastAsia"/>
      </w:rPr>
    </w:lvl>
    <w:lvl w:ilvl="5" w:tentative="0">
      <w:start w:val="1"/>
      <w:numFmt w:val="lowerRoman"/>
      <w:lvlText w:val="%6."/>
      <w:lvlJc w:val="right"/>
      <w:pPr>
        <w:tabs>
          <w:tab w:val="left" w:pos="1203"/>
        </w:tabs>
        <w:ind w:left="789" w:hanging="363"/>
      </w:pPr>
      <w:rPr>
        <w:rFonts w:hint="eastAsia"/>
      </w:rPr>
    </w:lvl>
    <w:lvl w:ilvl="6" w:tentative="0">
      <w:start w:val="1"/>
      <w:numFmt w:val="decimal"/>
      <w:lvlText w:val="%7."/>
      <w:lvlJc w:val="left"/>
      <w:pPr>
        <w:tabs>
          <w:tab w:val="left" w:pos="1203"/>
        </w:tabs>
        <w:ind w:left="789" w:hanging="363"/>
      </w:pPr>
      <w:rPr>
        <w:rFonts w:hint="eastAsia"/>
      </w:rPr>
    </w:lvl>
    <w:lvl w:ilvl="7" w:tentative="0">
      <w:start w:val="1"/>
      <w:numFmt w:val="lowerLetter"/>
      <w:lvlText w:val="%8)"/>
      <w:lvlJc w:val="left"/>
      <w:pPr>
        <w:tabs>
          <w:tab w:val="left" w:pos="1203"/>
        </w:tabs>
        <w:ind w:left="789" w:hanging="363"/>
      </w:pPr>
      <w:rPr>
        <w:rFonts w:hint="eastAsia"/>
      </w:rPr>
    </w:lvl>
    <w:lvl w:ilvl="8" w:tentative="0">
      <w:start w:val="1"/>
      <w:numFmt w:val="lowerRoman"/>
      <w:lvlText w:val="%9."/>
      <w:lvlJc w:val="right"/>
      <w:pPr>
        <w:tabs>
          <w:tab w:val="left" w:pos="1203"/>
        </w:tabs>
        <w:ind w:left="789" w:hanging="363"/>
      </w:pPr>
      <w:rPr>
        <w:rFonts w:hint="eastAsia"/>
      </w:rPr>
    </w:lvl>
  </w:abstractNum>
  <w:abstractNum w:abstractNumId="8">
    <w:nsid w:val="2A8F7113"/>
    <w:multiLevelType w:val="multilevel"/>
    <w:tmpl w:val="2A8F7113"/>
    <w:lvl w:ilvl="0" w:tentative="0">
      <w:start w:val="1"/>
      <w:numFmt w:val="upperLetter"/>
      <w:pStyle w:val="99"/>
      <w:suff w:val="space"/>
      <w:lvlText w:val="%1"/>
      <w:lvlJc w:val="left"/>
      <w:pPr>
        <w:ind w:left="623" w:hanging="425"/>
      </w:pPr>
      <w:rPr>
        <w:rFonts w:hint="eastAsia"/>
      </w:rPr>
    </w:lvl>
    <w:lvl w:ilvl="1" w:tentative="0">
      <w:start w:val="1"/>
      <w:numFmt w:val="decimal"/>
      <w:pStyle w:val="100"/>
      <w:suff w:val="nothing"/>
      <w:lvlText w:val="图%1.%2　"/>
      <w:lvlJc w:val="left"/>
      <w:pPr>
        <w:ind w:left="8080" w:hanging="567"/>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9">
    <w:nsid w:val="2C5917C3"/>
    <w:multiLevelType w:val="multilevel"/>
    <w:tmpl w:val="2C5917C3"/>
    <w:lvl w:ilvl="0" w:tentative="0">
      <w:start w:val="1"/>
      <w:numFmt w:val="none"/>
      <w:pStyle w:val="49"/>
      <w:suff w:val="nothing"/>
      <w:lvlText w:val="%1——"/>
      <w:lvlJc w:val="left"/>
      <w:pPr>
        <w:ind w:left="833" w:hanging="408"/>
      </w:pPr>
      <w:rPr>
        <w:rFonts w:hint="eastAsia"/>
        <w:lang w:val="en-US"/>
      </w:rPr>
    </w:lvl>
    <w:lvl w:ilvl="1" w:tentative="0">
      <w:start w:val="1"/>
      <w:numFmt w:val="bullet"/>
      <w:pStyle w:val="50"/>
      <w:lvlText w:val=""/>
      <w:lvlJc w:val="left"/>
      <w:pPr>
        <w:tabs>
          <w:tab w:val="left" w:pos="760"/>
        </w:tabs>
        <w:ind w:left="1264" w:hanging="413"/>
      </w:pPr>
      <w:rPr>
        <w:rFonts w:hint="default" w:ascii="Symbol" w:hAnsi="Symbol"/>
        <w:color w:val="auto"/>
      </w:rPr>
    </w:lvl>
    <w:lvl w:ilvl="2" w:tentative="0">
      <w:start w:val="1"/>
      <w:numFmt w:val="bullet"/>
      <w:pStyle w:val="61"/>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0">
    <w:nsid w:val="3D733618"/>
    <w:multiLevelType w:val="multilevel"/>
    <w:tmpl w:val="3D733618"/>
    <w:lvl w:ilvl="0" w:tentative="0">
      <w:start w:val="1"/>
      <w:numFmt w:val="decimal"/>
      <w:pStyle w:val="26"/>
      <w:lvlText w:val="%1)"/>
      <w:lvlJc w:val="left"/>
      <w:pPr>
        <w:tabs>
          <w:tab w:val="left" w:pos="0"/>
        </w:tabs>
        <w:ind w:left="720" w:hanging="357"/>
      </w:pPr>
      <w:rPr>
        <w:rFonts w:hint="eastAsia"/>
      </w:rPr>
    </w:lvl>
    <w:lvl w:ilvl="1" w:tentative="0">
      <w:start w:val="1"/>
      <w:numFmt w:val="lowerLetter"/>
      <w:lvlText w:val="%2)"/>
      <w:lvlJc w:val="left"/>
      <w:pPr>
        <w:tabs>
          <w:tab w:val="left" w:pos="504"/>
        </w:tabs>
        <w:ind w:left="544" w:hanging="544"/>
      </w:pPr>
      <w:rPr>
        <w:rFonts w:hint="eastAsia"/>
      </w:rPr>
    </w:lvl>
    <w:lvl w:ilvl="2" w:tentative="0">
      <w:start w:val="1"/>
      <w:numFmt w:val="lowerRoman"/>
      <w:lvlText w:val="%3."/>
      <w:lvlJc w:val="right"/>
      <w:pPr>
        <w:tabs>
          <w:tab w:val="left" w:pos="532"/>
        </w:tabs>
        <w:ind w:left="544" w:hanging="544"/>
      </w:pPr>
      <w:rPr>
        <w:rFonts w:hint="eastAsia"/>
      </w:rPr>
    </w:lvl>
    <w:lvl w:ilvl="3" w:tentative="0">
      <w:start w:val="1"/>
      <w:numFmt w:val="decimal"/>
      <w:lvlText w:val="%4."/>
      <w:lvlJc w:val="left"/>
      <w:pPr>
        <w:tabs>
          <w:tab w:val="left" w:pos="560"/>
        </w:tabs>
        <w:ind w:left="544" w:hanging="544"/>
      </w:pPr>
      <w:rPr>
        <w:rFonts w:hint="eastAsia"/>
      </w:rPr>
    </w:lvl>
    <w:lvl w:ilvl="4" w:tentative="0">
      <w:start w:val="1"/>
      <w:numFmt w:val="lowerLetter"/>
      <w:lvlText w:val="%5)"/>
      <w:lvlJc w:val="left"/>
      <w:pPr>
        <w:tabs>
          <w:tab w:val="left" w:pos="588"/>
        </w:tabs>
        <w:ind w:left="544" w:hanging="544"/>
      </w:pPr>
      <w:rPr>
        <w:rFonts w:hint="eastAsia"/>
      </w:rPr>
    </w:lvl>
    <w:lvl w:ilvl="5" w:tentative="0">
      <w:start w:val="1"/>
      <w:numFmt w:val="lowerRoman"/>
      <w:lvlText w:val="%6."/>
      <w:lvlJc w:val="right"/>
      <w:pPr>
        <w:tabs>
          <w:tab w:val="left" w:pos="616"/>
        </w:tabs>
        <w:ind w:left="544" w:hanging="544"/>
      </w:pPr>
      <w:rPr>
        <w:rFonts w:hint="eastAsia"/>
      </w:rPr>
    </w:lvl>
    <w:lvl w:ilvl="6" w:tentative="0">
      <w:start w:val="1"/>
      <w:numFmt w:val="decimal"/>
      <w:lvlText w:val="%7."/>
      <w:lvlJc w:val="left"/>
      <w:pPr>
        <w:tabs>
          <w:tab w:val="left" w:pos="644"/>
        </w:tabs>
        <w:ind w:left="544" w:hanging="544"/>
      </w:pPr>
      <w:rPr>
        <w:rFonts w:hint="eastAsia"/>
      </w:rPr>
    </w:lvl>
    <w:lvl w:ilvl="7" w:tentative="0">
      <w:start w:val="1"/>
      <w:numFmt w:val="lowerLetter"/>
      <w:lvlText w:val="%8)"/>
      <w:lvlJc w:val="left"/>
      <w:pPr>
        <w:tabs>
          <w:tab w:val="left" w:pos="672"/>
        </w:tabs>
        <w:ind w:left="544" w:hanging="544"/>
      </w:pPr>
      <w:rPr>
        <w:rFonts w:hint="eastAsia"/>
      </w:rPr>
    </w:lvl>
    <w:lvl w:ilvl="8" w:tentative="0">
      <w:start w:val="1"/>
      <w:numFmt w:val="lowerRoman"/>
      <w:lvlText w:val="%9."/>
      <w:lvlJc w:val="right"/>
      <w:pPr>
        <w:tabs>
          <w:tab w:val="left" w:pos="700"/>
        </w:tabs>
        <w:ind w:left="544" w:hanging="544"/>
      </w:pPr>
      <w:rPr>
        <w:rFonts w:hint="eastAsia"/>
      </w:rPr>
    </w:lvl>
  </w:abstractNum>
  <w:abstractNum w:abstractNumId="11">
    <w:nsid w:val="4B733A5F"/>
    <w:multiLevelType w:val="multilevel"/>
    <w:tmpl w:val="4B733A5F"/>
    <w:lvl w:ilvl="0" w:tentative="0">
      <w:start w:val="1"/>
      <w:numFmt w:val="decimal"/>
      <w:pStyle w:val="63"/>
      <w:suff w:val="nothing"/>
      <w:lvlText w:val="示例%1："/>
      <w:lvlJc w:val="left"/>
      <w:pPr>
        <w:ind w:left="0" w:firstLine="363"/>
      </w:pPr>
      <w:rPr>
        <w:rFonts w:hint="eastAsia" w:ascii="黑体" w:hAnsi="Times New Roman" w:eastAsia="黑体"/>
        <w:b w:val="0"/>
        <w:i w:val="0"/>
        <w:sz w:val="18"/>
        <w:szCs w:val="18"/>
        <w:vertAlign w:val="baseline"/>
      </w:rPr>
    </w:lvl>
    <w:lvl w:ilvl="1" w:tentative="0">
      <w:start w:val="1"/>
      <w:numFmt w:val="none"/>
      <w:suff w:val="space"/>
      <w:lvlText w:val=""/>
      <w:lvlJc w:val="left"/>
      <w:pPr>
        <w:ind w:left="0" w:firstLine="0"/>
      </w:pPr>
      <w:rPr>
        <w:rFonts w:hint="eastAsia"/>
        <w:vertAlign w:val="baseline"/>
      </w:rPr>
    </w:lvl>
    <w:lvl w:ilvl="2" w:tentative="0">
      <w:start w:val="1"/>
      <w:numFmt w:val="decimal"/>
      <w:suff w:val="space"/>
      <w:lvlText w:val="2.2.%3"/>
      <w:lvlJc w:val="left"/>
      <w:pPr>
        <w:ind w:left="0" w:firstLine="0"/>
      </w:pPr>
      <w:rPr>
        <w:rFonts w:hint="eastAsia"/>
        <w:vertAlign w:val="baseline"/>
      </w:rPr>
    </w:lvl>
    <w:lvl w:ilvl="3" w:tentative="0">
      <w:start w:val="1"/>
      <w:numFmt w:val="decimal"/>
      <w:lvlText w:val="%4."/>
      <w:lvlJc w:val="left"/>
      <w:pPr>
        <w:tabs>
          <w:tab w:val="left" w:pos="0"/>
        </w:tabs>
        <w:ind w:left="992" w:hanging="629"/>
      </w:pPr>
      <w:rPr>
        <w:rFonts w:hint="eastAsia"/>
        <w:vertAlign w:val="baseline"/>
      </w:rPr>
    </w:lvl>
    <w:lvl w:ilvl="4" w:tentative="0">
      <w:start w:val="1"/>
      <w:numFmt w:val="lowerLetter"/>
      <w:lvlText w:val="%5)"/>
      <w:lvlJc w:val="left"/>
      <w:pPr>
        <w:tabs>
          <w:tab w:val="left" w:pos="0"/>
        </w:tabs>
        <w:ind w:left="992" w:hanging="629"/>
      </w:pPr>
      <w:rPr>
        <w:rFonts w:hint="eastAsia"/>
        <w:vertAlign w:val="baseline"/>
      </w:rPr>
    </w:lvl>
    <w:lvl w:ilvl="5" w:tentative="0">
      <w:start w:val="1"/>
      <w:numFmt w:val="lowerRoman"/>
      <w:lvlText w:val="%6."/>
      <w:lvlJc w:val="right"/>
      <w:pPr>
        <w:tabs>
          <w:tab w:val="left" w:pos="0"/>
        </w:tabs>
        <w:ind w:left="992" w:hanging="629"/>
      </w:pPr>
      <w:rPr>
        <w:rFonts w:hint="eastAsia"/>
        <w:vertAlign w:val="baseline"/>
      </w:rPr>
    </w:lvl>
    <w:lvl w:ilvl="6" w:tentative="0">
      <w:start w:val="1"/>
      <w:numFmt w:val="decimal"/>
      <w:lvlText w:val="%7."/>
      <w:lvlJc w:val="left"/>
      <w:pPr>
        <w:tabs>
          <w:tab w:val="left" w:pos="0"/>
        </w:tabs>
        <w:ind w:left="992" w:hanging="629"/>
      </w:pPr>
      <w:rPr>
        <w:rFonts w:hint="eastAsia"/>
        <w:vertAlign w:val="baseline"/>
      </w:rPr>
    </w:lvl>
    <w:lvl w:ilvl="7" w:tentative="0">
      <w:start w:val="1"/>
      <w:numFmt w:val="lowerLetter"/>
      <w:lvlText w:val="%8)"/>
      <w:lvlJc w:val="left"/>
      <w:pPr>
        <w:tabs>
          <w:tab w:val="left" w:pos="0"/>
        </w:tabs>
        <w:ind w:left="992" w:hanging="629"/>
      </w:pPr>
      <w:rPr>
        <w:rFonts w:hint="eastAsia"/>
        <w:vertAlign w:val="baseline"/>
      </w:rPr>
    </w:lvl>
    <w:lvl w:ilvl="8" w:tentative="0">
      <w:start w:val="1"/>
      <w:numFmt w:val="lowerRoman"/>
      <w:lvlText w:val="%9."/>
      <w:lvlJc w:val="right"/>
      <w:pPr>
        <w:tabs>
          <w:tab w:val="left" w:pos="0"/>
        </w:tabs>
        <w:ind w:left="992" w:hanging="629"/>
      </w:pPr>
      <w:rPr>
        <w:rFonts w:hint="eastAsia"/>
        <w:vertAlign w:val="baseline"/>
      </w:rPr>
    </w:lvl>
  </w:abstractNum>
  <w:abstractNum w:abstractNumId="12">
    <w:nsid w:val="60B55DC2"/>
    <w:multiLevelType w:val="multilevel"/>
    <w:tmpl w:val="60B55DC2"/>
    <w:lvl w:ilvl="0" w:tentative="0">
      <w:start w:val="1"/>
      <w:numFmt w:val="upperLetter"/>
      <w:pStyle w:val="87"/>
      <w:lvlText w:val="%1"/>
      <w:lvlJc w:val="left"/>
      <w:pPr>
        <w:tabs>
          <w:tab w:val="left" w:pos="0"/>
        </w:tabs>
        <w:ind w:left="0" w:hanging="425"/>
      </w:pPr>
      <w:rPr>
        <w:rFonts w:hint="eastAsia"/>
      </w:rPr>
    </w:lvl>
    <w:lvl w:ilvl="1" w:tentative="0">
      <w:start w:val="1"/>
      <w:numFmt w:val="decimal"/>
      <w:pStyle w:val="88"/>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13">
    <w:nsid w:val="646260FA"/>
    <w:multiLevelType w:val="multilevel"/>
    <w:tmpl w:val="646260FA"/>
    <w:lvl w:ilvl="0" w:tentative="0">
      <w:start w:val="1"/>
      <w:numFmt w:val="decimal"/>
      <w:pStyle w:val="128"/>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4">
    <w:nsid w:val="657D3FBC"/>
    <w:multiLevelType w:val="multilevel"/>
    <w:tmpl w:val="657D3FBC"/>
    <w:lvl w:ilvl="0" w:tentative="0">
      <w:start w:val="1"/>
      <w:numFmt w:val="upperLetter"/>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suff w:val="nothing"/>
      <w:lvlText w:val="%1.%2　"/>
      <w:lvlJc w:val="left"/>
      <w:pPr>
        <w:ind w:left="2836"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5">
    <w:nsid w:val="6A6D3780"/>
    <w:multiLevelType w:val="multilevel"/>
    <w:tmpl w:val="6A6D3780"/>
    <w:lvl w:ilvl="0" w:tentative="0">
      <w:start w:val="1"/>
      <w:numFmt w:val="decimal"/>
      <w:pStyle w:val="66"/>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16">
    <w:nsid w:val="6CE73117"/>
    <w:multiLevelType w:val="multilevel"/>
    <w:tmpl w:val="6CE73117"/>
    <w:lvl w:ilvl="0" w:tentative="0">
      <w:start w:val="1"/>
      <w:numFmt w:val="decimal"/>
      <w:pStyle w:val="46"/>
      <w:suff w:val="space"/>
      <w:lvlText w:val="%1 "/>
      <w:lvlJc w:val="left"/>
      <w:pPr>
        <w:ind w:left="0" w:firstLine="0"/>
      </w:pPr>
      <w:rPr>
        <w:rFonts w:hint="eastAsia" w:ascii="黑体" w:hAnsi="黑体" w:eastAsia="黑体"/>
        <w:sz w:val="21"/>
      </w:rPr>
    </w:lvl>
    <w:lvl w:ilvl="1" w:tentative="0">
      <w:start w:val="1"/>
      <w:numFmt w:val="decimal"/>
      <w:pStyle w:val="43"/>
      <w:suff w:val="space"/>
      <w:lvlText w:val="%1.%2 "/>
      <w:lvlJc w:val="left"/>
      <w:pPr>
        <w:ind w:left="0" w:firstLine="0"/>
      </w:pPr>
      <w:rPr>
        <w:rFonts w:hint="eastAsia" w:ascii="黑体" w:hAnsi="黑体" w:eastAsia="黑体"/>
      </w:rPr>
    </w:lvl>
    <w:lvl w:ilvl="2" w:tentative="0">
      <w:start w:val="1"/>
      <w:numFmt w:val="decimal"/>
      <w:pStyle w:val="47"/>
      <w:suff w:val="space"/>
      <w:lvlText w:val="%1.%2.%3 "/>
      <w:lvlJc w:val="left"/>
      <w:pPr>
        <w:ind w:left="0" w:firstLine="0"/>
      </w:pPr>
      <w:rPr>
        <w:rFonts w:hint="eastAsia" w:ascii="黑体" w:hAnsi="黑体" w:eastAsia="黑体"/>
      </w:rPr>
    </w:lvl>
    <w:lvl w:ilvl="3" w:tentative="0">
      <w:start w:val="1"/>
      <w:numFmt w:val="decimal"/>
      <w:pStyle w:val="52"/>
      <w:suff w:val="space"/>
      <w:lvlText w:val="%1.%2.%3.%4 "/>
      <w:lvlJc w:val="left"/>
      <w:pPr>
        <w:ind w:left="0" w:firstLine="0"/>
      </w:pPr>
      <w:rPr>
        <w:rFonts w:hint="eastAsia" w:ascii="黑体" w:hAnsi="黑体" w:eastAsia="黑体"/>
      </w:rPr>
    </w:lvl>
    <w:lvl w:ilvl="4" w:tentative="0">
      <w:start w:val="1"/>
      <w:numFmt w:val="decimal"/>
      <w:pStyle w:val="56"/>
      <w:suff w:val="space"/>
      <w:lvlText w:val="%1.%2.%3.%4.%5 "/>
      <w:lvlJc w:val="left"/>
      <w:pPr>
        <w:ind w:left="0" w:firstLine="0"/>
      </w:pPr>
      <w:rPr>
        <w:rFonts w:hint="eastAsia" w:ascii="黑体" w:hAnsi="黑体" w:eastAsia="黑体"/>
      </w:rPr>
    </w:lvl>
    <w:lvl w:ilvl="5" w:tentative="0">
      <w:start w:val="1"/>
      <w:numFmt w:val="decimal"/>
      <w:pStyle w:val="57"/>
      <w:suff w:val="space"/>
      <w:lvlText w:val="%1.%2.%3.%4.%5.%6 "/>
      <w:lvlJc w:val="left"/>
      <w:pPr>
        <w:ind w:left="0" w:firstLine="0"/>
      </w:pPr>
      <w:rPr>
        <w:rFonts w:hint="eastAsia" w:ascii="黑体" w:hAnsi="黑体" w:eastAsia="黑体"/>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7">
    <w:nsid w:val="6D6C07CD"/>
    <w:multiLevelType w:val="multilevel"/>
    <w:tmpl w:val="6D6C07CD"/>
    <w:lvl w:ilvl="0" w:tentative="0">
      <w:start w:val="1"/>
      <w:numFmt w:val="lowerLetter"/>
      <w:pStyle w:val="106"/>
      <w:lvlText w:val="%1)"/>
      <w:lvlJc w:val="left"/>
      <w:pPr>
        <w:tabs>
          <w:tab w:val="left" w:pos="839"/>
        </w:tabs>
        <w:ind w:left="839" w:hanging="419"/>
      </w:pPr>
      <w:rPr>
        <w:rFonts w:hint="eastAsia" w:ascii="宋体" w:eastAsia="宋体"/>
        <w:b w:val="0"/>
        <w:i w:val="0"/>
        <w:sz w:val="21"/>
      </w:rPr>
    </w:lvl>
    <w:lvl w:ilvl="1" w:tentative="0">
      <w:start w:val="1"/>
      <w:numFmt w:val="decimal"/>
      <w:pStyle w:val="96"/>
      <w:lvlText w:val="%2)"/>
      <w:lvlJc w:val="left"/>
      <w:pPr>
        <w:tabs>
          <w:tab w:val="left" w:pos="840"/>
        </w:tabs>
        <w:ind w:left="839" w:hanging="419"/>
      </w:pPr>
      <w:rPr>
        <w:rFonts w:hint="eastAsia" w:ascii="宋体" w:eastAsia="宋体"/>
        <w:b w:val="0"/>
        <w:i w:val="0"/>
        <w:sz w:val="21"/>
      </w:rPr>
    </w:lvl>
    <w:lvl w:ilvl="2" w:tentative="0">
      <w:start w:val="1"/>
      <w:numFmt w:val="lowerRoman"/>
      <w:lvlText w:val="%3."/>
      <w:lvlJc w:val="right"/>
      <w:pPr>
        <w:tabs>
          <w:tab w:val="left" w:pos="1260"/>
        </w:tabs>
        <w:ind w:left="1259" w:hanging="419"/>
      </w:pPr>
      <w:rPr>
        <w:rFonts w:hint="eastAsia"/>
      </w:rPr>
    </w:lvl>
    <w:lvl w:ilvl="3" w:tentative="0">
      <w:start w:val="1"/>
      <w:numFmt w:val="decimal"/>
      <w:lvlText w:val="%4."/>
      <w:lvlJc w:val="left"/>
      <w:pPr>
        <w:tabs>
          <w:tab w:val="left" w:pos="1680"/>
        </w:tabs>
        <w:ind w:left="1679" w:hanging="419"/>
      </w:pPr>
      <w:rPr>
        <w:rFonts w:hint="eastAsia"/>
      </w:rPr>
    </w:lvl>
    <w:lvl w:ilvl="4" w:tentative="0">
      <w:start w:val="1"/>
      <w:numFmt w:val="lowerLetter"/>
      <w:lvlText w:val="%5)"/>
      <w:lvlJc w:val="left"/>
      <w:pPr>
        <w:tabs>
          <w:tab w:val="left" w:pos="2100"/>
        </w:tabs>
        <w:ind w:left="2099" w:hanging="419"/>
      </w:pPr>
      <w:rPr>
        <w:rFonts w:hint="eastAsia"/>
      </w:rPr>
    </w:lvl>
    <w:lvl w:ilvl="5" w:tentative="0">
      <w:start w:val="1"/>
      <w:numFmt w:val="lowerRoman"/>
      <w:lvlText w:val="%6."/>
      <w:lvlJc w:val="right"/>
      <w:pPr>
        <w:tabs>
          <w:tab w:val="left" w:pos="2520"/>
        </w:tabs>
        <w:ind w:left="2519" w:hanging="419"/>
      </w:pPr>
      <w:rPr>
        <w:rFonts w:hint="eastAsia"/>
      </w:rPr>
    </w:lvl>
    <w:lvl w:ilvl="6" w:tentative="0">
      <w:start w:val="1"/>
      <w:numFmt w:val="decimal"/>
      <w:lvlText w:val="%7."/>
      <w:lvlJc w:val="left"/>
      <w:pPr>
        <w:tabs>
          <w:tab w:val="left" w:pos="2940"/>
        </w:tabs>
        <w:ind w:left="2939" w:hanging="419"/>
      </w:pPr>
      <w:rPr>
        <w:rFonts w:hint="eastAsia"/>
      </w:rPr>
    </w:lvl>
    <w:lvl w:ilvl="7" w:tentative="0">
      <w:start w:val="1"/>
      <w:numFmt w:val="lowerLetter"/>
      <w:lvlText w:val="%8)"/>
      <w:lvlJc w:val="left"/>
      <w:pPr>
        <w:tabs>
          <w:tab w:val="left" w:pos="3360"/>
        </w:tabs>
        <w:ind w:left="3359" w:hanging="419"/>
      </w:pPr>
      <w:rPr>
        <w:rFonts w:hint="eastAsia"/>
      </w:rPr>
    </w:lvl>
    <w:lvl w:ilvl="8" w:tentative="0">
      <w:start w:val="1"/>
      <w:numFmt w:val="lowerRoman"/>
      <w:lvlText w:val="%9."/>
      <w:lvlJc w:val="right"/>
      <w:pPr>
        <w:tabs>
          <w:tab w:val="left" w:pos="3780"/>
        </w:tabs>
        <w:ind w:left="3779" w:hanging="419"/>
      </w:pPr>
      <w:rPr>
        <w:rFonts w:hint="eastAsia"/>
      </w:rPr>
    </w:lvl>
  </w:abstractNum>
  <w:abstractNum w:abstractNumId="18">
    <w:nsid w:val="6DBF04F4"/>
    <w:multiLevelType w:val="multilevel"/>
    <w:tmpl w:val="6DBF04F4"/>
    <w:lvl w:ilvl="0" w:tentative="0">
      <w:start w:val="1"/>
      <w:numFmt w:val="none"/>
      <w:pStyle w:val="58"/>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19">
    <w:nsid w:val="725F7525"/>
    <w:multiLevelType w:val="multilevel"/>
    <w:tmpl w:val="725F7525"/>
    <w:lvl w:ilvl="0" w:tentative="0">
      <w:start w:val="1"/>
      <w:numFmt w:val="decimal"/>
      <w:lvlText w:val="[%1]"/>
      <w:lvlJc w:val="left"/>
      <w:pPr>
        <w:ind w:left="840" w:hanging="420"/>
      </w:pPr>
      <w:rPr>
        <w:rFonts w:hint="eastAsia"/>
      </w:rPr>
    </w:lvl>
    <w:lvl w:ilvl="1" w:tentative="0">
      <w:start w:val="1"/>
      <w:numFmt w:val="decimal"/>
      <w:pStyle w:val="149"/>
      <w:lvlText w:val="[%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0"/>
  </w:num>
  <w:num w:numId="2">
    <w:abstractNumId w:val="16"/>
  </w:num>
  <w:num w:numId="3">
    <w:abstractNumId w:val="9"/>
  </w:num>
  <w:num w:numId="4">
    <w:abstractNumId w:val="2"/>
  </w:num>
  <w:num w:numId="5">
    <w:abstractNumId w:val="5"/>
  </w:num>
  <w:num w:numId="6">
    <w:abstractNumId w:val="18"/>
  </w:num>
  <w:num w:numId="7">
    <w:abstractNumId w:val="0"/>
  </w:num>
  <w:num w:numId="8">
    <w:abstractNumId w:val="11"/>
  </w:num>
  <w:num w:numId="9">
    <w:abstractNumId w:val="7"/>
  </w:num>
  <w:num w:numId="10">
    <w:abstractNumId w:val="15"/>
  </w:num>
  <w:num w:numId="11">
    <w:abstractNumId w:val="12"/>
  </w:num>
  <w:num w:numId="12">
    <w:abstractNumId w:val="17"/>
  </w:num>
  <w:num w:numId="13">
    <w:abstractNumId w:val="8"/>
  </w:num>
  <w:num w:numId="14">
    <w:abstractNumId w:val="1"/>
  </w:num>
  <w:num w:numId="15">
    <w:abstractNumId w:val="6"/>
  </w:num>
  <w:num w:numId="16">
    <w:abstractNumId w:val="4"/>
  </w:num>
  <w:num w:numId="17">
    <w:abstractNumId w:val="13"/>
  </w:num>
  <w:num w:numId="18">
    <w:abstractNumId w:val="3"/>
  </w:num>
  <w:num w:numId="19">
    <w:abstractNumId w:val="19"/>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bordersDoNotSurroundHeader w:val="true"/>
  <w:bordersDoNotSurroundFooter w:val="true"/>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C69"/>
    <w:rsid w:val="00000244"/>
    <w:rsid w:val="0000185F"/>
    <w:rsid w:val="000024D3"/>
    <w:rsid w:val="000053B0"/>
    <w:rsid w:val="0000586F"/>
    <w:rsid w:val="00005AEF"/>
    <w:rsid w:val="00006A6E"/>
    <w:rsid w:val="0001233B"/>
    <w:rsid w:val="00013D86"/>
    <w:rsid w:val="00013E02"/>
    <w:rsid w:val="0002121F"/>
    <w:rsid w:val="0002143C"/>
    <w:rsid w:val="000215FE"/>
    <w:rsid w:val="00025A65"/>
    <w:rsid w:val="00026C31"/>
    <w:rsid w:val="00027280"/>
    <w:rsid w:val="00027869"/>
    <w:rsid w:val="000320A7"/>
    <w:rsid w:val="00035925"/>
    <w:rsid w:val="000378F3"/>
    <w:rsid w:val="0003795C"/>
    <w:rsid w:val="0004077A"/>
    <w:rsid w:val="000456E4"/>
    <w:rsid w:val="00050549"/>
    <w:rsid w:val="00053025"/>
    <w:rsid w:val="00055016"/>
    <w:rsid w:val="0005676A"/>
    <w:rsid w:val="00056891"/>
    <w:rsid w:val="00060186"/>
    <w:rsid w:val="00060320"/>
    <w:rsid w:val="000604D3"/>
    <w:rsid w:val="00061BD7"/>
    <w:rsid w:val="000651BA"/>
    <w:rsid w:val="000659D6"/>
    <w:rsid w:val="00066E9E"/>
    <w:rsid w:val="00067CDF"/>
    <w:rsid w:val="00070887"/>
    <w:rsid w:val="00074FBE"/>
    <w:rsid w:val="00081D80"/>
    <w:rsid w:val="00082A7E"/>
    <w:rsid w:val="00083A09"/>
    <w:rsid w:val="00083FFE"/>
    <w:rsid w:val="00084969"/>
    <w:rsid w:val="00084A15"/>
    <w:rsid w:val="000873CC"/>
    <w:rsid w:val="00087F5D"/>
    <w:rsid w:val="0009005E"/>
    <w:rsid w:val="00090B04"/>
    <w:rsid w:val="00092857"/>
    <w:rsid w:val="00094926"/>
    <w:rsid w:val="000979C3"/>
    <w:rsid w:val="000A20A9"/>
    <w:rsid w:val="000A24CB"/>
    <w:rsid w:val="000A3168"/>
    <w:rsid w:val="000A37C0"/>
    <w:rsid w:val="000A3CBB"/>
    <w:rsid w:val="000A45C4"/>
    <w:rsid w:val="000A45D3"/>
    <w:rsid w:val="000A48B1"/>
    <w:rsid w:val="000A68AB"/>
    <w:rsid w:val="000B3143"/>
    <w:rsid w:val="000B3C4F"/>
    <w:rsid w:val="000C582C"/>
    <w:rsid w:val="000C6B05"/>
    <w:rsid w:val="000C6DD6"/>
    <w:rsid w:val="000C73D4"/>
    <w:rsid w:val="000D2CF3"/>
    <w:rsid w:val="000D3D4C"/>
    <w:rsid w:val="000D4F51"/>
    <w:rsid w:val="000D6CFF"/>
    <w:rsid w:val="000D718B"/>
    <w:rsid w:val="000E0C46"/>
    <w:rsid w:val="000E0D69"/>
    <w:rsid w:val="000E3966"/>
    <w:rsid w:val="000E5DF5"/>
    <w:rsid w:val="000E78FD"/>
    <w:rsid w:val="000F030C"/>
    <w:rsid w:val="000F129C"/>
    <w:rsid w:val="00100680"/>
    <w:rsid w:val="00104D5A"/>
    <w:rsid w:val="00104F16"/>
    <w:rsid w:val="001056DE"/>
    <w:rsid w:val="001124C0"/>
    <w:rsid w:val="00117DED"/>
    <w:rsid w:val="001230FD"/>
    <w:rsid w:val="00125A8B"/>
    <w:rsid w:val="0013175F"/>
    <w:rsid w:val="0013332E"/>
    <w:rsid w:val="0013554D"/>
    <w:rsid w:val="00136390"/>
    <w:rsid w:val="00137A49"/>
    <w:rsid w:val="00142131"/>
    <w:rsid w:val="0014319E"/>
    <w:rsid w:val="00144EDE"/>
    <w:rsid w:val="00147B89"/>
    <w:rsid w:val="001512B4"/>
    <w:rsid w:val="00151930"/>
    <w:rsid w:val="00152390"/>
    <w:rsid w:val="001524E7"/>
    <w:rsid w:val="001546ED"/>
    <w:rsid w:val="001559F2"/>
    <w:rsid w:val="001620A5"/>
    <w:rsid w:val="001629BC"/>
    <w:rsid w:val="00164E53"/>
    <w:rsid w:val="001668AD"/>
    <w:rsid w:val="0016699D"/>
    <w:rsid w:val="00171B84"/>
    <w:rsid w:val="00175159"/>
    <w:rsid w:val="00175AE2"/>
    <w:rsid w:val="00176208"/>
    <w:rsid w:val="00176AA8"/>
    <w:rsid w:val="0018211B"/>
    <w:rsid w:val="001840D3"/>
    <w:rsid w:val="00185E08"/>
    <w:rsid w:val="00186C51"/>
    <w:rsid w:val="00187759"/>
    <w:rsid w:val="001900F8"/>
    <w:rsid w:val="00190D4A"/>
    <w:rsid w:val="00191258"/>
    <w:rsid w:val="00192680"/>
    <w:rsid w:val="00193037"/>
    <w:rsid w:val="00193A2C"/>
    <w:rsid w:val="00195A71"/>
    <w:rsid w:val="001A288E"/>
    <w:rsid w:val="001B0AA8"/>
    <w:rsid w:val="001B0ACC"/>
    <w:rsid w:val="001B511A"/>
    <w:rsid w:val="001B5853"/>
    <w:rsid w:val="001B5B9B"/>
    <w:rsid w:val="001B6DC2"/>
    <w:rsid w:val="001B7F45"/>
    <w:rsid w:val="001C0008"/>
    <w:rsid w:val="001C149C"/>
    <w:rsid w:val="001C1C23"/>
    <w:rsid w:val="001C21AC"/>
    <w:rsid w:val="001C346C"/>
    <w:rsid w:val="001C47BA"/>
    <w:rsid w:val="001C59EA"/>
    <w:rsid w:val="001D102C"/>
    <w:rsid w:val="001D25EF"/>
    <w:rsid w:val="001D3894"/>
    <w:rsid w:val="001D406C"/>
    <w:rsid w:val="001D41EE"/>
    <w:rsid w:val="001D4CA4"/>
    <w:rsid w:val="001D7BE1"/>
    <w:rsid w:val="001E0380"/>
    <w:rsid w:val="001E135E"/>
    <w:rsid w:val="001E13B1"/>
    <w:rsid w:val="001E13E8"/>
    <w:rsid w:val="001E35DF"/>
    <w:rsid w:val="001E4196"/>
    <w:rsid w:val="001E452D"/>
    <w:rsid w:val="001E563D"/>
    <w:rsid w:val="001E7022"/>
    <w:rsid w:val="001F3A19"/>
    <w:rsid w:val="002046D4"/>
    <w:rsid w:val="00215F0E"/>
    <w:rsid w:val="00215F95"/>
    <w:rsid w:val="002245D5"/>
    <w:rsid w:val="00225C8E"/>
    <w:rsid w:val="00226814"/>
    <w:rsid w:val="00234467"/>
    <w:rsid w:val="002346F0"/>
    <w:rsid w:val="00235AFA"/>
    <w:rsid w:val="002360BC"/>
    <w:rsid w:val="00237D8D"/>
    <w:rsid w:val="00241DA2"/>
    <w:rsid w:val="002452C5"/>
    <w:rsid w:val="00246C16"/>
    <w:rsid w:val="00247FEE"/>
    <w:rsid w:val="00250E7D"/>
    <w:rsid w:val="0025654C"/>
    <w:rsid w:val="002565D5"/>
    <w:rsid w:val="00261E4A"/>
    <w:rsid w:val="002622C0"/>
    <w:rsid w:val="00271195"/>
    <w:rsid w:val="002717C6"/>
    <w:rsid w:val="00274D48"/>
    <w:rsid w:val="00276A65"/>
    <w:rsid w:val="002778AE"/>
    <w:rsid w:val="0028129D"/>
    <w:rsid w:val="0028269A"/>
    <w:rsid w:val="00283590"/>
    <w:rsid w:val="00283678"/>
    <w:rsid w:val="0028373D"/>
    <w:rsid w:val="00284F69"/>
    <w:rsid w:val="00286973"/>
    <w:rsid w:val="0028706C"/>
    <w:rsid w:val="00292704"/>
    <w:rsid w:val="00292BE5"/>
    <w:rsid w:val="00294AAC"/>
    <w:rsid w:val="00294E70"/>
    <w:rsid w:val="002A0F5C"/>
    <w:rsid w:val="002A141D"/>
    <w:rsid w:val="002A1924"/>
    <w:rsid w:val="002A20FF"/>
    <w:rsid w:val="002A7420"/>
    <w:rsid w:val="002B0F12"/>
    <w:rsid w:val="002B1308"/>
    <w:rsid w:val="002B1D86"/>
    <w:rsid w:val="002B4554"/>
    <w:rsid w:val="002C72D8"/>
    <w:rsid w:val="002C7823"/>
    <w:rsid w:val="002D11FA"/>
    <w:rsid w:val="002D54CA"/>
    <w:rsid w:val="002E0DDF"/>
    <w:rsid w:val="002E25BD"/>
    <w:rsid w:val="002E2906"/>
    <w:rsid w:val="002E363B"/>
    <w:rsid w:val="002E4928"/>
    <w:rsid w:val="002E50A6"/>
    <w:rsid w:val="002E5635"/>
    <w:rsid w:val="002E64C3"/>
    <w:rsid w:val="002E6A2C"/>
    <w:rsid w:val="002E6EBC"/>
    <w:rsid w:val="002F1D8C"/>
    <w:rsid w:val="002F21DA"/>
    <w:rsid w:val="002F263D"/>
    <w:rsid w:val="002F3489"/>
    <w:rsid w:val="002F4D62"/>
    <w:rsid w:val="00301F39"/>
    <w:rsid w:val="003046A8"/>
    <w:rsid w:val="00304C5F"/>
    <w:rsid w:val="00310A54"/>
    <w:rsid w:val="00314C0D"/>
    <w:rsid w:val="00315E5D"/>
    <w:rsid w:val="00325926"/>
    <w:rsid w:val="003277B3"/>
    <w:rsid w:val="00327A8A"/>
    <w:rsid w:val="00336610"/>
    <w:rsid w:val="00343F73"/>
    <w:rsid w:val="00344F93"/>
    <w:rsid w:val="00345060"/>
    <w:rsid w:val="00346FE0"/>
    <w:rsid w:val="00351B28"/>
    <w:rsid w:val="0035323B"/>
    <w:rsid w:val="0035378A"/>
    <w:rsid w:val="00356F97"/>
    <w:rsid w:val="003609D2"/>
    <w:rsid w:val="00363F22"/>
    <w:rsid w:val="003654C4"/>
    <w:rsid w:val="003674EB"/>
    <w:rsid w:val="0037334B"/>
    <w:rsid w:val="00373410"/>
    <w:rsid w:val="00375564"/>
    <w:rsid w:val="00376489"/>
    <w:rsid w:val="00382EAB"/>
    <w:rsid w:val="00383191"/>
    <w:rsid w:val="00386DED"/>
    <w:rsid w:val="003912E7"/>
    <w:rsid w:val="00393947"/>
    <w:rsid w:val="003A170B"/>
    <w:rsid w:val="003A1C6A"/>
    <w:rsid w:val="003A2275"/>
    <w:rsid w:val="003A2A45"/>
    <w:rsid w:val="003A6A4F"/>
    <w:rsid w:val="003A7088"/>
    <w:rsid w:val="003B00DF"/>
    <w:rsid w:val="003B114F"/>
    <w:rsid w:val="003B1275"/>
    <w:rsid w:val="003B1778"/>
    <w:rsid w:val="003B2EAC"/>
    <w:rsid w:val="003B6DF1"/>
    <w:rsid w:val="003C11CB"/>
    <w:rsid w:val="003C4938"/>
    <w:rsid w:val="003C75F3"/>
    <w:rsid w:val="003C78A3"/>
    <w:rsid w:val="003D0DC2"/>
    <w:rsid w:val="003D2966"/>
    <w:rsid w:val="003D396B"/>
    <w:rsid w:val="003D3AC9"/>
    <w:rsid w:val="003D6CEF"/>
    <w:rsid w:val="003E1867"/>
    <w:rsid w:val="003E5729"/>
    <w:rsid w:val="003E5EAE"/>
    <w:rsid w:val="003E6A28"/>
    <w:rsid w:val="003E7514"/>
    <w:rsid w:val="003E7529"/>
    <w:rsid w:val="003F0B58"/>
    <w:rsid w:val="003F2AF5"/>
    <w:rsid w:val="003F3E91"/>
    <w:rsid w:val="003F4EE0"/>
    <w:rsid w:val="003F5AC7"/>
    <w:rsid w:val="003F7207"/>
    <w:rsid w:val="004009C8"/>
    <w:rsid w:val="00400E9E"/>
    <w:rsid w:val="00402153"/>
    <w:rsid w:val="00402FC1"/>
    <w:rsid w:val="004035C7"/>
    <w:rsid w:val="004046C4"/>
    <w:rsid w:val="004100FE"/>
    <w:rsid w:val="004116F6"/>
    <w:rsid w:val="004133EE"/>
    <w:rsid w:val="00417027"/>
    <w:rsid w:val="00420AAD"/>
    <w:rsid w:val="00421E5E"/>
    <w:rsid w:val="00425082"/>
    <w:rsid w:val="00427D04"/>
    <w:rsid w:val="00431DEB"/>
    <w:rsid w:val="0043263E"/>
    <w:rsid w:val="00436B51"/>
    <w:rsid w:val="00445A1D"/>
    <w:rsid w:val="00446B29"/>
    <w:rsid w:val="00453F9A"/>
    <w:rsid w:val="00455CE5"/>
    <w:rsid w:val="00462CEC"/>
    <w:rsid w:val="004672B1"/>
    <w:rsid w:val="00471E91"/>
    <w:rsid w:val="00474675"/>
    <w:rsid w:val="0047470C"/>
    <w:rsid w:val="00485BDC"/>
    <w:rsid w:val="00492D95"/>
    <w:rsid w:val="00492FDB"/>
    <w:rsid w:val="00493BC3"/>
    <w:rsid w:val="0049613A"/>
    <w:rsid w:val="004969B2"/>
    <w:rsid w:val="004A35F9"/>
    <w:rsid w:val="004B14A6"/>
    <w:rsid w:val="004B15D8"/>
    <w:rsid w:val="004B24C1"/>
    <w:rsid w:val="004B6742"/>
    <w:rsid w:val="004C292F"/>
    <w:rsid w:val="004C5C89"/>
    <w:rsid w:val="004C711D"/>
    <w:rsid w:val="004D4F0A"/>
    <w:rsid w:val="004D56B9"/>
    <w:rsid w:val="004E3212"/>
    <w:rsid w:val="004F0D37"/>
    <w:rsid w:val="004F49A3"/>
    <w:rsid w:val="004F49F6"/>
    <w:rsid w:val="005008F7"/>
    <w:rsid w:val="00501F7B"/>
    <w:rsid w:val="00510280"/>
    <w:rsid w:val="00512F3E"/>
    <w:rsid w:val="00513D73"/>
    <w:rsid w:val="0051476D"/>
    <w:rsid w:val="00514A43"/>
    <w:rsid w:val="00516C20"/>
    <w:rsid w:val="005174E5"/>
    <w:rsid w:val="005175E7"/>
    <w:rsid w:val="00522393"/>
    <w:rsid w:val="00522620"/>
    <w:rsid w:val="00525656"/>
    <w:rsid w:val="0053046D"/>
    <w:rsid w:val="00532043"/>
    <w:rsid w:val="00532518"/>
    <w:rsid w:val="00534C02"/>
    <w:rsid w:val="00535E75"/>
    <w:rsid w:val="00540BCD"/>
    <w:rsid w:val="00541D7D"/>
    <w:rsid w:val="00542114"/>
    <w:rsid w:val="0054264B"/>
    <w:rsid w:val="00543786"/>
    <w:rsid w:val="0054387C"/>
    <w:rsid w:val="005533D7"/>
    <w:rsid w:val="00557D42"/>
    <w:rsid w:val="0056293D"/>
    <w:rsid w:val="00564C39"/>
    <w:rsid w:val="00570354"/>
    <w:rsid w:val="005703DE"/>
    <w:rsid w:val="00570CF6"/>
    <w:rsid w:val="0057196D"/>
    <w:rsid w:val="00572B02"/>
    <w:rsid w:val="0057501A"/>
    <w:rsid w:val="00575F5E"/>
    <w:rsid w:val="00581128"/>
    <w:rsid w:val="0058189B"/>
    <w:rsid w:val="0058464E"/>
    <w:rsid w:val="0058610C"/>
    <w:rsid w:val="005864BC"/>
    <w:rsid w:val="0059030D"/>
    <w:rsid w:val="00593B48"/>
    <w:rsid w:val="00596272"/>
    <w:rsid w:val="005A01CB"/>
    <w:rsid w:val="005A0D62"/>
    <w:rsid w:val="005A58FF"/>
    <w:rsid w:val="005A5EAF"/>
    <w:rsid w:val="005A64C0"/>
    <w:rsid w:val="005A7487"/>
    <w:rsid w:val="005B0023"/>
    <w:rsid w:val="005B0A4B"/>
    <w:rsid w:val="005B1E4E"/>
    <w:rsid w:val="005B3C11"/>
    <w:rsid w:val="005B4FF9"/>
    <w:rsid w:val="005B5A19"/>
    <w:rsid w:val="005B651D"/>
    <w:rsid w:val="005C05AF"/>
    <w:rsid w:val="005C1706"/>
    <w:rsid w:val="005C1C28"/>
    <w:rsid w:val="005C53B2"/>
    <w:rsid w:val="005C6DB5"/>
    <w:rsid w:val="005C74FE"/>
    <w:rsid w:val="005D03A6"/>
    <w:rsid w:val="005D29E5"/>
    <w:rsid w:val="005D39B7"/>
    <w:rsid w:val="005D5E6F"/>
    <w:rsid w:val="005D736F"/>
    <w:rsid w:val="005E19E7"/>
    <w:rsid w:val="005E232A"/>
    <w:rsid w:val="005E259F"/>
    <w:rsid w:val="005E59DE"/>
    <w:rsid w:val="005E60CE"/>
    <w:rsid w:val="005F0D35"/>
    <w:rsid w:val="005F3A96"/>
    <w:rsid w:val="005F7640"/>
    <w:rsid w:val="005F7E9E"/>
    <w:rsid w:val="0060413E"/>
    <w:rsid w:val="00604B74"/>
    <w:rsid w:val="00607EC9"/>
    <w:rsid w:val="006126C0"/>
    <w:rsid w:val="006128E9"/>
    <w:rsid w:val="006149F1"/>
    <w:rsid w:val="0061716C"/>
    <w:rsid w:val="00620D38"/>
    <w:rsid w:val="006243A1"/>
    <w:rsid w:val="006278EC"/>
    <w:rsid w:val="00627DCC"/>
    <w:rsid w:val="0063162D"/>
    <w:rsid w:val="00631E62"/>
    <w:rsid w:val="00632E56"/>
    <w:rsid w:val="00635CBA"/>
    <w:rsid w:val="006407B5"/>
    <w:rsid w:val="0064338B"/>
    <w:rsid w:val="00644F98"/>
    <w:rsid w:val="00646542"/>
    <w:rsid w:val="006504F4"/>
    <w:rsid w:val="006507F4"/>
    <w:rsid w:val="00652745"/>
    <w:rsid w:val="00654BC9"/>
    <w:rsid w:val="006552CA"/>
    <w:rsid w:val="006552FD"/>
    <w:rsid w:val="00663AF3"/>
    <w:rsid w:val="00664FA6"/>
    <w:rsid w:val="00666B6C"/>
    <w:rsid w:val="0066776B"/>
    <w:rsid w:val="0066799C"/>
    <w:rsid w:val="00676405"/>
    <w:rsid w:val="00682682"/>
    <w:rsid w:val="00682702"/>
    <w:rsid w:val="00682CAE"/>
    <w:rsid w:val="00684333"/>
    <w:rsid w:val="00692368"/>
    <w:rsid w:val="00692519"/>
    <w:rsid w:val="00693782"/>
    <w:rsid w:val="00693C38"/>
    <w:rsid w:val="006A0055"/>
    <w:rsid w:val="006A01CA"/>
    <w:rsid w:val="006A2EBC"/>
    <w:rsid w:val="006A5EA0"/>
    <w:rsid w:val="006A783B"/>
    <w:rsid w:val="006A7B33"/>
    <w:rsid w:val="006B204A"/>
    <w:rsid w:val="006B230C"/>
    <w:rsid w:val="006B4E13"/>
    <w:rsid w:val="006B63AF"/>
    <w:rsid w:val="006B6B00"/>
    <w:rsid w:val="006B75DD"/>
    <w:rsid w:val="006C08B7"/>
    <w:rsid w:val="006C67E0"/>
    <w:rsid w:val="006C7ABA"/>
    <w:rsid w:val="006D0D60"/>
    <w:rsid w:val="006D1122"/>
    <w:rsid w:val="006D2F81"/>
    <w:rsid w:val="006D3C00"/>
    <w:rsid w:val="006D6CF4"/>
    <w:rsid w:val="006E05BB"/>
    <w:rsid w:val="006E11C4"/>
    <w:rsid w:val="006E2AF4"/>
    <w:rsid w:val="006E3675"/>
    <w:rsid w:val="006E431E"/>
    <w:rsid w:val="006E4A7F"/>
    <w:rsid w:val="006E59DB"/>
    <w:rsid w:val="006F5451"/>
    <w:rsid w:val="00701D24"/>
    <w:rsid w:val="00704DF6"/>
    <w:rsid w:val="0070651C"/>
    <w:rsid w:val="007132A3"/>
    <w:rsid w:val="0071447D"/>
    <w:rsid w:val="00716421"/>
    <w:rsid w:val="00717681"/>
    <w:rsid w:val="00717C30"/>
    <w:rsid w:val="00724EFB"/>
    <w:rsid w:val="00726FFE"/>
    <w:rsid w:val="007328CC"/>
    <w:rsid w:val="00732A9E"/>
    <w:rsid w:val="007334E0"/>
    <w:rsid w:val="007419C3"/>
    <w:rsid w:val="0074261B"/>
    <w:rsid w:val="00744814"/>
    <w:rsid w:val="00744F22"/>
    <w:rsid w:val="007454DE"/>
    <w:rsid w:val="00745EE3"/>
    <w:rsid w:val="007467A7"/>
    <w:rsid w:val="007469DD"/>
    <w:rsid w:val="0074741B"/>
    <w:rsid w:val="0074759E"/>
    <w:rsid w:val="007478EA"/>
    <w:rsid w:val="0075415C"/>
    <w:rsid w:val="007549D1"/>
    <w:rsid w:val="00756A6C"/>
    <w:rsid w:val="00762B7C"/>
    <w:rsid w:val="00763502"/>
    <w:rsid w:val="00766ABD"/>
    <w:rsid w:val="00774FCA"/>
    <w:rsid w:val="00781AB5"/>
    <w:rsid w:val="007823C1"/>
    <w:rsid w:val="007913AB"/>
    <w:rsid w:val="007914F7"/>
    <w:rsid w:val="007928BE"/>
    <w:rsid w:val="007972CC"/>
    <w:rsid w:val="00797409"/>
    <w:rsid w:val="007A6D6B"/>
    <w:rsid w:val="007B1625"/>
    <w:rsid w:val="007B5A52"/>
    <w:rsid w:val="007B5DBA"/>
    <w:rsid w:val="007B65F0"/>
    <w:rsid w:val="007B6C5B"/>
    <w:rsid w:val="007B706E"/>
    <w:rsid w:val="007B71EB"/>
    <w:rsid w:val="007B7457"/>
    <w:rsid w:val="007C6205"/>
    <w:rsid w:val="007C6359"/>
    <w:rsid w:val="007C686A"/>
    <w:rsid w:val="007C728E"/>
    <w:rsid w:val="007D2C53"/>
    <w:rsid w:val="007D3D60"/>
    <w:rsid w:val="007D66C9"/>
    <w:rsid w:val="007E1980"/>
    <w:rsid w:val="007E1EEB"/>
    <w:rsid w:val="007E4B76"/>
    <w:rsid w:val="007E5EA8"/>
    <w:rsid w:val="007F052A"/>
    <w:rsid w:val="007F0CF1"/>
    <w:rsid w:val="007F12A5"/>
    <w:rsid w:val="007F1923"/>
    <w:rsid w:val="007F26FD"/>
    <w:rsid w:val="007F2DED"/>
    <w:rsid w:val="007F4CF1"/>
    <w:rsid w:val="007F758D"/>
    <w:rsid w:val="007F7D52"/>
    <w:rsid w:val="00801608"/>
    <w:rsid w:val="00801B16"/>
    <w:rsid w:val="00802672"/>
    <w:rsid w:val="00803503"/>
    <w:rsid w:val="0080654C"/>
    <w:rsid w:val="00806796"/>
    <w:rsid w:val="008071C6"/>
    <w:rsid w:val="008127A2"/>
    <w:rsid w:val="00813900"/>
    <w:rsid w:val="00814471"/>
    <w:rsid w:val="00815D7E"/>
    <w:rsid w:val="00817A00"/>
    <w:rsid w:val="0082108D"/>
    <w:rsid w:val="00821CAE"/>
    <w:rsid w:val="00831AA2"/>
    <w:rsid w:val="00835DB3"/>
    <w:rsid w:val="0083617B"/>
    <w:rsid w:val="008370D2"/>
    <w:rsid w:val="008371BD"/>
    <w:rsid w:val="0084058E"/>
    <w:rsid w:val="0084297F"/>
    <w:rsid w:val="008446E3"/>
    <w:rsid w:val="008447FF"/>
    <w:rsid w:val="008504A8"/>
    <w:rsid w:val="0085202D"/>
    <w:rsid w:val="00852108"/>
    <w:rsid w:val="0085282E"/>
    <w:rsid w:val="00853DEE"/>
    <w:rsid w:val="00855EF4"/>
    <w:rsid w:val="008652BC"/>
    <w:rsid w:val="0087198C"/>
    <w:rsid w:val="00872C1F"/>
    <w:rsid w:val="008735C6"/>
    <w:rsid w:val="00873620"/>
    <w:rsid w:val="00873B42"/>
    <w:rsid w:val="00873F6C"/>
    <w:rsid w:val="008768B0"/>
    <w:rsid w:val="00885446"/>
    <w:rsid w:val="008856D8"/>
    <w:rsid w:val="0089069C"/>
    <w:rsid w:val="00892E82"/>
    <w:rsid w:val="00893D49"/>
    <w:rsid w:val="00896411"/>
    <w:rsid w:val="008A1536"/>
    <w:rsid w:val="008A236D"/>
    <w:rsid w:val="008A3B7C"/>
    <w:rsid w:val="008A5E08"/>
    <w:rsid w:val="008A6C52"/>
    <w:rsid w:val="008A753A"/>
    <w:rsid w:val="008B276C"/>
    <w:rsid w:val="008B73DB"/>
    <w:rsid w:val="008C06EB"/>
    <w:rsid w:val="008C1B4A"/>
    <w:rsid w:val="008C1B58"/>
    <w:rsid w:val="008C39AE"/>
    <w:rsid w:val="008C590D"/>
    <w:rsid w:val="008C67C7"/>
    <w:rsid w:val="008D0215"/>
    <w:rsid w:val="008D2FAF"/>
    <w:rsid w:val="008D564F"/>
    <w:rsid w:val="008D565B"/>
    <w:rsid w:val="008D6781"/>
    <w:rsid w:val="008D758F"/>
    <w:rsid w:val="008E031B"/>
    <w:rsid w:val="008E059C"/>
    <w:rsid w:val="008E1C59"/>
    <w:rsid w:val="008E5E48"/>
    <w:rsid w:val="008E7029"/>
    <w:rsid w:val="008E7749"/>
    <w:rsid w:val="008E7EF6"/>
    <w:rsid w:val="008F1F98"/>
    <w:rsid w:val="008F4675"/>
    <w:rsid w:val="008F650E"/>
    <w:rsid w:val="008F6758"/>
    <w:rsid w:val="008F692D"/>
    <w:rsid w:val="008F716A"/>
    <w:rsid w:val="00900275"/>
    <w:rsid w:val="009040DD"/>
    <w:rsid w:val="00904828"/>
    <w:rsid w:val="00905B47"/>
    <w:rsid w:val="00911190"/>
    <w:rsid w:val="00911E73"/>
    <w:rsid w:val="0091331C"/>
    <w:rsid w:val="00913C85"/>
    <w:rsid w:val="00915E33"/>
    <w:rsid w:val="009228E2"/>
    <w:rsid w:val="0092513A"/>
    <w:rsid w:val="00925774"/>
    <w:rsid w:val="009279DE"/>
    <w:rsid w:val="00930116"/>
    <w:rsid w:val="00930D34"/>
    <w:rsid w:val="00935495"/>
    <w:rsid w:val="00935F2F"/>
    <w:rsid w:val="0094212C"/>
    <w:rsid w:val="009438A2"/>
    <w:rsid w:val="009468EF"/>
    <w:rsid w:val="00950C5A"/>
    <w:rsid w:val="009543BE"/>
    <w:rsid w:val="00954689"/>
    <w:rsid w:val="009617C9"/>
    <w:rsid w:val="00961C93"/>
    <w:rsid w:val="00963DD4"/>
    <w:rsid w:val="00965324"/>
    <w:rsid w:val="0097091E"/>
    <w:rsid w:val="009739DE"/>
    <w:rsid w:val="009760D3"/>
    <w:rsid w:val="009770CC"/>
    <w:rsid w:val="00977132"/>
    <w:rsid w:val="009805EA"/>
    <w:rsid w:val="00981A4B"/>
    <w:rsid w:val="00982501"/>
    <w:rsid w:val="00986B9C"/>
    <w:rsid w:val="009877D3"/>
    <w:rsid w:val="00987806"/>
    <w:rsid w:val="00990471"/>
    <w:rsid w:val="0099200F"/>
    <w:rsid w:val="00992F76"/>
    <w:rsid w:val="009939DD"/>
    <w:rsid w:val="00994E0E"/>
    <w:rsid w:val="00994E8F"/>
    <w:rsid w:val="009951DC"/>
    <w:rsid w:val="009959BB"/>
    <w:rsid w:val="00997158"/>
    <w:rsid w:val="009A1324"/>
    <w:rsid w:val="009A2D72"/>
    <w:rsid w:val="009A3A7C"/>
    <w:rsid w:val="009A6F7F"/>
    <w:rsid w:val="009B2293"/>
    <w:rsid w:val="009B2ADB"/>
    <w:rsid w:val="009B5825"/>
    <w:rsid w:val="009B603A"/>
    <w:rsid w:val="009C0DF3"/>
    <w:rsid w:val="009C1CE9"/>
    <w:rsid w:val="009C2D0E"/>
    <w:rsid w:val="009C3DAC"/>
    <w:rsid w:val="009C42E0"/>
    <w:rsid w:val="009C747C"/>
    <w:rsid w:val="009D206E"/>
    <w:rsid w:val="009D42F1"/>
    <w:rsid w:val="009D5362"/>
    <w:rsid w:val="009E1415"/>
    <w:rsid w:val="009E14B8"/>
    <w:rsid w:val="009E4D58"/>
    <w:rsid w:val="009E5BC3"/>
    <w:rsid w:val="009E60F2"/>
    <w:rsid w:val="009E6116"/>
    <w:rsid w:val="009E7AC6"/>
    <w:rsid w:val="009F096B"/>
    <w:rsid w:val="009F14AB"/>
    <w:rsid w:val="009F31C5"/>
    <w:rsid w:val="00A020A7"/>
    <w:rsid w:val="00A02E43"/>
    <w:rsid w:val="00A04340"/>
    <w:rsid w:val="00A04913"/>
    <w:rsid w:val="00A05ACB"/>
    <w:rsid w:val="00A065F9"/>
    <w:rsid w:val="00A07F34"/>
    <w:rsid w:val="00A16306"/>
    <w:rsid w:val="00A22154"/>
    <w:rsid w:val="00A24CA6"/>
    <w:rsid w:val="00A25C38"/>
    <w:rsid w:val="00A27CA2"/>
    <w:rsid w:val="00A311A5"/>
    <w:rsid w:val="00A31896"/>
    <w:rsid w:val="00A31C69"/>
    <w:rsid w:val="00A3328C"/>
    <w:rsid w:val="00A3618A"/>
    <w:rsid w:val="00A36B07"/>
    <w:rsid w:val="00A36BBE"/>
    <w:rsid w:val="00A40DA4"/>
    <w:rsid w:val="00A4307A"/>
    <w:rsid w:val="00A45884"/>
    <w:rsid w:val="00A47EBB"/>
    <w:rsid w:val="00A515A3"/>
    <w:rsid w:val="00A51890"/>
    <w:rsid w:val="00A51CDD"/>
    <w:rsid w:val="00A54FD3"/>
    <w:rsid w:val="00A618F3"/>
    <w:rsid w:val="00A6457A"/>
    <w:rsid w:val="00A65C69"/>
    <w:rsid w:val="00A66513"/>
    <w:rsid w:val="00A6730D"/>
    <w:rsid w:val="00A7086D"/>
    <w:rsid w:val="00A70B14"/>
    <w:rsid w:val="00A71625"/>
    <w:rsid w:val="00A71B9B"/>
    <w:rsid w:val="00A7443B"/>
    <w:rsid w:val="00A74DF4"/>
    <w:rsid w:val="00A751C7"/>
    <w:rsid w:val="00A769E6"/>
    <w:rsid w:val="00A77E57"/>
    <w:rsid w:val="00A8178C"/>
    <w:rsid w:val="00A81974"/>
    <w:rsid w:val="00A836A4"/>
    <w:rsid w:val="00A84816"/>
    <w:rsid w:val="00A86922"/>
    <w:rsid w:val="00A873DE"/>
    <w:rsid w:val="00A87798"/>
    <w:rsid w:val="00A87844"/>
    <w:rsid w:val="00A87ED0"/>
    <w:rsid w:val="00AA012A"/>
    <w:rsid w:val="00AA038C"/>
    <w:rsid w:val="00AA3705"/>
    <w:rsid w:val="00AA7A09"/>
    <w:rsid w:val="00AB3235"/>
    <w:rsid w:val="00AB3B50"/>
    <w:rsid w:val="00AB5E69"/>
    <w:rsid w:val="00AB78F9"/>
    <w:rsid w:val="00AC05B1"/>
    <w:rsid w:val="00AC08AB"/>
    <w:rsid w:val="00AC2820"/>
    <w:rsid w:val="00AC5220"/>
    <w:rsid w:val="00AC63DF"/>
    <w:rsid w:val="00AC7CBF"/>
    <w:rsid w:val="00AD356C"/>
    <w:rsid w:val="00AD5177"/>
    <w:rsid w:val="00AD7634"/>
    <w:rsid w:val="00AD7D5B"/>
    <w:rsid w:val="00AE0EE4"/>
    <w:rsid w:val="00AE1F9B"/>
    <w:rsid w:val="00AE2914"/>
    <w:rsid w:val="00AE375D"/>
    <w:rsid w:val="00AE4FD7"/>
    <w:rsid w:val="00AE6D15"/>
    <w:rsid w:val="00AF28B2"/>
    <w:rsid w:val="00B00E13"/>
    <w:rsid w:val="00B017DA"/>
    <w:rsid w:val="00B02CB7"/>
    <w:rsid w:val="00B04182"/>
    <w:rsid w:val="00B05887"/>
    <w:rsid w:val="00B07AE3"/>
    <w:rsid w:val="00B07CCD"/>
    <w:rsid w:val="00B11430"/>
    <w:rsid w:val="00B11D69"/>
    <w:rsid w:val="00B23A84"/>
    <w:rsid w:val="00B242BD"/>
    <w:rsid w:val="00B26FAF"/>
    <w:rsid w:val="00B3383A"/>
    <w:rsid w:val="00B353EB"/>
    <w:rsid w:val="00B3550C"/>
    <w:rsid w:val="00B40B8C"/>
    <w:rsid w:val="00B435AA"/>
    <w:rsid w:val="00B439C4"/>
    <w:rsid w:val="00B4535E"/>
    <w:rsid w:val="00B52554"/>
    <w:rsid w:val="00B52A8C"/>
    <w:rsid w:val="00B57EF4"/>
    <w:rsid w:val="00B60B5F"/>
    <w:rsid w:val="00B61351"/>
    <w:rsid w:val="00B61764"/>
    <w:rsid w:val="00B636A8"/>
    <w:rsid w:val="00B64018"/>
    <w:rsid w:val="00B665C6"/>
    <w:rsid w:val="00B71E88"/>
    <w:rsid w:val="00B7732A"/>
    <w:rsid w:val="00B805AF"/>
    <w:rsid w:val="00B869EC"/>
    <w:rsid w:val="00B86DC7"/>
    <w:rsid w:val="00B93704"/>
    <w:rsid w:val="00B9397A"/>
    <w:rsid w:val="00B9633D"/>
    <w:rsid w:val="00BA0447"/>
    <w:rsid w:val="00BA0B75"/>
    <w:rsid w:val="00BA2EBE"/>
    <w:rsid w:val="00BA6D23"/>
    <w:rsid w:val="00BB0E1E"/>
    <w:rsid w:val="00BB0F28"/>
    <w:rsid w:val="00BB2F33"/>
    <w:rsid w:val="00BB458A"/>
    <w:rsid w:val="00BC6A9F"/>
    <w:rsid w:val="00BD00D3"/>
    <w:rsid w:val="00BD1659"/>
    <w:rsid w:val="00BD3AA9"/>
    <w:rsid w:val="00BD3B94"/>
    <w:rsid w:val="00BD4A18"/>
    <w:rsid w:val="00BD5ABE"/>
    <w:rsid w:val="00BD69A8"/>
    <w:rsid w:val="00BD6DB2"/>
    <w:rsid w:val="00BE11CF"/>
    <w:rsid w:val="00BE1AF3"/>
    <w:rsid w:val="00BE21AB"/>
    <w:rsid w:val="00BE42CB"/>
    <w:rsid w:val="00BE55CB"/>
    <w:rsid w:val="00BF617A"/>
    <w:rsid w:val="00BF6714"/>
    <w:rsid w:val="00BF6FCE"/>
    <w:rsid w:val="00C0379D"/>
    <w:rsid w:val="00C038E9"/>
    <w:rsid w:val="00C03931"/>
    <w:rsid w:val="00C04233"/>
    <w:rsid w:val="00C04D89"/>
    <w:rsid w:val="00C05A76"/>
    <w:rsid w:val="00C05FE3"/>
    <w:rsid w:val="00C0714D"/>
    <w:rsid w:val="00C147B1"/>
    <w:rsid w:val="00C153C6"/>
    <w:rsid w:val="00C2136D"/>
    <w:rsid w:val="00C214EE"/>
    <w:rsid w:val="00C2314B"/>
    <w:rsid w:val="00C24971"/>
    <w:rsid w:val="00C26BE5"/>
    <w:rsid w:val="00C26E4D"/>
    <w:rsid w:val="00C27084"/>
    <w:rsid w:val="00C27357"/>
    <w:rsid w:val="00C27909"/>
    <w:rsid w:val="00C27B03"/>
    <w:rsid w:val="00C3076F"/>
    <w:rsid w:val="00C30D69"/>
    <w:rsid w:val="00C31471"/>
    <w:rsid w:val="00C314E1"/>
    <w:rsid w:val="00C3173E"/>
    <w:rsid w:val="00C34397"/>
    <w:rsid w:val="00C34927"/>
    <w:rsid w:val="00C34E41"/>
    <w:rsid w:val="00C35EF7"/>
    <w:rsid w:val="00C361CD"/>
    <w:rsid w:val="00C3788B"/>
    <w:rsid w:val="00C4095D"/>
    <w:rsid w:val="00C447C4"/>
    <w:rsid w:val="00C4529D"/>
    <w:rsid w:val="00C47D1A"/>
    <w:rsid w:val="00C538A0"/>
    <w:rsid w:val="00C601D2"/>
    <w:rsid w:val="00C64A98"/>
    <w:rsid w:val="00C65BCC"/>
    <w:rsid w:val="00C65FBC"/>
    <w:rsid w:val="00C66970"/>
    <w:rsid w:val="00C7069A"/>
    <w:rsid w:val="00C732CC"/>
    <w:rsid w:val="00C74886"/>
    <w:rsid w:val="00C8340D"/>
    <w:rsid w:val="00C83950"/>
    <w:rsid w:val="00C85A67"/>
    <w:rsid w:val="00C8691C"/>
    <w:rsid w:val="00C8772C"/>
    <w:rsid w:val="00C97F28"/>
    <w:rsid w:val="00CA0C6E"/>
    <w:rsid w:val="00CA15B9"/>
    <w:rsid w:val="00CA168A"/>
    <w:rsid w:val="00CA3025"/>
    <w:rsid w:val="00CA357E"/>
    <w:rsid w:val="00CA44F9"/>
    <w:rsid w:val="00CA49C9"/>
    <w:rsid w:val="00CA4A69"/>
    <w:rsid w:val="00CB2D56"/>
    <w:rsid w:val="00CB6799"/>
    <w:rsid w:val="00CB6968"/>
    <w:rsid w:val="00CB6E9C"/>
    <w:rsid w:val="00CC3E0C"/>
    <w:rsid w:val="00CC4599"/>
    <w:rsid w:val="00CC56E2"/>
    <w:rsid w:val="00CC58D3"/>
    <w:rsid w:val="00CC6BC3"/>
    <w:rsid w:val="00CC784D"/>
    <w:rsid w:val="00CD0A66"/>
    <w:rsid w:val="00CD11F7"/>
    <w:rsid w:val="00CE095F"/>
    <w:rsid w:val="00CE2DDE"/>
    <w:rsid w:val="00CE50BB"/>
    <w:rsid w:val="00CE5BF1"/>
    <w:rsid w:val="00CE7211"/>
    <w:rsid w:val="00CF2C7A"/>
    <w:rsid w:val="00CF425A"/>
    <w:rsid w:val="00CF4B8D"/>
    <w:rsid w:val="00CF50A6"/>
    <w:rsid w:val="00CF5580"/>
    <w:rsid w:val="00D00C42"/>
    <w:rsid w:val="00D01A9E"/>
    <w:rsid w:val="00D02467"/>
    <w:rsid w:val="00D0337B"/>
    <w:rsid w:val="00D04DD5"/>
    <w:rsid w:val="00D079B2"/>
    <w:rsid w:val="00D114E9"/>
    <w:rsid w:val="00D116CD"/>
    <w:rsid w:val="00D17A82"/>
    <w:rsid w:val="00D258AB"/>
    <w:rsid w:val="00D30301"/>
    <w:rsid w:val="00D324D3"/>
    <w:rsid w:val="00D362A9"/>
    <w:rsid w:val="00D42231"/>
    <w:rsid w:val="00D42827"/>
    <w:rsid w:val="00D429C6"/>
    <w:rsid w:val="00D44E80"/>
    <w:rsid w:val="00D47748"/>
    <w:rsid w:val="00D54CC3"/>
    <w:rsid w:val="00D57710"/>
    <w:rsid w:val="00D603DE"/>
    <w:rsid w:val="00D6041A"/>
    <w:rsid w:val="00D60EAB"/>
    <w:rsid w:val="00D62B03"/>
    <w:rsid w:val="00D633EB"/>
    <w:rsid w:val="00D650D8"/>
    <w:rsid w:val="00D66B2B"/>
    <w:rsid w:val="00D7517B"/>
    <w:rsid w:val="00D81822"/>
    <w:rsid w:val="00D82FF7"/>
    <w:rsid w:val="00D847FE"/>
    <w:rsid w:val="00D87922"/>
    <w:rsid w:val="00D9055F"/>
    <w:rsid w:val="00D9070D"/>
    <w:rsid w:val="00D9262C"/>
    <w:rsid w:val="00D9303B"/>
    <w:rsid w:val="00D964EA"/>
    <w:rsid w:val="00D966D0"/>
    <w:rsid w:val="00DA0C59"/>
    <w:rsid w:val="00DA13E0"/>
    <w:rsid w:val="00DA3991"/>
    <w:rsid w:val="00DA40E3"/>
    <w:rsid w:val="00DA799C"/>
    <w:rsid w:val="00DA79E0"/>
    <w:rsid w:val="00DB0990"/>
    <w:rsid w:val="00DB2C4C"/>
    <w:rsid w:val="00DB3ABA"/>
    <w:rsid w:val="00DB7A00"/>
    <w:rsid w:val="00DB7E6C"/>
    <w:rsid w:val="00DC0C1B"/>
    <w:rsid w:val="00DC296C"/>
    <w:rsid w:val="00DD17E6"/>
    <w:rsid w:val="00DD3D6E"/>
    <w:rsid w:val="00DD4A93"/>
    <w:rsid w:val="00DD4DEA"/>
    <w:rsid w:val="00DD5A29"/>
    <w:rsid w:val="00DD5D9D"/>
    <w:rsid w:val="00DD6CAC"/>
    <w:rsid w:val="00DD7BD3"/>
    <w:rsid w:val="00DE35CB"/>
    <w:rsid w:val="00DF1440"/>
    <w:rsid w:val="00DF19EC"/>
    <w:rsid w:val="00DF21E9"/>
    <w:rsid w:val="00DF53EF"/>
    <w:rsid w:val="00E0018E"/>
    <w:rsid w:val="00E00F14"/>
    <w:rsid w:val="00E0104C"/>
    <w:rsid w:val="00E01E5D"/>
    <w:rsid w:val="00E01FFC"/>
    <w:rsid w:val="00E0302E"/>
    <w:rsid w:val="00E06386"/>
    <w:rsid w:val="00E117D0"/>
    <w:rsid w:val="00E15072"/>
    <w:rsid w:val="00E214BC"/>
    <w:rsid w:val="00E24B93"/>
    <w:rsid w:val="00E24EB4"/>
    <w:rsid w:val="00E26AB3"/>
    <w:rsid w:val="00E320ED"/>
    <w:rsid w:val="00E32C33"/>
    <w:rsid w:val="00E33AFB"/>
    <w:rsid w:val="00E34218"/>
    <w:rsid w:val="00E34361"/>
    <w:rsid w:val="00E36530"/>
    <w:rsid w:val="00E40A14"/>
    <w:rsid w:val="00E44E1F"/>
    <w:rsid w:val="00E46282"/>
    <w:rsid w:val="00E5216E"/>
    <w:rsid w:val="00E63E42"/>
    <w:rsid w:val="00E67142"/>
    <w:rsid w:val="00E724F5"/>
    <w:rsid w:val="00E7378A"/>
    <w:rsid w:val="00E73E16"/>
    <w:rsid w:val="00E7509E"/>
    <w:rsid w:val="00E807F5"/>
    <w:rsid w:val="00E81D77"/>
    <w:rsid w:val="00E82344"/>
    <w:rsid w:val="00E84626"/>
    <w:rsid w:val="00E84C82"/>
    <w:rsid w:val="00E84D64"/>
    <w:rsid w:val="00E86E3C"/>
    <w:rsid w:val="00E87408"/>
    <w:rsid w:val="00E914C4"/>
    <w:rsid w:val="00E934F5"/>
    <w:rsid w:val="00E94024"/>
    <w:rsid w:val="00E95524"/>
    <w:rsid w:val="00E96961"/>
    <w:rsid w:val="00E978C6"/>
    <w:rsid w:val="00EA3C1C"/>
    <w:rsid w:val="00EA72EC"/>
    <w:rsid w:val="00EB11CB"/>
    <w:rsid w:val="00EB275A"/>
    <w:rsid w:val="00EB29A1"/>
    <w:rsid w:val="00EB468B"/>
    <w:rsid w:val="00EB6345"/>
    <w:rsid w:val="00EB786A"/>
    <w:rsid w:val="00EC0879"/>
    <w:rsid w:val="00EC1578"/>
    <w:rsid w:val="00EC1C72"/>
    <w:rsid w:val="00EC385A"/>
    <w:rsid w:val="00EC3CC9"/>
    <w:rsid w:val="00EC6047"/>
    <w:rsid w:val="00EC680A"/>
    <w:rsid w:val="00ED14EF"/>
    <w:rsid w:val="00ED35D0"/>
    <w:rsid w:val="00ED532B"/>
    <w:rsid w:val="00ED7999"/>
    <w:rsid w:val="00EE2BED"/>
    <w:rsid w:val="00EE374B"/>
    <w:rsid w:val="00EE430A"/>
    <w:rsid w:val="00EE62B1"/>
    <w:rsid w:val="00EE7AF7"/>
    <w:rsid w:val="00EF1500"/>
    <w:rsid w:val="00EF30D1"/>
    <w:rsid w:val="00EF508D"/>
    <w:rsid w:val="00EF76AB"/>
    <w:rsid w:val="00F024F6"/>
    <w:rsid w:val="00F04D4C"/>
    <w:rsid w:val="00F11BB5"/>
    <w:rsid w:val="00F12B73"/>
    <w:rsid w:val="00F1417B"/>
    <w:rsid w:val="00F14EE5"/>
    <w:rsid w:val="00F15129"/>
    <w:rsid w:val="00F2605B"/>
    <w:rsid w:val="00F30184"/>
    <w:rsid w:val="00F327DD"/>
    <w:rsid w:val="00F328CE"/>
    <w:rsid w:val="00F34311"/>
    <w:rsid w:val="00F34B99"/>
    <w:rsid w:val="00F363DC"/>
    <w:rsid w:val="00F40985"/>
    <w:rsid w:val="00F4103F"/>
    <w:rsid w:val="00F42F3E"/>
    <w:rsid w:val="00F44DB6"/>
    <w:rsid w:val="00F45921"/>
    <w:rsid w:val="00F474A7"/>
    <w:rsid w:val="00F47529"/>
    <w:rsid w:val="00F512B5"/>
    <w:rsid w:val="00F51DFB"/>
    <w:rsid w:val="00F52DAB"/>
    <w:rsid w:val="00F5325B"/>
    <w:rsid w:val="00F543F0"/>
    <w:rsid w:val="00F60887"/>
    <w:rsid w:val="00F61A57"/>
    <w:rsid w:val="00F63464"/>
    <w:rsid w:val="00F63DB1"/>
    <w:rsid w:val="00F6661A"/>
    <w:rsid w:val="00F66F8A"/>
    <w:rsid w:val="00F72932"/>
    <w:rsid w:val="00F74DC5"/>
    <w:rsid w:val="00F77003"/>
    <w:rsid w:val="00F77DB4"/>
    <w:rsid w:val="00F81675"/>
    <w:rsid w:val="00F8197E"/>
    <w:rsid w:val="00F81D29"/>
    <w:rsid w:val="00F84A0E"/>
    <w:rsid w:val="00F85769"/>
    <w:rsid w:val="00F8694B"/>
    <w:rsid w:val="00F86CA1"/>
    <w:rsid w:val="00F91C4D"/>
    <w:rsid w:val="00F91F6B"/>
    <w:rsid w:val="00F92FD9"/>
    <w:rsid w:val="00F95B00"/>
    <w:rsid w:val="00FA190C"/>
    <w:rsid w:val="00FA2BE5"/>
    <w:rsid w:val="00FA46F4"/>
    <w:rsid w:val="00FA489D"/>
    <w:rsid w:val="00FA5F83"/>
    <w:rsid w:val="00FA6684"/>
    <w:rsid w:val="00FA731E"/>
    <w:rsid w:val="00FB0F2B"/>
    <w:rsid w:val="00FB2B38"/>
    <w:rsid w:val="00FC6358"/>
    <w:rsid w:val="00FD01CF"/>
    <w:rsid w:val="00FD229E"/>
    <w:rsid w:val="00FD320D"/>
    <w:rsid w:val="00FE1C50"/>
    <w:rsid w:val="00FE23DE"/>
    <w:rsid w:val="00FE4D17"/>
    <w:rsid w:val="00FE57AB"/>
    <w:rsid w:val="00FE7D7F"/>
    <w:rsid w:val="00FF04A9"/>
    <w:rsid w:val="27FEDC8B"/>
    <w:rsid w:val="2EA8435B"/>
    <w:rsid w:val="33251C93"/>
    <w:rsid w:val="4590011C"/>
    <w:rsid w:val="52331739"/>
    <w:rsid w:val="77ACB64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iPriority="0" w:name="Normal Indent"/>
    <w:lsdException w:qFormat="1" w:unhideWhenUsed="0" w:uiPriority="0" w:semiHidden="0" w:name="footnote text"/>
    <w:lsdException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name="footnote reference"/>
    <w:lsdException w:uiPriority="0" w:name="annotation reference"/>
    <w:lsdException w:uiPriority="0" w:name="line number"/>
    <w:lsdException w:qFormat="1" w:unhideWhenUsed="0" w:uiPriority="0" w:semiHidden="0" w:name="page number"/>
    <w:lsdException w:qFormat="1" w:unhideWhenUsed="0" w:uiPriority="0" w:name="endnote reference"/>
    <w:lsdException w:qFormat="1" w:unhideWhenUsed="0"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40"/>
    <w:unhideWhenUsed/>
    <w:qFormat/>
    <w:uiPriority w:val="9"/>
    <w:pPr>
      <w:keepNext/>
      <w:keepLines/>
      <w:spacing w:before="260" w:after="260" w:line="416" w:lineRule="auto"/>
      <w:outlineLvl w:val="1"/>
    </w:pPr>
    <w:rPr>
      <w:rFonts w:ascii="Cambria" w:hAnsi="Cambria"/>
      <w:b/>
      <w:bCs/>
      <w:sz w:val="32"/>
      <w:szCs w:val="32"/>
      <w:lang w:val="zh-CN"/>
    </w:rPr>
  </w:style>
  <w:style w:type="paragraph" w:styleId="4">
    <w:name w:val="heading 3"/>
    <w:basedOn w:val="1"/>
    <w:next w:val="1"/>
    <w:link w:val="141"/>
    <w:unhideWhenUsed/>
    <w:qFormat/>
    <w:uiPriority w:val="9"/>
    <w:pPr>
      <w:keepNext/>
      <w:keepLines/>
      <w:spacing w:before="260" w:after="260" w:line="416" w:lineRule="auto"/>
      <w:outlineLvl w:val="2"/>
    </w:pPr>
    <w:rPr>
      <w:rFonts w:ascii="Calibri" w:hAnsi="Calibri"/>
      <w:b/>
      <w:bCs/>
      <w:sz w:val="32"/>
      <w:szCs w:val="32"/>
      <w:lang w:val="zh-CN"/>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semiHidden/>
    <w:qFormat/>
    <w:uiPriority w:val="0"/>
    <w:pPr>
      <w:tabs>
        <w:tab w:val="right" w:leader="dot" w:pos="9241"/>
      </w:tabs>
      <w:ind w:firstLine="500" w:firstLineChars="500"/>
      <w:jc w:val="left"/>
    </w:pPr>
    <w:rPr>
      <w:rFonts w:ascii="宋体"/>
      <w:szCs w:val="21"/>
    </w:rPr>
  </w:style>
  <w:style w:type="paragraph" w:styleId="6">
    <w:name w:val="index 8"/>
    <w:basedOn w:val="1"/>
    <w:next w:val="1"/>
    <w:qFormat/>
    <w:uiPriority w:val="0"/>
    <w:pPr>
      <w:ind w:left="1680" w:hanging="210"/>
      <w:jc w:val="left"/>
    </w:pPr>
    <w:rPr>
      <w:rFonts w:ascii="Calibri" w:hAnsi="Calibri"/>
      <w:sz w:val="20"/>
      <w:szCs w:val="20"/>
    </w:rPr>
  </w:style>
  <w:style w:type="paragraph" w:styleId="7">
    <w:name w:val="caption"/>
    <w:basedOn w:val="1"/>
    <w:next w:val="1"/>
    <w:qFormat/>
    <w:uiPriority w:val="0"/>
    <w:pPr>
      <w:spacing w:before="152" w:after="160"/>
    </w:pPr>
    <w:rPr>
      <w:rFonts w:ascii="Arial" w:hAnsi="Arial" w:eastAsia="黑体" w:cs="Arial"/>
      <w:sz w:val="20"/>
      <w:szCs w:val="20"/>
    </w:rPr>
  </w:style>
  <w:style w:type="paragraph" w:styleId="8">
    <w:name w:val="index 5"/>
    <w:basedOn w:val="1"/>
    <w:next w:val="1"/>
    <w:qFormat/>
    <w:uiPriority w:val="0"/>
    <w:pPr>
      <w:ind w:left="1050" w:hanging="210"/>
      <w:jc w:val="left"/>
    </w:pPr>
    <w:rPr>
      <w:rFonts w:ascii="Calibri" w:hAnsi="Calibri"/>
      <w:sz w:val="20"/>
      <w:szCs w:val="20"/>
    </w:rPr>
  </w:style>
  <w:style w:type="paragraph" w:styleId="9">
    <w:name w:val="Document Map"/>
    <w:basedOn w:val="1"/>
    <w:semiHidden/>
    <w:qFormat/>
    <w:uiPriority w:val="0"/>
    <w:pPr>
      <w:shd w:val="clear" w:color="auto" w:fill="000080"/>
    </w:pPr>
  </w:style>
  <w:style w:type="paragraph" w:styleId="10">
    <w:name w:val="index 6"/>
    <w:basedOn w:val="1"/>
    <w:next w:val="1"/>
    <w:qFormat/>
    <w:uiPriority w:val="0"/>
    <w:pPr>
      <w:ind w:left="1260" w:hanging="210"/>
      <w:jc w:val="left"/>
    </w:pPr>
    <w:rPr>
      <w:rFonts w:ascii="Calibri" w:hAnsi="Calibri"/>
      <w:sz w:val="20"/>
      <w:szCs w:val="20"/>
    </w:rPr>
  </w:style>
  <w:style w:type="paragraph" w:styleId="11">
    <w:name w:val="Salutation"/>
    <w:basedOn w:val="1"/>
    <w:next w:val="1"/>
    <w:link w:val="152"/>
    <w:qFormat/>
    <w:uiPriority w:val="0"/>
  </w:style>
  <w:style w:type="paragraph" w:styleId="12">
    <w:name w:val="index 4"/>
    <w:basedOn w:val="1"/>
    <w:next w:val="1"/>
    <w:qFormat/>
    <w:uiPriority w:val="0"/>
    <w:pPr>
      <w:ind w:left="840" w:hanging="210"/>
      <w:jc w:val="left"/>
    </w:pPr>
    <w:rPr>
      <w:rFonts w:ascii="Calibri" w:hAnsi="Calibri"/>
      <w:sz w:val="20"/>
      <w:szCs w:val="20"/>
    </w:rPr>
  </w:style>
  <w:style w:type="paragraph" w:styleId="13">
    <w:name w:val="toc 5"/>
    <w:basedOn w:val="1"/>
    <w:next w:val="1"/>
    <w:semiHidden/>
    <w:qFormat/>
    <w:uiPriority w:val="0"/>
    <w:pPr>
      <w:tabs>
        <w:tab w:val="right" w:leader="dot" w:pos="9241"/>
      </w:tabs>
      <w:ind w:firstLine="300" w:firstLineChars="300"/>
      <w:jc w:val="left"/>
    </w:pPr>
    <w:rPr>
      <w:rFonts w:ascii="宋体"/>
      <w:szCs w:val="21"/>
    </w:rPr>
  </w:style>
  <w:style w:type="paragraph" w:styleId="14">
    <w:name w:val="toc 3"/>
    <w:basedOn w:val="1"/>
    <w:next w:val="1"/>
    <w:qFormat/>
    <w:uiPriority w:val="39"/>
    <w:pPr>
      <w:tabs>
        <w:tab w:val="right" w:leader="dot" w:pos="9241"/>
      </w:tabs>
      <w:ind w:firstLine="100" w:firstLineChars="100"/>
      <w:jc w:val="left"/>
    </w:pPr>
    <w:rPr>
      <w:rFonts w:ascii="宋体"/>
      <w:szCs w:val="21"/>
    </w:rPr>
  </w:style>
  <w:style w:type="paragraph" w:styleId="15">
    <w:name w:val="toc 8"/>
    <w:basedOn w:val="1"/>
    <w:next w:val="1"/>
    <w:semiHidden/>
    <w:qFormat/>
    <w:uiPriority w:val="0"/>
    <w:pPr>
      <w:tabs>
        <w:tab w:val="right" w:leader="dot" w:pos="9241"/>
      </w:tabs>
      <w:ind w:firstLine="607" w:firstLineChars="600"/>
      <w:jc w:val="left"/>
    </w:pPr>
    <w:rPr>
      <w:rFonts w:ascii="宋体"/>
      <w:szCs w:val="21"/>
    </w:rPr>
  </w:style>
  <w:style w:type="paragraph" w:styleId="16">
    <w:name w:val="index 3"/>
    <w:basedOn w:val="1"/>
    <w:next w:val="1"/>
    <w:qFormat/>
    <w:uiPriority w:val="0"/>
    <w:pPr>
      <w:ind w:left="630" w:hanging="210"/>
      <w:jc w:val="left"/>
    </w:pPr>
    <w:rPr>
      <w:rFonts w:ascii="Calibri" w:hAnsi="Calibri"/>
      <w:sz w:val="20"/>
      <w:szCs w:val="20"/>
    </w:rPr>
  </w:style>
  <w:style w:type="paragraph" w:styleId="17">
    <w:name w:val="endnote text"/>
    <w:basedOn w:val="1"/>
    <w:semiHidden/>
    <w:qFormat/>
    <w:uiPriority w:val="0"/>
    <w:pPr>
      <w:snapToGrid w:val="0"/>
      <w:jc w:val="left"/>
    </w:pPr>
  </w:style>
  <w:style w:type="paragraph" w:styleId="18">
    <w:name w:val="Balloon Text"/>
    <w:basedOn w:val="1"/>
    <w:link w:val="142"/>
    <w:qFormat/>
    <w:uiPriority w:val="0"/>
    <w:rPr>
      <w:sz w:val="18"/>
      <w:szCs w:val="18"/>
    </w:rPr>
  </w:style>
  <w:style w:type="paragraph" w:styleId="19">
    <w:name w:val="footer"/>
    <w:basedOn w:val="1"/>
    <w:link w:val="154"/>
    <w:qFormat/>
    <w:uiPriority w:val="99"/>
    <w:pPr>
      <w:snapToGrid w:val="0"/>
      <w:ind w:right="210" w:rightChars="100"/>
      <w:jc w:val="right"/>
    </w:pPr>
    <w:rPr>
      <w:sz w:val="18"/>
      <w:szCs w:val="18"/>
    </w:rPr>
  </w:style>
  <w:style w:type="paragraph" w:styleId="20">
    <w:name w:val="header"/>
    <w:basedOn w:val="1"/>
    <w:qFormat/>
    <w:uiPriority w:val="0"/>
    <w:pPr>
      <w:snapToGrid w:val="0"/>
      <w:jc w:val="left"/>
    </w:pPr>
    <w:rPr>
      <w:sz w:val="18"/>
      <w:szCs w:val="18"/>
    </w:rPr>
  </w:style>
  <w:style w:type="paragraph" w:styleId="21">
    <w:name w:val="toc 1"/>
    <w:basedOn w:val="1"/>
    <w:next w:val="1"/>
    <w:qFormat/>
    <w:uiPriority w:val="39"/>
    <w:pPr>
      <w:tabs>
        <w:tab w:val="right" w:leader="dot" w:pos="9242"/>
      </w:tabs>
      <w:spacing w:beforeLines="25" w:afterLines="25"/>
      <w:jc w:val="left"/>
    </w:pPr>
    <w:rPr>
      <w:rFonts w:ascii="宋体"/>
      <w:szCs w:val="21"/>
    </w:rPr>
  </w:style>
  <w:style w:type="paragraph" w:styleId="22">
    <w:name w:val="toc 4"/>
    <w:basedOn w:val="1"/>
    <w:next w:val="1"/>
    <w:semiHidden/>
    <w:qFormat/>
    <w:uiPriority w:val="0"/>
    <w:pPr>
      <w:tabs>
        <w:tab w:val="right" w:leader="dot" w:pos="9241"/>
      </w:tabs>
      <w:ind w:firstLine="200" w:firstLineChars="200"/>
      <w:jc w:val="left"/>
    </w:pPr>
    <w:rPr>
      <w:rFonts w:ascii="宋体"/>
      <w:szCs w:val="21"/>
    </w:rPr>
  </w:style>
  <w:style w:type="paragraph" w:styleId="23">
    <w:name w:val="index heading"/>
    <w:basedOn w:val="1"/>
    <w:next w:val="24"/>
    <w:qFormat/>
    <w:uiPriority w:val="0"/>
    <w:pPr>
      <w:spacing w:before="120" w:after="120"/>
      <w:jc w:val="center"/>
    </w:pPr>
    <w:rPr>
      <w:rFonts w:ascii="Calibri" w:hAnsi="Calibri"/>
      <w:b/>
      <w:bCs/>
      <w:iCs/>
      <w:szCs w:val="20"/>
    </w:rPr>
  </w:style>
  <w:style w:type="paragraph" w:styleId="24">
    <w:name w:val="index 1"/>
    <w:basedOn w:val="1"/>
    <w:next w:val="25"/>
    <w:qFormat/>
    <w:uiPriority w:val="0"/>
    <w:pPr>
      <w:tabs>
        <w:tab w:val="right" w:leader="dot" w:pos="9299"/>
      </w:tabs>
      <w:jc w:val="left"/>
    </w:pPr>
    <w:rPr>
      <w:rFonts w:ascii="宋体"/>
      <w:szCs w:val="21"/>
    </w:rPr>
  </w:style>
  <w:style w:type="paragraph" w:customStyle="1" w:styleId="25">
    <w:name w:val="段"/>
    <w:link w:val="42"/>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styleId="26">
    <w:name w:val="footnote text"/>
    <w:basedOn w:val="1"/>
    <w:qFormat/>
    <w:uiPriority w:val="0"/>
    <w:pPr>
      <w:numPr>
        <w:ilvl w:val="0"/>
        <w:numId w:val="1"/>
      </w:numPr>
      <w:snapToGrid w:val="0"/>
      <w:jc w:val="left"/>
    </w:pPr>
    <w:rPr>
      <w:rFonts w:ascii="宋体"/>
      <w:sz w:val="18"/>
      <w:szCs w:val="18"/>
    </w:rPr>
  </w:style>
  <w:style w:type="paragraph" w:styleId="27">
    <w:name w:val="toc 6"/>
    <w:basedOn w:val="1"/>
    <w:next w:val="1"/>
    <w:semiHidden/>
    <w:qFormat/>
    <w:uiPriority w:val="0"/>
    <w:pPr>
      <w:tabs>
        <w:tab w:val="right" w:leader="dot" w:pos="9241"/>
      </w:tabs>
      <w:ind w:firstLine="400" w:firstLineChars="400"/>
      <w:jc w:val="left"/>
    </w:pPr>
    <w:rPr>
      <w:rFonts w:ascii="宋体"/>
      <w:szCs w:val="21"/>
    </w:rPr>
  </w:style>
  <w:style w:type="paragraph" w:styleId="28">
    <w:name w:val="index 7"/>
    <w:basedOn w:val="1"/>
    <w:next w:val="1"/>
    <w:qFormat/>
    <w:uiPriority w:val="0"/>
    <w:pPr>
      <w:ind w:left="1470" w:hanging="210"/>
      <w:jc w:val="left"/>
    </w:pPr>
    <w:rPr>
      <w:rFonts w:ascii="Calibri" w:hAnsi="Calibri"/>
      <w:sz w:val="20"/>
      <w:szCs w:val="20"/>
    </w:rPr>
  </w:style>
  <w:style w:type="paragraph" w:styleId="29">
    <w:name w:val="index 9"/>
    <w:basedOn w:val="1"/>
    <w:next w:val="1"/>
    <w:qFormat/>
    <w:uiPriority w:val="0"/>
    <w:pPr>
      <w:ind w:left="1890" w:hanging="210"/>
      <w:jc w:val="left"/>
    </w:pPr>
    <w:rPr>
      <w:rFonts w:ascii="Calibri" w:hAnsi="Calibri"/>
      <w:sz w:val="20"/>
      <w:szCs w:val="20"/>
    </w:rPr>
  </w:style>
  <w:style w:type="paragraph" w:styleId="30">
    <w:name w:val="toc 2"/>
    <w:basedOn w:val="1"/>
    <w:next w:val="1"/>
    <w:qFormat/>
    <w:uiPriority w:val="39"/>
    <w:pPr>
      <w:tabs>
        <w:tab w:val="right" w:leader="dot" w:pos="9242"/>
      </w:tabs>
      <w:ind w:left="100" w:leftChars="100"/>
    </w:pPr>
    <w:rPr>
      <w:rFonts w:ascii="宋体"/>
      <w:szCs w:val="21"/>
    </w:rPr>
  </w:style>
  <w:style w:type="paragraph" w:styleId="31">
    <w:name w:val="toc 9"/>
    <w:basedOn w:val="1"/>
    <w:next w:val="1"/>
    <w:semiHidden/>
    <w:qFormat/>
    <w:uiPriority w:val="0"/>
    <w:pPr>
      <w:ind w:left="1470"/>
      <w:jc w:val="left"/>
    </w:pPr>
    <w:rPr>
      <w:sz w:val="20"/>
      <w:szCs w:val="20"/>
    </w:rPr>
  </w:style>
  <w:style w:type="paragraph" w:styleId="32">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33">
    <w:name w:val="index 2"/>
    <w:basedOn w:val="1"/>
    <w:next w:val="1"/>
    <w:qFormat/>
    <w:uiPriority w:val="0"/>
    <w:pPr>
      <w:ind w:left="420" w:hanging="210"/>
      <w:jc w:val="left"/>
    </w:pPr>
    <w:rPr>
      <w:rFonts w:ascii="Calibri" w:hAnsi="Calibri"/>
      <w:sz w:val="20"/>
      <w:szCs w:val="20"/>
    </w:rPr>
  </w:style>
  <w:style w:type="table" w:styleId="35">
    <w:name w:val="Table Grid"/>
    <w:basedOn w:val="34"/>
    <w:qFormat/>
    <w:uiPriority w:val="0"/>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7">
    <w:name w:val="Strong"/>
    <w:qFormat/>
    <w:uiPriority w:val="22"/>
    <w:rPr>
      <w:b/>
      <w:bCs/>
    </w:rPr>
  </w:style>
  <w:style w:type="character" w:styleId="38">
    <w:name w:val="endnote reference"/>
    <w:semiHidden/>
    <w:qFormat/>
    <w:uiPriority w:val="0"/>
    <w:rPr>
      <w:vertAlign w:val="superscript"/>
    </w:rPr>
  </w:style>
  <w:style w:type="character" w:styleId="39">
    <w:name w:val="page number"/>
    <w:qFormat/>
    <w:uiPriority w:val="0"/>
    <w:rPr>
      <w:rFonts w:ascii="Times New Roman" w:hAnsi="Times New Roman" w:eastAsia="宋体"/>
      <w:sz w:val="18"/>
    </w:rPr>
  </w:style>
  <w:style w:type="character" w:styleId="40">
    <w:name w:val="Hyperlink"/>
    <w:qFormat/>
    <w:uiPriority w:val="99"/>
    <w:rPr>
      <w:color w:val="0000FF"/>
      <w:spacing w:val="0"/>
      <w:w w:val="100"/>
      <w:szCs w:val="21"/>
      <w:u w:val="single"/>
    </w:rPr>
  </w:style>
  <w:style w:type="character" w:styleId="41">
    <w:name w:val="footnote reference"/>
    <w:semiHidden/>
    <w:qFormat/>
    <w:uiPriority w:val="0"/>
    <w:rPr>
      <w:vertAlign w:val="superscript"/>
    </w:rPr>
  </w:style>
  <w:style w:type="character" w:customStyle="1" w:styleId="42">
    <w:name w:val="段 Char"/>
    <w:link w:val="25"/>
    <w:qFormat/>
    <w:uiPriority w:val="0"/>
    <w:rPr>
      <w:rFonts w:ascii="宋体"/>
      <w:sz w:val="21"/>
      <w:lang w:val="en-US" w:eastAsia="zh-CN" w:bidi="ar-SA"/>
    </w:rPr>
  </w:style>
  <w:style w:type="paragraph" w:customStyle="1" w:styleId="43">
    <w:name w:val="一级条标题"/>
    <w:next w:val="25"/>
    <w:qFormat/>
    <w:uiPriority w:val="0"/>
    <w:pPr>
      <w:numPr>
        <w:ilvl w:val="1"/>
        <w:numId w:val="2"/>
      </w:numPr>
      <w:spacing w:before="50" w:beforeLines="50" w:after="50" w:afterLines="50"/>
      <w:outlineLvl w:val="2"/>
    </w:pPr>
    <w:rPr>
      <w:rFonts w:ascii="黑体" w:hAnsi="Times New Roman" w:eastAsia="黑体" w:cs="Times New Roman"/>
      <w:sz w:val="21"/>
      <w:szCs w:val="21"/>
      <w:lang w:val="en-US" w:eastAsia="zh-CN" w:bidi="ar-SA"/>
    </w:rPr>
  </w:style>
  <w:style w:type="paragraph" w:customStyle="1" w:styleId="44">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45">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46">
    <w:name w:val="章标题"/>
    <w:next w:val="25"/>
    <w:qFormat/>
    <w:uiPriority w:val="0"/>
    <w:pPr>
      <w:numPr>
        <w:ilvl w:val="0"/>
        <w:numId w:val="2"/>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47">
    <w:name w:val="二级条标题"/>
    <w:basedOn w:val="43"/>
    <w:next w:val="25"/>
    <w:qFormat/>
    <w:uiPriority w:val="0"/>
    <w:pPr>
      <w:numPr>
        <w:ilvl w:val="2"/>
      </w:numPr>
      <w:outlineLvl w:val="3"/>
    </w:pPr>
  </w:style>
  <w:style w:type="paragraph" w:customStyle="1" w:styleId="48">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49">
    <w:name w:val="列项——（一级）"/>
    <w:qFormat/>
    <w:uiPriority w:val="0"/>
    <w:pPr>
      <w:widowControl w:val="0"/>
      <w:numPr>
        <w:ilvl w:val="0"/>
        <w:numId w:val="3"/>
      </w:numPr>
      <w:jc w:val="both"/>
    </w:pPr>
    <w:rPr>
      <w:rFonts w:ascii="宋体" w:hAnsi="Times New Roman" w:eastAsia="宋体" w:cs="Times New Roman"/>
      <w:sz w:val="21"/>
      <w:lang w:val="en-US" w:eastAsia="zh-CN" w:bidi="ar-SA"/>
    </w:rPr>
  </w:style>
  <w:style w:type="paragraph" w:customStyle="1" w:styleId="50">
    <w:name w:val="列项●（二级）"/>
    <w:qFormat/>
    <w:uiPriority w:val="0"/>
    <w:pPr>
      <w:numPr>
        <w:ilvl w:val="1"/>
        <w:numId w:val="3"/>
      </w:numPr>
      <w:tabs>
        <w:tab w:val="left" w:pos="840"/>
      </w:tabs>
      <w:jc w:val="both"/>
    </w:pPr>
    <w:rPr>
      <w:rFonts w:ascii="宋体" w:hAnsi="Times New Roman" w:eastAsia="宋体" w:cs="Times New Roman"/>
      <w:sz w:val="21"/>
      <w:lang w:val="en-US" w:eastAsia="zh-CN" w:bidi="ar-SA"/>
    </w:rPr>
  </w:style>
  <w:style w:type="paragraph" w:customStyle="1" w:styleId="51">
    <w:name w:val="目次、标准名称标题"/>
    <w:basedOn w:val="1"/>
    <w:next w:val="25"/>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52">
    <w:name w:val="三级条标题"/>
    <w:basedOn w:val="47"/>
    <w:next w:val="25"/>
    <w:qFormat/>
    <w:uiPriority w:val="0"/>
    <w:pPr>
      <w:numPr>
        <w:ilvl w:val="3"/>
      </w:numPr>
      <w:spacing w:before="156" w:after="156"/>
      <w:outlineLvl w:val="4"/>
    </w:pPr>
    <w:rPr>
      <w:rFonts w:asciiTheme="minorEastAsia" w:hAnsiTheme="minorEastAsia"/>
    </w:rPr>
  </w:style>
  <w:style w:type="paragraph" w:customStyle="1" w:styleId="53">
    <w:name w:val="示例"/>
    <w:next w:val="54"/>
    <w:qFormat/>
    <w:uiPriority w:val="0"/>
    <w:pPr>
      <w:widowControl w:val="0"/>
      <w:numPr>
        <w:ilvl w:val="0"/>
        <w:numId w:val="4"/>
      </w:numPr>
      <w:jc w:val="both"/>
    </w:pPr>
    <w:rPr>
      <w:rFonts w:ascii="宋体" w:hAnsi="Times New Roman" w:eastAsia="宋体" w:cs="Times New Roman"/>
      <w:sz w:val="18"/>
      <w:szCs w:val="18"/>
      <w:lang w:val="en-US" w:eastAsia="zh-CN" w:bidi="ar-SA"/>
    </w:rPr>
  </w:style>
  <w:style w:type="paragraph" w:customStyle="1" w:styleId="54">
    <w:name w:val="示例内容"/>
    <w:qFormat/>
    <w:uiPriority w:val="0"/>
    <w:pPr>
      <w:ind w:firstLine="200" w:firstLineChars="200"/>
    </w:pPr>
    <w:rPr>
      <w:rFonts w:ascii="宋体" w:hAnsi="Times New Roman" w:eastAsia="宋体" w:cs="Times New Roman"/>
      <w:sz w:val="18"/>
      <w:szCs w:val="18"/>
      <w:lang w:val="en-US" w:eastAsia="zh-CN" w:bidi="ar-SA"/>
    </w:rPr>
  </w:style>
  <w:style w:type="paragraph" w:customStyle="1" w:styleId="55">
    <w:name w:val="数字编号列项（二级）"/>
    <w:qFormat/>
    <w:uiPriority w:val="0"/>
    <w:pPr>
      <w:numPr>
        <w:ilvl w:val="1"/>
        <w:numId w:val="5"/>
      </w:numPr>
      <w:jc w:val="both"/>
    </w:pPr>
    <w:rPr>
      <w:rFonts w:ascii="宋体" w:hAnsi="Times New Roman" w:eastAsia="宋体" w:cs="Times New Roman"/>
      <w:sz w:val="21"/>
      <w:lang w:val="en-US" w:eastAsia="zh-CN" w:bidi="ar-SA"/>
    </w:rPr>
  </w:style>
  <w:style w:type="paragraph" w:customStyle="1" w:styleId="56">
    <w:name w:val="四级条标题"/>
    <w:basedOn w:val="52"/>
    <w:next w:val="25"/>
    <w:qFormat/>
    <w:uiPriority w:val="0"/>
    <w:pPr>
      <w:numPr>
        <w:ilvl w:val="4"/>
      </w:numPr>
      <w:outlineLvl w:val="5"/>
    </w:pPr>
  </w:style>
  <w:style w:type="paragraph" w:customStyle="1" w:styleId="57">
    <w:name w:val="五级条标题"/>
    <w:basedOn w:val="56"/>
    <w:next w:val="25"/>
    <w:qFormat/>
    <w:uiPriority w:val="0"/>
    <w:pPr>
      <w:numPr>
        <w:ilvl w:val="5"/>
      </w:numPr>
      <w:spacing w:before="50" w:after="50"/>
      <w:outlineLvl w:val="6"/>
    </w:pPr>
  </w:style>
  <w:style w:type="paragraph" w:customStyle="1" w:styleId="58">
    <w:name w:val="注："/>
    <w:next w:val="25"/>
    <w:qFormat/>
    <w:uiPriority w:val="0"/>
    <w:pPr>
      <w:widowControl w:val="0"/>
      <w:numPr>
        <w:ilvl w:val="0"/>
        <w:numId w:val="6"/>
      </w:numPr>
      <w:autoSpaceDE w:val="0"/>
      <w:autoSpaceDN w:val="0"/>
      <w:jc w:val="both"/>
    </w:pPr>
    <w:rPr>
      <w:rFonts w:ascii="宋体" w:hAnsi="Times New Roman" w:eastAsia="宋体" w:cs="Times New Roman"/>
      <w:sz w:val="18"/>
      <w:szCs w:val="18"/>
      <w:lang w:val="en-US" w:eastAsia="zh-CN" w:bidi="ar-SA"/>
    </w:rPr>
  </w:style>
  <w:style w:type="paragraph" w:customStyle="1" w:styleId="59">
    <w:name w:val="注×："/>
    <w:qFormat/>
    <w:uiPriority w:val="0"/>
    <w:pPr>
      <w:widowControl w:val="0"/>
      <w:numPr>
        <w:ilvl w:val="0"/>
        <w:numId w:val="7"/>
      </w:numPr>
      <w:autoSpaceDE w:val="0"/>
      <w:autoSpaceDN w:val="0"/>
      <w:jc w:val="both"/>
    </w:pPr>
    <w:rPr>
      <w:rFonts w:ascii="宋体" w:hAnsi="Times New Roman" w:eastAsia="宋体" w:cs="Times New Roman"/>
      <w:sz w:val="18"/>
      <w:szCs w:val="18"/>
      <w:lang w:val="en-US" w:eastAsia="zh-CN" w:bidi="ar-SA"/>
    </w:rPr>
  </w:style>
  <w:style w:type="paragraph" w:customStyle="1" w:styleId="60">
    <w:name w:val="字母编号列项（一级）"/>
    <w:qFormat/>
    <w:uiPriority w:val="0"/>
    <w:pPr>
      <w:numPr>
        <w:ilvl w:val="0"/>
        <w:numId w:val="5"/>
      </w:numPr>
      <w:jc w:val="both"/>
    </w:pPr>
    <w:rPr>
      <w:rFonts w:ascii="宋体" w:hAnsi="Times New Roman" w:eastAsia="宋体" w:cs="Times New Roman"/>
      <w:sz w:val="21"/>
      <w:lang w:val="en-US" w:eastAsia="zh-CN" w:bidi="ar-SA"/>
    </w:rPr>
  </w:style>
  <w:style w:type="paragraph" w:customStyle="1" w:styleId="61">
    <w:name w:val="列项◆（三级）"/>
    <w:basedOn w:val="1"/>
    <w:qFormat/>
    <w:uiPriority w:val="0"/>
    <w:pPr>
      <w:numPr>
        <w:ilvl w:val="2"/>
        <w:numId w:val="3"/>
      </w:numPr>
    </w:pPr>
    <w:rPr>
      <w:rFonts w:ascii="宋体"/>
      <w:szCs w:val="21"/>
    </w:rPr>
  </w:style>
  <w:style w:type="paragraph" w:customStyle="1" w:styleId="62">
    <w:name w:val="编号列项（三级）"/>
    <w:qFormat/>
    <w:uiPriority w:val="0"/>
    <w:rPr>
      <w:rFonts w:ascii="宋体" w:hAnsi="Times New Roman" w:eastAsia="宋体" w:cs="Times New Roman"/>
      <w:sz w:val="21"/>
      <w:lang w:val="en-US" w:eastAsia="zh-CN" w:bidi="ar-SA"/>
    </w:rPr>
  </w:style>
  <w:style w:type="paragraph" w:customStyle="1" w:styleId="63">
    <w:name w:val="示例×："/>
    <w:basedOn w:val="46"/>
    <w:qFormat/>
    <w:uiPriority w:val="0"/>
    <w:pPr>
      <w:numPr>
        <w:ilvl w:val="0"/>
        <w:numId w:val="8"/>
      </w:numPr>
      <w:spacing w:beforeLines="0" w:afterLines="0"/>
      <w:outlineLvl w:val="9"/>
    </w:pPr>
    <w:rPr>
      <w:rFonts w:ascii="宋体" w:eastAsia="宋体"/>
      <w:sz w:val="18"/>
      <w:szCs w:val="18"/>
    </w:rPr>
  </w:style>
  <w:style w:type="paragraph" w:customStyle="1" w:styleId="64">
    <w:name w:val="五级无标题条"/>
    <w:basedOn w:val="57"/>
    <w:qFormat/>
    <w:uiPriority w:val="0"/>
    <w:pPr>
      <w:spacing w:before="0" w:beforeLines="0" w:after="0" w:afterLines="0"/>
    </w:pPr>
    <w:rPr>
      <w:rFonts w:eastAsiaTheme="minorEastAsia"/>
    </w:rPr>
  </w:style>
  <w:style w:type="paragraph" w:customStyle="1" w:styleId="65">
    <w:name w:val="注：（正文）"/>
    <w:basedOn w:val="58"/>
    <w:next w:val="25"/>
    <w:qFormat/>
    <w:uiPriority w:val="0"/>
    <w:pPr>
      <w:numPr>
        <w:ilvl w:val="0"/>
        <w:numId w:val="9"/>
      </w:numPr>
    </w:pPr>
  </w:style>
  <w:style w:type="paragraph" w:customStyle="1" w:styleId="66">
    <w:name w:val="注×：（正文）"/>
    <w:qFormat/>
    <w:uiPriority w:val="0"/>
    <w:pPr>
      <w:numPr>
        <w:ilvl w:val="0"/>
        <w:numId w:val="10"/>
      </w:numPr>
      <w:jc w:val="both"/>
    </w:pPr>
    <w:rPr>
      <w:rFonts w:ascii="宋体" w:hAnsi="Times New Roman" w:eastAsia="宋体" w:cs="Times New Roman"/>
      <w:sz w:val="18"/>
      <w:szCs w:val="18"/>
      <w:lang w:val="en-US" w:eastAsia="zh-CN" w:bidi="ar-SA"/>
    </w:rPr>
  </w:style>
  <w:style w:type="paragraph" w:customStyle="1" w:styleId="67">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68">
    <w:name w:val="标准称谓"/>
    <w:next w:val="1"/>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48"/>
      <w:lang w:val="en-US" w:eastAsia="zh-CN" w:bidi="ar-SA"/>
    </w:rPr>
  </w:style>
  <w:style w:type="paragraph" w:customStyle="1" w:styleId="69">
    <w:name w:val="标准书脚_偶数页"/>
    <w:qFormat/>
    <w:uiPriority w:val="0"/>
    <w:pPr>
      <w:spacing w:before="120"/>
      <w:ind w:left="221"/>
    </w:pPr>
    <w:rPr>
      <w:rFonts w:ascii="宋体" w:hAnsi="Times New Roman" w:eastAsia="宋体" w:cs="Times New Roman"/>
      <w:sz w:val="18"/>
      <w:szCs w:val="18"/>
      <w:lang w:val="en-US" w:eastAsia="zh-CN" w:bidi="ar-SA"/>
    </w:rPr>
  </w:style>
  <w:style w:type="paragraph" w:customStyle="1" w:styleId="70">
    <w:name w:val="标准书眉_偶数页"/>
    <w:basedOn w:val="45"/>
    <w:next w:val="1"/>
    <w:qFormat/>
    <w:uiPriority w:val="0"/>
    <w:pPr>
      <w:jc w:val="left"/>
    </w:pPr>
  </w:style>
  <w:style w:type="paragraph" w:customStyle="1" w:styleId="71">
    <w:name w:val="标准书眉一"/>
    <w:qFormat/>
    <w:uiPriority w:val="0"/>
    <w:pPr>
      <w:jc w:val="both"/>
    </w:pPr>
    <w:rPr>
      <w:rFonts w:ascii="Times New Roman" w:hAnsi="Times New Roman" w:eastAsia="宋体" w:cs="Times New Roman"/>
      <w:lang w:val="en-US" w:eastAsia="zh-CN" w:bidi="ar-SA"/>
    </w:rPr>
  </w:style>
  <w:style w:type="paragraph" w:customStyle="1" w:styleId="72">
    <w:name w:val="参考文献"/>
    <w:basedOn w:val="1"/>
    <w:next w:val="25"/>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73">
    <w:name w:val="参考文献、索引标题"/>
    <w:basedOn w:val="1"/>
    <w:next w:val="25"/>
    <w:qFormat/>
    <w:uiPriority w:val="0"/>
    <w:pPr>
      <w:keepNext/>
      <w:pageBreakBefore/>
      <w:widowControl/>
      <w:shd w:val="clear" w:color="FFFFFF" w:fill="FFFFFF"/>
      <w:spacing w:before="640" w:after="200"/>
      <w:jc w:val="center"/>
      <w:outlineLvl w:val="0"/>
    </w:pPr>
    <w:rPr>
      <w:rFonts w:ascii="黑体" w:eastAsia="黑体"/>
      <w:kern w:val="0"/>
      <w:szCs w:val="20"/>
    </w:rPr>
  </w:style>
  <w:style w:type="character" w:customStyle="1" w:styleId="74">
    <w:name w:val="发布"/>
    <w:qFormat/>
    <w:uiPriority w:val="0"/>
    <w:rPr>
      <w:rFonts w:ascii="黑体" w:eastAsia="黑体"/>
      <w:spacing w:val="85"/>
      <w:w w:val="100"/>
      <w:position w:val="3"/>
      <w:sz w:val="28"/>
      <w:szCs w:val="28"/>
    </w:rPr>
  </w:style>
  <w:style w:type="paragraph" w:customStyle="1" w:styleId="75">
    <w:name w:val="发布部门"/>
    <w:next w:val="25"/>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76">
    <w:name w:val="发布日期"/>
    <w:qFormat/>
    <w:uiPriority w:val="0"/>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77">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78">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79">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80">
    <w:name w:val="封面标准英文名称"/>
    <w:basedOn w:val="79"/>
    <w:qFormat/>
    <w:uiPriority w:val="0"/>
    <w:pPr>
      <w:spacing w:before="370" w:line="400" w:lineRule="exact"/>
    </w:pPr>
    <w:rPr>
      <w:rFonts w:ascii="Times New Roman"/>
      <w:sz w:val="28"/>
      <w:szCs w:val="28"/>
    </w:rPr>
  </w:style>
  <w:style w:type="paragraph" w:customStyle="1" w:styleId="81">
    <w:name w:val="封面一致性程度标识"/>
    <w:basedOn w:val="80"/>
    <w:qFormat/>
    <w:uiPriority w:val="0"/>
    <w:pPr>
      <w:spacing w:before="440"/>
    </w:pPr>
    <w:rPr>
      <w:rFonts w:ascii="宋体" w:eastAsia="宋体"/>
    </w:rPr>
  </w:style>
  <w:style w:type="paragraph" w:customStyle="1" w:styleId="82">
    <w:name w:val="封面标准文稿类别"/>
    <w:basedOn w:val="81"/>
    <w:qFormat/>
    <w:uiPriority w:val="0"/>
    <w:pPr>
      <w:spacing w:after="160" w:line="240" w:lineRule="auto"/>
    </w:pPr>
    <w:rPr>
      <w:sz w:val="24"/>
    </w:rPr>
  </w:style>
  <w:style w:type="paragraph" w:customStyle="1" w:styleId="83">
    <w:name w:val="封面标准文稿编辑信息"/>
    <w:basedOn w:val="82"/>
    <w:qFormat/>
    <w:uiPriority w:val="0"/>
    <w:pPr>
      <w:spacing w:before="180" w:line="180" w:lineRule="exact"/>
    </w:pPr>
    <w:rPr>
      <w:sz w:val="21"/>
    </w:rPr>
  </w:style>
  <w:style w:type="paragraph" w:customStyle="1" w:styleId="84">
    <w:name w:val="封面正文"/>
    <w:qFormat/>
    <w:uiPriority w:val="0"/>
    <w:pPr>
      <w:jc w:val="both"/>
    </w:pPr>
    <w:rPr>
      <w:rFonts w:ascii="Times New Roman" w:hAnsi="Times New Roman" w:eastAsia="宋体" w:cs="Times New Roman"/>
      <w:lang w:val="en-US" w:eastAsia="zh-CN" w:bidi="ar-SA"/>
    </w:rPr>
  </w:style>
  <w:style w:type="paragraph" w:customStyle="1" w:styleId="85">
    <w:name w:val="附录标识"/>
    <w:basedOn w:val="1"/>
    <w:next w:val="25"/>
    <w:qFormat/>
    <w:uiPriority w:val="0"/>
    <w:pPr>
      <w:keepNext/>
      <w:widowControl/>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86">
    <w:name w:val="附录标题"/>
    <w:basedOn w:val="25"/>
    <w:next w:val="25"/>
    <w:qFormat/>
    <w:uiPriority w:val="0"/>
    <w:pPr>
      <w:ind w:firstLine="0" w:firstLineChars="0"/>
      <w:jc w:val="center"/>
    </w:pPr>
    <w:rPr>
      <w:rFonts w:ascii="黑体" w:eastAsia="黑体"/>
    </w:rPr>
  </w:style>
  <w:style w:type="paragraph" w:customStyle="1" w:styleId="87">
    <w:name w:val="附录表标号"/>
    <w:basedOn w:val="1"/>
    <w:next w:val="25"/>
    <w:qFormat/>
    <w:uiPriority w:val="0"/>
    <w:pPr>
      <w:numPr>
        <w:ilvl w:val="0"/>
        <w:numId w:val="11"/>
      </w:numPr>
      <w:spacing w:line="14" w:lineRule="exact"/>
      <w:ind w:left="811" w:hanging="448"/>
      <w:jc w:val="center"/>
      <w:outlineLvl w:val="0"/>
    </w:pPr>
    <w:rPr>
      <w:color w:val="FFFFFF"/>
    </w:rPr>
  </w:style>
  <w:style w:type="paragraph" w:customStyle="1" w:styleId="88">
    <w:name w:val="附录表标题"/>
    <w:basedOn w:val="1"/>
    <w:next w:val="25"/>
    <w:qFormat/>
    <w:uiPriority w:val="0"/>
    <w:pPr>
      <w:numPr>
        <w:ilvl w:val="1"/>
        <w:numId w:val="11"/>
      </w:numPr>
      <w:tabs>
        <w:tab w:val="left" w:pos="180"/>
      </w:tabs>
      <w:spacing w:beforeLines="50" w:afterLines="50"/>
      <w:ind w:left="0" w:firstLine="0"/>
      <w:jc w:val="center"/>
    </w:pPr>
    <w:rPr>
      <w:rFonts w:ascii="黑体" w:eastAsia="黑体"/>
      <w:szCs w:val="21"/>
    </w:rPr>
  </w:style>
  <w:style w:type="paragraph" w:customStyle="1" w:styleId="89">
    <w:name w:val="附录二级条标题"/>
    <w:basedOn w:val="1"/>
    <w:next w:val="25"/>
    <w:qFormat/>
    <w:uiPriority w:val="0"/>
    <w:pPr>
      <w:widowControl/>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90">
    <w:name w:val="附录二级无"/>
    <w:basedOn w:val="89"/>
    <w:qFormat/>
    <w:uiPriority w:val="0"/>
    <w:pPr>
      <w:tabs>
        <w:tab w:val="clear" w:pos="360"/>
      </w:tabs>
      <w:spacing w:beforeLines="0" w:afterLines="0"/>
    </w:pPr>
    <w:rPr>
      <w:rFonts w:ascii="宋体" w:eastAsia="宋体"/>
      <w:szCs w:val="21"/>
    </w:rPr>
  </w:style>
  <w:style w:type="paragraph" w:customStyle="1" w:styleId="91">
    <w:name w:val="附录公式"/>
    <w:basedOn w:val="25"/>
    <w:next w:val="25"/>
    <w:link w:val="92"/>
    <w:qFormat/>
    <w:uiPriority w:val="0"/>
  </w:style>
  <w:style w:type="character" w:customStyle="1" w:styleId="92">
    <w:name w:val="附录公式 Char"/>
    <w:basedOn w:val="42"/>
    <w:link w:val="91"/>
    <w:qFormat/>
    <w:uiPriority w:val="0"/>
    <w:rPr>
      <w:rFonts w:ascii="宋体"/>
      <w:sz w:val="21"/>
      <w:lang w:val="en-US" w:eastAsia="zh-CN" w:bidi="ar-SA"/>
    </w:rPr>
  </w:style>
  <w:style w:type="paragraph" w:customStyle="1" w:styleId="93">
    <w:name w:val="附录公式编号制表符"/>
    <w:basedOn w:val="1"/>
    <w:next w:val="25"/>
    <w:qFormat/>
    <w:uiPriority w:val="0"/>
    <w:pPr>
      <w:widowControl/>
      <w:tabs>
        <w:tab w:val="center" w:pos="4201"/>
        <w:tab w:val="right" w:leader="dot" w:pos="9298"/>
      </w:tabs>
      <w:autoSpaceDE w:val="0"/>
      <w:autoSpaceDN w:val="0"/>
    </w:pPr>
    <w:rPr>
      <w:rFonts w:ascii="宋体"/>
      <w:kern w:val="0"/>
      <w:szCs w:val="20"/>
    </w:rPr>
  </w:style>
  <w:style w:type="paragraph" w:customStyle="1" w:styleId="94">
    <w:name w:val="附录三级条标题"/>
    <w:basedOn w:val="89"/>
    <w:next w:val="25"/>
    <w:qFormat/>
    <w:uiPriority w:val="0"/>
    <w:pPr>
      <w:outlineLvl w:val="4"/>
    </w:pPr>
  </w:style>
  <w:style w:type="paragraph" w:customStyle="1" w:styleId="95">
    <w:name w:val="附录三级无"/>
    <w:basedOn w:val="94"/>
    <w:qFormat/>
    <w:uiPriority w:val="0"/>
    <w:pPr>
      <w:tabs>
        <w:tab w:val="clear" w:pos="360"/>
      </w:tabs>
      <w:spacing w:beforeLines="0" w:afterLines="0"/>
    </w:pPr>
    <w:rPr>
      <w:rFonts w:ascii="宋体" w:eastAsia="宋体"/>
      <w:szCs w:val="21"/>
    </w:rPr>
  </w:style>
  <w:style w:type="paragraph" w:customStyle="1" w:styleId="96">
    <w:name w:val="附录数字编号列项（二级）"/>
    <w:qFormat/>
    <w:uiPriority w:val="0"/>
    <w:pPr>
      <w:numPr>
        <w:ilvl w:val="1"/>
        <w:numId w:val="12"/>
      </w:numPr>
    </w:pPr>
    <w:rPr>
      <w:rFonts w:ascii="宋体" w:hAnsi="Times New Roman" w:eastAsia="宋体" w:cs="Times New Roman"/>
      <w:sz w:val="21"/>
      <w:lang w:val="en-US" w:eastAsia="zh-CN" w:bidi="ar-SA"/>
    </w:rPr>
  </w:style>
  <w:style w:type="paragraph" w:customStyle="1" w:styleId="97">
    <w:name w:val="附录四级条标题"/>
    <w:basedOn w:val="94"/>
    <w:next w:val="25"/>
    <w:qFormat/>
    <w:uiPriority w:val="0"/>
    <w:pPr>
      <w:outlineLvl w:val="5"/>
    </w:pPr>
  </w:style>
  <w:style w:type="paragraph" w:customStyle="1" w:styleId="98">
    <w:name w:val="附录四级无"/>
    <w:basedOn w:val="97"/>
    <w:qFormat/>
    <w:uiPriority w:val="0"/>
    <w:pPr>
      <w:tabs>
        <w:tab w:val="clear" w:pos="360"/>
      </w:tabs>
      <w:spacing w:beforeLines="0" w:afterLines="0"/>
    </w:pPr>
    <w:rPr>
      <w:rFonts w:ascii="宋体" w:eastAsia="宋体"/>
      <w:szCs w:val="21"/>
    </w:rPr>
  </w:style>
  <w:style w:type="paragraph" w:customStyle="1" w:styleId="99">
    <w:name w:val="附录图标号"/>
    <w:basedOn w:val="1"/>
    <w:qFormat/>
    <w:uiPriority w:val="0"/>
    <w:pPr>
      <w:keepNext/>
      <w:pageBreakBefore/>
      <w:widowControl/>
      <w:numPr>
        <w:ilvl w:val="0"/>
        <w:numId w:val="13"/>
      </w:numPr>
      <w:spacing w:line="14" w:lineRule="exact"/>
      <w:ind w:left="0" w:firstLine="363"/>
      <w:jc w:val="center"/>
      <w:outlineLvl w:val="0"/>
    </w:pPr>
    <w:rPr>
      <w:color w:val="FFFFFF"/>
    </w:rPr>
  </w:style>
  <w:style w:type="paragraph" w:customStyle="1" w:styleId="100">
    <w:name w:val="附录图标题"/>
    <w:basedOn w:val="1"/>
    <w:next w:val="25"/>
    <w:qFormat/>
    <w:uiPriority w:val="0"/>
    <w:pPr>
      <w:numPr>
        <w:ilvl w:val="1"/>
        <w:numId w:val="13"/>
      </w:numPr>
      <w:tabs>
        <w:tab w:val="left" w:pos="363"/>
      </w:tabs>
      <w:spacing w:before="156" w:beforeLines="50" w:after="156" w:afterLines="50"/>
      <w:ind w:left="0" w:firstLine="0"/>
      <w:jc w:val="center"/>
    </w:pPr>
    <w:rPr>
      <w:rFonts w:ascii="黑体" w:eastAsia="黑体"/>
      <w:szCs w:val="21"/>
    </w:rPr>
  </w:style>
  <w:style w:type="paragraph" w:customStyle="1" w:styleId="101">
    <w:name w:val="附录五级条标题"/>
    <w:basedOn w:val="97"/>
    <w:next w:val="25"/>
    <w:qFormat/>
    <w:uiPriority w:val="0"/>
    <w:pPr>
      <w:outlineLvl w:val="6"/>
    </w:pPr>
  </w:style>
  <w:style w:type="paragraph" w:customStyle="1" w:styleId="102">
    <w:name w:val="附录五级无"/>
    <w:basedOn w:val="101"/>
    <w:qFormat/>
    <w:uiPriority w:val="0"/>
    <w:pPr>
      <w:tabs>
        <w:tab w:val="clear" w:pos="360"/>
      </w:tabs>
      <w:spacing w:beforeLines="0" w:afterLines="0"/>
    </w:pPr>
    <w:rPr>
      <w:rFonts w:ascii="宋体" w:eastAsia="宋体"/>
      <w:szCs w:val="21"/>
    </w:rPr>
  </w:style>
  <w:style w:type="paragraph" w:customStyle="1" w:styleId="103">
    <w:name w:val="附录章标题"/>
    <w:next w:val="25"/>
    <w:qFormat/>
    <w:uiPriority w:val="0"/>
    <w:pPr>
      <w:tabs>
        <w:tab w:val="left" w:pos="360"/>
      </w:tabs>
      <w:wordWrap w:val="0"/>
      <w:overflowPunct w:val="0"/>
      <w:autoSpaceDE w:val="0"/>
      <w:spacing w:beforeLines="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104">
    <w:name w:val="附录一级条标题"/>
    <w:basedOn w:val="103"/>
    <w:next w:val="25"/>
    <w:qFormat/>
    <w:uiPriority w:val="0"/>
    <w:pPr>
      <w:autoSpaceDN w:val="0"/>
      <w:spacing w:beforeLines="50" w:afterLines="50"/>
      <w:outlineLvl w:val="2"/>
    </w:pPr>
  </w:style>
  <w:style w:type="paragraph" w:customStyle="1" w:styleId="105">
    <w:name w:val="附录一级无"/>
    <w:basedOn w:val="104"/>
    <w:qFormat/>
    <w:uiPriority w:val="0"/>
    <w:pPr>
      <w:tabs>
        <w:tab w:val="clear" w:pos="360"/>
      </w:tabs>
      <w:spacing w:beforeLines="0" w:afterLines="0"/>
    </w:pPr>
    <w:rPr>
      <w:rFonts w:ascii="宋体" w:eastAsia="宋体"/>
      <w:szCs w:val="21"/>
    </w:rPr>
  </w:style>
  <w:style w:type="paragraph" w:customStyle="1" w:styleId="106">
    <w:name w:val="附录字母编号列项（一级）"/>
    <w:qFormat/>
    <w:uiPriority w:val="0"/>
    <w:pPr>
      <w:numPr>
        <w:ilvl w:val="0"/>
        <w:numId w:val="12"/>
      </w:numPr>
    </w:pPr>
    <w:rPr>
      <w:rFonts w:ascii="宋体" w:hAnsi="Times New Roman" w:eastAsia="宋体" w:cs="Times New Roman"/>
      <w:sz w:val="21"/>
      <w:lang w:val="en-US" w:eastAsia="zh-CN" w:bidi="ar-SA"/>
    </w:rPr>
  </w:style>
  <w:style w:type="paragraph" w:customStyle="1" w:styleId="107">
    <w:name w:val="列项说明"/>
    <w:basedOn w:val="1"/>
    <w:qFormat/>
    <w:uiPriority w:val="0"/>
    <w:pPr>
      <w:adjustRightInd w:val="0"/>
      <w:spacing w:line="320" w:lineRule="exact"/>
      <w:ind w:left="400" w:leftChars="200" w:hanging="200" w:hangingChars="200"/>
      <w:jc w:val="left"/>
      <w:textAlignment w:val="baseline"/>
    </w:pPr>
    <w:rPr>
      <w:rFonts w:ascii="宋体"/>
      <w:kern w:val="0"/>
      <w:szCs w:val="20"/>
    </w:rPr>
  </w:style>
  <w:style w:type="paragraph" w:customStyle="1" w:styleId="108">
    <w:name w:val="列项说明数字编号"/>
    <w:qFormat/>
    <w:uiPriority w:val="0"/>
    <w:pPr>
      <w:ind w:left="600" w:leftChars="400" w:hanging="200" w:hangingChars="200"/>
    </w:pPr>
    <w:rPr>
      <w:rFonts w:ascii="宋体" w:hAnsi="Times New Roman" w:eastAsia="宋体" w:cs="Times New Roman"/>
      <w:sz w:val="21"/>
      <w:lang w:val="en-US" w:eastAsia="zh-CN" w:bidi="ar-SA"/>
    </w:rPr>
  </w:style>
  <w:style w:type="paragraph" w:customStyle="1" w:styleId="109">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10">
    <w:name w:val="其他标准标志"/>
    <w:basedOn w:val="67"/>
    <w:qFormat/>
    <w:uiPriority w:val="0"/>
    <w:pPr>
      <w:framePr w:w="6101" w:vAnchor="page" w:hAnchor="page" w:x="4673" w:y="942"/>
    </w:pPr>
    <w:rPr>
      <w:w w:val="130"/>
    </w:rPr>
  </w:style>
  <w:style w:type="paragraph" w:customStyle="1" w:styleId="111">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112">
    <w:name w:val="其他发布部门"/>
    <w:basedOn w:val="75"/>
    <w:qFormat/>
    <w:uiPriority w:val="0"/>
    <w:pPr>
      <w:framePr w:y="15310"/>
      <w:spacing w:line="0" w:lineRule="atLeast"/>
    </w:pPr>
    <w:rPr>
      <w:rFonts w:ascii="黑体" w:eastAsia="黑体"/>
      <w:b w:val="0"/>
    </w:rPr>
  </w:style>
  <w:style w:type="paragraph" w:customStyle="1" w:styleId="113">
    <w:name w:val="前言、引言标题"/>
    <w:next w:val="25"/>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14">
    <w:name w:val="三级无标题条"/>
    <w:basedOn w:val="52"/>
    <w:qFormat/>
    <w:uiPriority w:val="0"/>
    <w:pPr>
      <w:spacing w:before="0" w:beforeLines="0" w:after="0" w:afterLines="0"/>
    </w:pPr>
    <w:rPr>
      <w:rFonts w:eastAsiaTheme="minorEastAsia"/>
    </w:rPr>
  </w:style>
  <w:style w:type="paragraph" w:customStyle="1" w:styleId="115">
    <w:name w:val="实施日期"/>
    <w:basedOn w:val="76"/>
    <w:qFormat/>
    <w:uiPriority w:val="0"/>
    <w:pPr>
      <w:framePr w:vAnchor="page" w:hAnchor="text"/>
      <w:jc w:val="right"/>
    </w:pPr>
  </w:style>
  <w:style w:type="paragraph" w:customStyle="1" w:styleId="116">
    <w:name w:val="示例后文字"/>
    <w:basedOn w:val="25"/>
    <w:next w:val="25"/>
    <w:qFormat/>
    <w:uiPriority w:val="0"/>
    <w:pPr>
      <w:ind w:firstLine="360"/>
    </w:pPr>
    <w:rPr>
      <w:sz w:val="18"/>
    </w:rPr>
  </w:style>
  <w:style w:type="paragraph" w:customStyle="1" w:styleId="117">
    <w:name w:val="首示例"/>
    <w:next w:val="25"/>
    <w:link w:val="118"/>
    <w:qFormat/>
    <w:uiPriority w:val="0"/>
    <w:pPr>
      <w:numPr>
        <w:ilvl w:val="0"/>
        <w:numId w:val="14"/>
      </w:numPr>
      <w:tabs>
        <w:tab w:val="left" w:pos="360"/>
      </w:tabs>
      <w:ind w:firstLine="0"/>
    </w:pPr>
    <w:rPr>
      <w:rFonts w:ascii="宋体" w:hAnsi="宋体" w:eastAsia="宋体" w:cs="Times New Roman"/>
      <w:kern w:val="2"/>
      <w:sz w:val="18"/>
      <w:szCs w:val="18"/>
      <w:lang w:val="en-US" w:eastAsia="zh-CN" w:bidi="ar-SA"/>
    </w:rPr>
  </w:style>
  <w:style w:type="character" w:customStyle="1" w:styleId="118">
    <w:name w:val="首示例 Char"/>
    <w:link w:val="117"/>
    <w:qFormat/>
    <w:uiPriority w:val="0"/>
    <w:rPr>
      <w:rFonts w:ascii="宋体" w:hAnsi="宋体"/>
      <w:kern w:val="2"/>
      <w:sz w:val="18"/>
      <w:szCs w:val="18"/>
    </w:rPr>
  </w:style>
  <w:style w:type="paragraph" w:customStyle="1" w:styleId="119">
    <w:name w:val="四级无"/>
    <w:basedOn w:val="56"/>
    <w:qFormat/>
    <w:uiPriority w:val="0"/>
    <w:pPr>
      <w:numPr>
        <w:numId w:val="15"/>
      </w:numPr>
      <w:spacing w:beforeLines="0" w:afterLines="0"/>
    </w:pPr>
    <w:rPr>
      <w:rFonts w:ascii="宋体" w:eastAsia="宋体"/>
    </w:rPr>
  </w:style>
  <w:style w:type="paragraph" w:customStyle="1" w:styleId="120">
    <w:name w:val="条文脚注"/>
    <w:basedOn w:val="26"/>
    <w:qFormat/>
    <w:uiPriority w:val="0"/>
    <w:pPr>
      <w:numPr>
        <w:numId w:val="0"/>
      </w:numPr>
      <w:jc w:val="both"/>
    </w:pPr>
  </w:style>
  <w:style w:type="paragraph" w:customStyle="1" w:styleId="121">
    <w:name w:val="图标脚注说明"/>
    <w:basedOn w:val="25"/>
    <w:qFormat/>
    <w:uiPriority w:val="0"/>
    <w:pPr>
      <w:ind w:left="840" w:hanging="420" w:firstLineChars="0"/>
    </w:pPr>
    <w:rPr>
      <w:sz w:val="18"/>
      <w:szCs w:val="18"/>
    </w:rPr>
  </w:style>
  <w:style w:type="paragraph" w:customStyle="1" w:styleId="122">
    <w:name w:val="图表脚注说明"/>
    <w:basedOn w:val="1"/>
    <w:qFormat/>
    <w:uiPriority w:val="0"/>
    <w:pPr>
      <w:numPr>
        <w:ilvl w:val="0"/>
        <w:numId w:val="16"/>
      </w:numPr>
    </w:pPr>
    <w:rPr>
      <w:rFonts w:ascii="宋体"/>
      <w:sz w:val="18"/>
      <w:szCs w:val="18"/>
    </w:rPr>
  </w:style>
  <w:style w:type="paragraph" w:customStyle="1" w:styleId="123">
    <w:name w:val="图的脚注"/>
    <w:next w:val="25"/>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paragraph" w:customStyle="1" w:styleId="124">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125">
    <w:name w:val="五级无"/>
    <w:basedOn w:val="57"/>
    <w:qFormat/>
    <w:uiPriority w:val="0"/>
    <w:pPr>
      <w:numPr>
        <w:numId w:val="15"/>
      </w:numPr>
      <w:spacing w:beforeLines="0" w:afterLines="0"/>
    </w:pPr>
    <w:rPr>
      <w:rFonts w:ascii="宋体" w:eastAsia="宋体"/>
    </w:rPr>
  </w:style>
  <w:style w:type="paragraph" w:customStyle="1" w:styleId="126">
    <w:name w:val="四级无标题条"/>
    <w:basedOn w:val="56"/>
    <w:qFormat/>
    <w:uiPriority w:val="0"/>
    <w:pPr>
      <w:spacing w:before="0" w:beforeLines="0" w:after="0" w:afterLines="0"/>
    </w:pPr>
    <w:rPr>
      <w:rFonts w:eastAsiaTheme="minorEastAsia"/>
    </w:rPr>
  </w:style>
  <w:style w:type="character" w:customStyle="1" w:styleId="127">
    <w:name w:val="已访问的超链接1"/>
    <w:qFormat/>
    <w:uiPriority w:val="0"/>
    <w:rPr>
      <w:color w:val="800080"/>
      <w:u w:val="single"/>
    </w:rPr>
  </w:style>
  <w:style w:type="paragraph" w:customStyle="1" w:styleId="128">
    <w:name w:val="正文表标题"/>
    <w:next w:val="25"/>
    <w:qFormat/>
    <w:uiPriority w:val="0"/>
    <w:pPr>
      <w:numPr>
        <w:ilvl w:val="0"/>
        <w:numId w:val="17"/>
      </w:num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129">
    <w:name w:val="正文公式编号制表符"/>
    <w:basedOn w:val="25"/>
    <w:next w:val="25"/>
    <w:qFormat/>
    <w:uiPriority w:val="0"/>
    <w:pPr>
      <w:ind w:firstLine="0" w:firstLineChars="0"/>
    </w:pPr>
  </w:style>
  <w:style w:type="paragraph" w:customStyle="1" w:styleId="130">
    <w:name w:val="正文图标题"/>
    <w:next w:val="25"/>
    <w:qFormat/>
    <w:uiPriority w:val="0"/>
    <w:pPr>
      <w:numPr>
        <w:ilvl w:val="0"/>
        <w:numId w:val="18"/>
      </w:numPr>
      <w:spacing w:beforeLines="50" w:afterLines="50"/>
      <w:jc w:val="center"/>
    </w:pPr>
    <w:rPr>
      <w:rFonts w:ascii="黑体" w:hAnsi="Times New Roman" w:eastAsia="黑体" w:cs="Times New Roman"/>
      <w:sz w:val="21"/>
      <w:lang w:val="en-US" w:eastAsia="zh-CN" w:bidi="ar-SA"/>
    </w:rPr>
  </w:style>
  <w:style w:type="paragraph" w:customStyle="1" w:styleId="131">
    <w:name w:val="终结线"/>
    <w:basedOn w:val="1"/>
    <w:qFormat/>
    <w:uiPriority w:val="0"/>
    <w:pPr>
      <w:framePr w:hSpace="181" w:vSpace="181" w:wrap="around" w:vAnchor="text" w:hAnchor="margin" w:xAlign="center" w:y="285"/>
    </w:pPr>
  </w:style>
  <w:style w:type="paragraph" w:customStyle="1" w:styleId="132">
    <w:name w:val="其他发布日期"/>
    <w:basedOn w:val="76"/>
    <w:qFormat/>
    <w:uiPriority w:val="0"/>
    <w:pPr>
      <w:framePr w:vAnchor="page" w:hAnchor="text" w:x="1419"/>
    </w:pPr>
  </w:style>
  <w:style w:type="paragraph" w:customStyle="1" w:styleId="133">
    <w:name w:val="其他实施日期"/>
    <w:basedOn w:val="115"/>
    <w:qFormat/>
    <w:uiPriority w:val="0"/>
  </w:style>
  <w:style w:type="paragraph" w:customStyle="1" w:styleId="134">
    <w:name w:val="封面标准名称2"/>
    <w:basedOn w:val="79"/>
    <w:qFormat/>
    <w:uiPriority w:val="0"/>
    <w:pPr>
      <w:framePr w:y="4469"/>
      <w:spacing w:beforeLines="630"/>
    </w:pPr>
  </w:style>
  <w:style w:type="paragraph" w:customStyle="1" w:styleId="135">
    <w:name w:val="封面标准英文名称2"/>
    <w:basedOn w:val="80"/>
    <w:qFormat/>
    <w:uiPriority w:val="0"/>
    <w:pPr>
      <w:framePr w:y="4469"/>
    </w:pPr>
  </w:style>
  <w:style w:type="paragraph" w:customStyle="1" w:styleId="136">
    <w:name w:val="封面一致性程度标识2"/>
    <w:basedOn w:val="81"/>
    <w:qFormat/>
    <w:uiPriority w:val="0"/>
    <w:pPr>
      <w:framePr w:y="4469"/>
    </w:pPr>
  </w:style>
  <w:style w:type="paragraph" w:customStyle="1" w:styleId="137">
    <w:name w:val="封面标准文稿类别2"/>
    <w:basedOn w:val="82"/>
    <w:qFormat/>
    <w:uiPriority w:val="0"/>
    <w:pPr>
      <w:framePr w:y="4469"/>
    </w:pPr>
  </w:style>
  <w:style w:type="paragraph" w:customStyle="1" w:styleId="138">
    <w:name w:val="封面标准文稿编辑信息2"/>
    <w:basedOn w:val="83"/>
    <w:qFormat/>
    <w:uiPriority w:val="0"/>
    <w:pPr>
      <w:framePr w:y="4469"/>
    </w:pPr>
  </w:style>
  <w:style w:type="paragraph" w:customStyle="1" w:styleId="139">
    <w:name w:val="列出段落1"/>
    <w:basedOn w:val="1"/>
    <w:qFormat/>
    <w:uiPriority w:val="34"/>
    <w:pPr>
      <w:ind w:firstLine="420" w:firstLineChars="200"/>
    </w:pPr>
    <w:rPr>
      <w:rFonts w:ascii="Calibri" w:hAnsi="Calibri"/>
      <w:sz w:val="28"/>
      <w:szCs w:val="22"/>
    </w:rPr>
  </w:style>
  <w:style w:type="character" w:customStyle="1" w:styleId="140">
    <w:name w:val="标题 2 Char"/>
    <w:link w:val="3"/>
    <w:qFormat/>
    <w:uiPriority w:val="9"/>
    <w:rPr>
      <w:rFonts w:ascii="Cambria" w:hAnsi="Cambria" w:eastAsia="宋体" w:cs="Times New Roman"/>
      <w:b/>
      <w:bCs/>
      <w:kern w:val="2"/>
      <w:sz w:val="32"/>
      <w:szCs w:val="32"/>
    </w:rPr>
  </w:style>
  <w:style w:type="character" w:customStyle="1" w:styleId="141">
    <w:name w:val="标题 3 Char"/>
    <w:link w:val="4"/>
    <w:qFormat/>
    <w:uiPriority w:val="9"/>
    <w:rPr>
      <w:rFonts w:ascii="Calibri" w:hAnsi="Calibri" w:eastAsia="宋体" w:cs="Times New Roman"/>
      <w:b/>
      <w:bCs/>
      <w:kern w:val="2"/>
      <w:sz w:val="32"/>
      <w:szCs w:val="32"/>
    </w:rPr>
  </w:style>
  <w:style w:type="character" w:customStyle="1" w:styleId="142">
    <w:name w:val="批注框文本 Char"/>
    <w:link w:val="18"/>
    <w:qFormat/>
    <w:uiPriority w:val="0"/>
    <w:rPr>
      <w:kern w:val="2"/>
      <w:sz w:val="18"/>
      <w:szCs w:val="18"/>
    </w:rPr>
  </w:style>
  <w:style w:type="character" w:customStyle="1" w:styleId="143">
    <w:name w:val="标题 1 Char"/>
    <w:link w:val="2"/>
    <w:qFormat/>
    <w:uiPriority w:val="0"/>
    <w:rPr>
      <w:b/>
      <w:bCs/>
      <w:kern w:val="44"/>
      <w:sz w:val="44"/>
      <w:szCs w:val="44"/>
    </w:rPr>
  </w:style>
  <w:style w:type="paragraph" w:customStyle="1" w:styleId="144">
    <w:name w:val="TOC 标题1"/>
    <w:basedOn w:val="2"/>
    <w:next w:val="1"/>
    <w:unhideWhenUsed/>
    <w:qFormat/>
    <w:uiPriority w:val="39"/>
    <w:pPr>
      <w:widowControl/>
      <w:spacing w:before="240" w:after="0" w:line="259" w:lineRule="auto"/>
      <w:jc w:val="left"/>
      <w:outlineLvl w:val="9"/>
    </w:pPr>
    <w:rPr>
      <w:rFonts w:ascii="Calibri Light" w:hAnsi="Calibri Light"/>
      <w:b w:val="0"/>
      <w:bCs w:val="0"/>
      <w:color w:val="2E74B5"/>
      <w:kern w:val="0"/>
      <w:sz w:val="32"/>
      <w:szCs w:val="32"/>
    </w:rPr>
  </w:style>
  <w:style w:type="paragraph" w:customStyle="1" w:styleId="145">
    <w:name w:val="Revision"/>
    <w:hidden/>
    <w:semiHidden/>
    <w:qFormat/>
    <w:uiPriority w:val="99"/>
    <w:rPr>
      <w:rFonts w:ascii="Times New Roman" w:hAnsi="Times New Roman" w:eastAsia="宋体" w:cs="Times New Roman"/>
      <w:kern w:val="2"/>
      <w:sz w:val="21"/>
      <w:szCs w:val="24"/>
      <w:lang w:val="en-US" w:eastAsia="zh-CN" w:bidi="ar-SA"/>
    </w:rPr>
  </w:style>
  <w:style w:type="paragraph" w:customStyle="1" w:styleId="146">
    <w:name w:val="一级无标题条"/>
    <w:basedOn w:val="43"/>
    <w:qFormat/>
    <w:uiPriority w:val="0"/>
    <w:pPr>
      <w:spacing w:before="0" w:beforeLines="0" w:after="0" w:afterLines="0"/>
    </w:pPr>
    <w:rPr>
      <w:rFonts w:asciiTheme="majorEastAsia" w:hAnsiTheme="majorEastAsia" w:eastAsiaTheme="majorEastAsia"/>
    </w:rPr>
  </w:style>
  <w:style w:type="paragraph" w:customStyle="1" w:styleId="147">
    <w:name w:val="二级无标题条"/>
    <w:basedOn w:val="47"/>
    <w:qFormat/>
    <w:uiPriority w:val="0"/>
    <w:pPr>
      <w:spacing w:before="0" w:beforeLines="0" w:after="0" w:afterLines="0"/>
    </w:pPr>
    <w:rPr>
      <w:rFonts w:asciiTheme="minorEastAsia" w:hAnsiTheme="minorEastAsia" w:eastAsiaTheme="minorEastAsia"/>
    </w:rPr>
  </w:style>
  <w:style w:type="paragraph" w:customStyle="1" w:styleId="148">
    <w:name w:val="术语"/>
    <w:basedOn w:val="25"/>
    <w:next w:val="25"/>
    <w:qFormat/>
    <w:uiPriority w:val="0"/>
    <w:rPr>
      <w:rFonts w:ascii="黑体" w:hAnsi="黑体" w:eastAsia="黑体"/>
      <w:color w:val="000000" w:themeColor="text1"/>
      <w14:textFill>
        <w14:solidFill>
          <w14:schemeClr w14:val="tx1"/>
        </w14:solidFill>
      </w14:textFill>
    </w:rPr>
  </w:style>
  <w:style w:type="paragraph" w:customStyle="1" w:styleId="149">
    <w:name w:val="参考文献正文"/>
    <w:basedOn w:val="25"/>
    <w:qFormat/>
    <w:uiPriority w:val="0"/>
    <w:pPr>
      <w:numPr>
        <w:ilvl w:val="1"/>
        <w:numId w:val="19"/>
      </w:numPr>
      <w:tabs>
        <w:tab w:val="clear" w:pos="4201"/>
        <w:tab w:val="clear" w:pos="9298"/>
      </w:tabs>
      <w:ind w:left="0" w:firstLine="420"/>
      <w:jc w:val="left"/>
    </w:pPr>
  </w:style>
  <w:style w:type="paragraph" w:customStyle="1" w:styleId="150">
    <w:name w:val="Char Char Char Char Char Char Char"/>
    <w:basedOn w:val="1"/>
    <w:qFormat/>
    <w:uiPriority w:val="0"/>
    <w:pPr>
      <w:widowControl/>
      <w:spacing w:after="160" w:line="240" w:lineRule="exact"/>
      <w:jc w:val="left"/>
    </w:pPr>
    <w:rPr>
      <w:szCs w:val="22"/>
    </w:rPr>
  </w:style>
  <w:style w:type="paragraph" w:customStyle="1" w:styleId="151">
    <w:name w:val="Char Char Char Char Char Char Char1"/>
    <w:basedOn w:val="1"/>
    <w:qFormat/>
    <w:uiPriority w:val="0"/>
    <w:pPr>
      <w:widowControl/>
      <w:spacing w:after="160" w:line="240" w:lineRule="exact"/>
      <w:jc w:val="left"/>
    </w:pPr>
    <w:rPr>
      <w:szCs w:val="22"/>
    </w:rPr>
  </w:style>
  <w:style w:type="character" w:customStyle="1" w:styleId="152">
    <w:name w:val="称呼 Char"/>
    <w:basedOn w:val="36"/>
    <w:link w:val="11"/>
    <w:qFormat/>
    <w:uiPriority w:val="0"/>
    <w:rPr>
      <w:kern w:val="2"/>
      <w:sz w:val="21"/>
      <w:szCs w:val="24"/>
    </w:rPr>
  </w:style>
  <w:style w:type="paragraph" w:customStyle="1" w:styleId="153">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154">
    <w:name w:val="页脚 Char"/>
    <w:basedOn w:val="36"/>
    <w:link w:val="19"/>
    <w:qFormat/>
    <w:uiPriority w:val="99"/>
    <w:rPr>
      <w:kern w:val="2"/>
      <w:sz w:val="18"/>
      <w:szCs w:val="18"/>
    </w:rPr>
  </w:style>
  <w:style w:type="paragraph" w:customStyle="1" w:styleId="155">
    <w:name w:val="附录章无标题"/>
    <w:qFormat/>
    <w:uiPriority w:val="0"/>
    <w:rPr>
      <w:rFonts w:ascii="宋体" w:hAnsi="Times New Roman" w:eastAsia="宋体" w:cs="Times New Roman"/>
      <w:sz w:val="21"/>
      <w:lang w:val="en-US" w:eastAsia="zh-CN" w:bidi="ar-SA"/>
    </w:rPr>
  </w:style>
</w:styles>
</file>

<file path=word/_rels/document.xml.rels><?xml version="1.0" encoding="UTF-8" standalone="no"?><Relationships xmlns="http://schemas.openxmlformats.org/package/2006/relationships"><Relationship Id="rId1" Target="styles.xml" Type="http://schemas.openxmlformats.org/officeDocument/2006/relationships/styles"/><Relationship Id="rId10" Target="media/image4.png" Type="http://schemas.openxmlformats.org/officeDocument/2006/relationships/image"/><Relationship Id="rId11" Target="media/image5.png" Type="http://schemas.openxmlformats.org/officeDocument/2006/relationships/image"/><Relationship Id="rId12" Target="media/image6.png" Type="http://schemas.openxmlformats.org/officeDocument/2006/relationships/image"/><Relationship Id="rId13" Target="media/image7.png" Type="http://schemas.openxmlformats.org/officeDocument/2006/relationships/image"/><Relationship Id="rId14" Target="media/image8.png" Type="http://schemas.openxmlformats.org/officeDocument/2006/relationships/image"/><Relationship Id="rId15" Target="media/image9.png" Type="http://schemas.openxmlformats.org/officeDocument/2006/relationships/image"/><Relationship Id="rId16" Target="media/image10.png" Type="http://schemas.openxmlformats.org/officeDocument/2006/relationships/image"/><Relationship Id="rId17" Target="media/image11.png" Type="http://schemas.openxmlformats.org/officeDocument/2006/relationships/image"/><Relationship Id="rId18" Target="media/image12.png" Type="http://schemas.openxmlformats.org/officeDocument/2006/relationships/image"/><Relationship Id="rId19" Target="media/image13.png" Type="http://schemas.openxmlformats.org/officeDocument/2006/relationships/image"/><Relationship Id="rId2" Target="settings.xml" Type="http://schemas.openxmlformats.org/officeDocument/2006/relationships/settings"/><Relationship Id="rId20" Target="media/image14.png" Type="http://schemas.openxmlformats.org/officeDocument/2006/relationships/image"/><Relationship Id="rId21" Target="media/image15.png" Type="http://schemas.openxmlformats.org/officeDocument/2006/relationships/image"/><Relationship Id="rId22" Target="media/image16.png" Type="http://schemas.openxmlformats.org/officeDocument/2006/relationships/image"/><Relationship Id="rId23" Target="media/image17.png" Type="http://schemas.openxmlformats.org/officeDocument/2006/relationships/image"/><Relationship Id="rId24" Target="media/image18.png" Type="http://schemas.openxmlformats.org/officeDocument/2006/relationships/image"/><Relationship Id="rId25" Target="../customXml/item1.xml" Type="http://schemas.openxmlformats.org/officeDocument/2006/relationships/customXml"/><Relationship Id="rId26" Target="numbering.xml" Type="http://schemas.openxmlformats.org/officeDocument/2006/relationships/numbering"/><Relationship Id="rId27" Target="fontTable.xml" Type="http://schemas.openxmlformats.org/officeDocument/2006/relationships/fontTable"/><Relationship Id="rId3" Target="footer1.xml" Type="http://schemas.openxmlformats.org/officeDocument/2006/relationships/footer"/><Relationship Id="rId4" Target="header1.xml" Type="http://schemas.openxmlformats.org/officeDocument/2006/relationships/header"/><Relationship Id="rId5" Target="footer2.xml" Type="http://schemas.openxmlformats.org/officeDocument/2006/relationships/footer"/><Relationship Id="rId6" Target="theme/theme1.xml" Type="http://schemas.openxmlformats.org/officeDocument/2006/relationships/theme"/><Relationship Id="rId7" Target="media/image1.png" Type="http://schemas.openxmlformats.org/officeDocument/2006/relationships/image"/><Relationship Id="rId8" Target="media/image2.png" Type="http://schemas.openxmlformats.org/officeDocument/2006/relationships/image"/><Relationship Id="rId9" Target="media/image3.png" Type="http://schemas.openxmlformats.org/officeDocument/2006/relationships/image"/></Relationships>
</file>

<file path=word/_rels/settings.xml.rels><?xml version="1.0" encoding="UTF-8" standalone="no"?><Relationships xmlns="http://schemas.openxmlformats.org/package/2006/relationships"><Relationship Id="rId1" Target="/home/kylin/E:/01%20&#24037;&#20316;/2022/&#37026;&#21488;&#24066;&#26426;&#20851;&#20107;&#21153;&#31649;&#29702;&#23616;/&#26381;&#21153;&#25104;&#26524;/&#37026;&#21488;&#24066;&#26426;&#20851;&#21518;&#21220;&#26381;&#21153;&#26631;&#20934;&#27169;&#26495;1008.dotx" TargetMode="External" Type="http://schemas.openxmlformats.org/officeDocument/2006/relationships/attachedTemplate"/></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邢台市机关后勤服务标准模板1008</Template>
  <Company>zle</Company>
  <Pages>24</Pages>
  <Words>695</Words>
  <Characters>3965</Characters>
  <Lines>33</Lines>
  <Paragraphs>9</Paragraphs>
  <TotalTime>58</TotalTime>
  <ScaleCrop>false</ScaleCrop>
  <LinksUpToDate>false</LinksUpToDate>
  <CharactersWithSpaces>4651</CharactersWithSpaces>
  <Application>WPS Office_11.8.2.9958_F1E327BC-269C-435d-A152-05C5408002CA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2022-11-06T19:55:00Z</dcterms:created>
  <dc:creator>董世涛</dc:creator>
  <cp:lastModifiedBy>kylin</cp:lastModifiedBy>
  <cp:lastPrinted>2020-10-13T23:25:00Z</cp:lastPrinted>
  <dcterms:modified xsi:type="dcterms:W3CDTF">2023-03-18T17:59:35Z</dcterms:modified>
  <cp:revision>4</cp:revision>
  <dc:title>标准名称</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2052-11.8.2.9958</vt:lpwstr>
  </property>
</Properties>
</file>