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：ZC</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ZC.</w:t>
      </w:r>
      <w:r>
        <w:rPr>
          <w:rFonts w:hint="eastAsia" w:hAnsi="黑体"/>
          <w:lang w:val="en-US" w:eastAsia="zh-CN"/>
        </w:rPr>
        <w:t>220.</w:t>
      </w:r>
      <w:r>
        <w:rPr>
          <w:rFonts w:hAnsi="黑体"/>
        </w:rPr>
        <w:t>00</w:t>
      </w:r>
      <w:r>
        <w:rPr>
          <w:rFonts w:hint="eastAsia" w:hAnsi="黑体"/>
          <w:lang w:val="en-US" w:eastAsia="zh-CN"/>
        </w:rPr>
        <w:t>4</w:t>
      </w:r>
      <w:r>
        <w:rPr>
          <w:rFonts w:hAnsi="黑体"/>
        </w:rPr>
        <w:t>—2022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国有资产处置管理规范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104"/>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9058969"/>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财务资产科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财务资产科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张根国、、董艳云、张艳</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 xml:space="preserve"> 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 xml:space="preserve"> 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张长青</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bookmarkStart w:id="18" w:name="_GoBack"/>
      <w:bookmarkEnd w:id="18"/>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sectPr>
          <w:headerReference r:id="rId4" w:type="default"/>
          <w:footerReference r:id="rId5" w:type="default"/>
          <w:pgSz w:w="11906" w:h="16838"/>
          <w:pgMar w:top="567" w:right="1134" w:bottom="1134" w:left="1418" w:header="1418" w:footer="1134" w:gutter="0"/>
          <w:pgNumType w:fmt="decimal" w:start="105"/>
          <w:cols w:space="425" w:num="1"/>
          <w:formProt w:val="0"/>
          <w:docGrid w:type="lines" w:linePitch="312" w:charSpace="0"/>
        </w:sectPr>
      </w:pPr>
    </w:p>
    <w:p>
      <w:pPr>
        <w:pStyle w:val="51"/>
      </w:pPr>
      <w:r>
        <w:rPr>
          <w:rFonts w:hint="eastAsia"/>
        </w:rPr>
        <w:t>国有资产处置管理规范</w:t>
      </w:r>
    </w:p>
    <w:p>
      <w:pPr>
        <w:pStyle w:val="46"/>
      </w:pPr>
      <w:bookmarkStart w:id="6" w:name="_Toc119058970"/>
      <w:r>
        <w:rPr>
          <w:rFonts w:hint="eastAsia"/>
        </w:rPr>
        <w:t>范围</w:t>
      </w:r>
      <w:bookmarkEnd w:id="6"/>
    </w:p>
    <w:p>
      <w:pPr>
        <w:pStyle w:val="25"/>
        <w:rPr>
          <w:rFonts w:hint="eastAsia"/>
        </w:rPr>
      </w:pPr>
      <w:r>
        <w:rPr>
          <w:rFonts w:hint="eastAsia"/>
        </w:rPr>
        <w:t>本文件规定了行政单位处置国有资产应遵循的原则和工作规范。</w:t>
      </w:r>
    </w:p>
    <w:p>
      <w:pPr>
        <w:pStyle w:val="25"/>
      </w:pPr>
      <w:r>
        <w:rPr>
          <w:rFonts w:hint="eastAsia"/>
        </w:rPr>
        <w:t>本文件适用于国有资产处置管理。</w:t>
      </w:r>
    </w:p>
    <w:p>
      <w:pPr>
        <w:pStyle w:val="46"/>
      </w:pPr>
      <w:bookmarkStart w:id="7" w:name="_Toc119058971"/>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《行政单位国有资产管理暂行办法》（财政部令第35号）</w:t>
      </w:r>
    </w:p>
    <w:p>
      <w:pPr>
        <w:pStyle w:val="25"/>
        <w:rPr>
          <w:rFonts w:hint="eastAsia"/>
        </w:rPr>
      </w:pPr>
      <w:r>
        <w:rPr>
          <w:rFonts w:hint="eastAsia"/>
        </w:rPr>
        <w:t>《行政单位财务规则》（财政部令第71号）</w:t>
      </w:r>
    </w:p>
    <w:p>
      <w:pPr>
        <w:pStyle w:val="25"/>
        <w:rPr>
          <w:rFonts w:hint="eastAsia"/>
        </w:rPr>
      </w:pPr>
      <w:r>
        <w:rPr>
          <w:rFonts w:hint="eastAsia"/>
        </w:rPr>
        <w:t>《事业单位财务规则》（财政部令第68号）</w:t>
      </w:r>
    </w:p>
    <w:p>
      <w:pPr>
        <w:pStyle w:val="25"/>
        <w:rPr>
          <w:rFonts w:hint="eastAsia"/>
        </w:rPr>
      </w:pPr>
      <w:r>
        <w:rPr>
          <w:rFonts w:hint="eastAsia"/>
        </w:rPr>
        <w:t>《政府会计准则》（财政部令第78号）等有关规定件</w:t>
      </w:r>
    </w:p>
    <w:p>
      <w:pPr>
        <w:pStyle w:val="25"/>
      </w:pPr>
      <w:r>
        <w:rPr>
          <w:rFonts w:hint="eastAsia"/>
        </w:rPr>
        <w:t>河北省财政厅关于印发《河北省行政事业单位国有资产管理办法》的通知（冀财资〔2019〕120号）</w:t>
      </w:r>
    </w:p>
    <w:p>
      <w:pPr>
        <w:pStyle w:val="46"/>
      </w:pPr>
      <w:bookmarkStart w:id="8" w:name="_Toc119058972"/>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国有资产处置</w:t>
      </w:r>
    </w:p>
    <w:p>
      <w:pPr>
        <w:pStyle w:val="25"/>
        <w:rPr>
          <w:rFonts w:ascii="Tahoma" w:hAnsi="Tahoma" w:cs="Tahoma"/>
          <w:color w:val="000000"/>
          <w:szCs w:val="21"/>
          <w:shd w:val="clear" w:color="auto" w:fill="FFFFFF"/>
        </w:rPr>
      </w:pPr>
      <w:r>
        <w:rPr>
          <w:rFonts w:hint="eastAsia" w:ascii="Tahoma" w:hAnsi="Tahoma" w:cs="Tahoma"/>
          <w:color w:val="000000"/>
          <w:szCs w:val="21"/>
          <w:shd w:val="clear" w:color="auto" w:fill="FFFFFF"/>
        </w:rPr>
        <w:t>对占有使用的国有资产进行产权转移或核销的行为。</w:t>
      </w:r>
    </w:p>
    <w:p>
      <w:pPr>
        <w:pStyle w:val="25"/>
        <w:ind w:firstLine="360"/>
        <w:rPr>
          <w:rFonts w:ascii="Tahoma" w:hAnsi="Tahoma" w:cs="Tahoma"/>
          <w:color w:val="000000"/>
          <w:szCs w:val="21"/>
          <w:shd w:val="clear" w:color="auto" w:fill="FFFFFF"/>
        </w:rPr>
      </w:pPr>
      <w:r>
        <w:rPr>
          <w:rFonts w:ascii="黑体" w:hAnsi="黑体" w:eastAsia="黑体" w:cs="Tahoma"/>
          <w:color w:val="000000"/>
          <w:sz w:val="18"/>
          <w:szCs w:val="18"/>
          <w:shd w:val="clear" w:color="auto" w:fill="FFFFFF"/>
        </w:rPr>
        <w:t>注：</w:t>
      </w:r>
      <w:r>
        <w:rPr>
          <w:rFonts w:hint="eastAsia" w:ascii="Tahoma" w:hAnsi="Tahoma" w:cs="Tahoma"/>
          <w:color w:val="000000"/>
          <w:sz w:val="18"/>
          <w:szCs w:val="18"/>
          <w:shd w:val="clear" w:color="auto" w:fill="FFFFFF"/>
        </w:rPr>
        <w:t>主要包括：无偿调拨（划转）、出售、出让、置换、报废、报损等。</w:t>
      </w:r>
    </w:p>
    <w:p>
      <w:pPr>
        <w:pStyle w:val="146"/>
        <w:rPr>
          <w:shd w:val="clear" w:color="auto" w:fill="FFFFFF"/>
        </w:rPr>
      </w:pPr>
    </w:p>
    <w:p>
      <w:pPr>
        <w:pStyle w:val="25"/>
        <w:rPr>
          <w:rFonts w:ascii="黑体" w:hAnsi="黑体" w:eastAsia="黑体"/>
        </w:rPr>
      </w:pPr>
      <w:r>
        <w:rPr>
          <w:rFonts w:hint="eastAsia" w:ascii="黑体" w:hAnsi="黑体" w:eastAsia="黑体"/>
        </w:rPr>
        <w:t>无偿调拨（划转）</w:t>
      </w:r>
    </w:p>
    <w:p>
      <w:pPr>
        <w:pStyle w:val="25"/>
      </w:pPr>
      <w:r>
        <w:rPr>
          <w:rFonts w:hint="eastAsia"/>
        </w:rPr>
        <w:t>在不变更国有资产性质的前提下，以无偿的方式变更国有资产占有、使用权的行为。</w:t>
      </w:r>
    </w:p>
    <w:p>
      <w:pPr>
        <w:pStyle w:val="146"/>
      </w:pPr>
    </w:p>
    <w:p>
      <w:pPr>
        <w:pStyle w:val="25"/>
        <w:rPr>
          <w:rFonts w:ascii="黑体" w:hAnsi="黑体" w:eastAsia="黑体"/>
        </w:rPr>
      </w:pPr>
      <w:r>
        <w:rPr>
          <w:rFonts w:hint="eastAsia" w:ascii="黑体" w:hAnsi="黑体" w:eastAsia="黑体"/>
        </w:rPr>
        <w:t>出售、出让、转让</w:t>
      </w:r>
    </w:p>
    <w:p>
      <w:pPr>
        <w:pStyle w:val="25"/>
        <w:rPr>
          <w:rFonts w:hAnsi="宋体"/>
        </w:rPr>
      </w:pPr>
      <w:r>
        <w:rPr>
          <w:rFonts w:hint="eastAsia" w:hAnsi="宋体"/>
        </w:rPr>
        <w:t>变更行政单位国有资产所有权或占有权、使用权并取得相应收益的行为。</w:t>
      </w:r>
    </w:p>
    <w:p>
      <w:pPr>
        <w:pStyle w:val="146"/>
      </w:pPr>
    </w:p>
    <w:p>
      <w:pPr>
        <w:pStyle w:val="25"/>
        <w:rPr>
          <w:rFonts w:ascii="黑体" w:hAnsi="黑体" w:eastAsia="黑体"/>
        </w:rPr>
      </w:pPr>
      <w:r>
        <w:rPr>
          <w:rFonts w:hint="eastAsia" w:ascii="黑体" w:hAnsi="黑体" w:eastAsia="黑体"/>
        </w:rPr>
        <w:t>置换</w:t>
      </w:r>
    </w:p>
    <w:p>
      <w:pPr>
        <w:pStyle w:val="25"/>
      </w:pPr>
      <w:r>
        <w:rPr>
          <w:rFonts w:hint="eastAsia"/>
        </w:rPr>
        <w:t>行政单位与其他单位之间实施的以非货币性资产为主的交换行为。这种交换不涉及或只涉及少量的货币性资产（即补价）。</w:t>
      </w:r>
    </w:p>
    <w:p>
      <w:pPr>
        <w:pStyle w:val="146"/>
      </w:pPr>
    </w:p>
    <w:p>
      <w:pPr>
        <w:pStyle w:val="25"/>
        <w:rPr>
          <w:rFonts w:ascii="黑体" w:hAnsi="黑体" w:eastAsia="黑体"/>
        </w:rPr>
      </w:pPr>
      <w:r>
        <w:rPr>
          <w:rFonts w:hint="eastAsia" w:ascii="黑体" w:hAnsi="黑体" w:eastAsia="黑体"/>
        </w:rPr>
        <w:t>报废</w:t>
      </w:r>
    </w:p>
    <w:p>
      <w:pPr>
        <w:pStyle w:val="25"/>
      </w:pPr>
      <w:r>
        <w:rPr>
          <w:rFonts w:hint="eastAsia"/>
        </w:rPr>
        <w:t>按有关规定或经有关部门、专家鉴定，对已不能继续使用的资产，进行产权注销的资产处置行为。</w:t>
      </w:r>
    </w:p>
    <w:p>
      <w:pPr>
        <w:pStyle w:val="146"/>
      </w:pPr>
    </w:p>
    <w:p>
      <w:pPr>
        <w:pStyle w:val="25"/>
        <w:rPr>
          <w:rFonts w:ascii="黑体" w:hAnsi="黑体" w:eastAsia="黑体"/>
        </w:rPr>
      </w:pPr>
      <w:r>
        <w:rPr>
          <w:rFonts w:hint="eastAsia" w:ascii="黑体" w:hAnsi="黑体" w:eastAsia="黑体"/>
        </w:rPr>
        <w:t>资产损失</w:t>
      </w:r>
    </w:p>
    <w:p>
      <w:pPr>
        <w:pStyle w:val="25"/>
        <w:rPr>
          <w:rFonts w:hAnsi="宋体"/>
        </w:rPr>
      </w:pPr>
      <w:r>
        <w:rPr>
          <w:rFonts w:hint="eastAsia" w:hAnsi="宋体"/>
        </w:rPr>
        <w:t>有账面记载，但实际发生的短少、毁损、被盗或者丧失使用价值的，能以货币计量的经济资源，包括货币资金损失、坏账损失、存货损失、对外投资损失、固定资产损失、无形资产损失等。</w:t>
      </w:r>
    </w:p>
    <w:p>
      <w:pPr>
        <w:pStyle w:val="146"/>
      </w:pPr>
    </w:p>
    <w:p>
      <w:pPr>
        <w:pStyle w:val="25"/>
        <w:rPr>
          <w:rFonts w:ascii="黑体" w:hAnsi="黑体" w:eastAsia="黑体"/>
        </w:rPr>
      </w:pPr>
      <w:r>
        <w:rPr>
          <w:rFonts w:hint="eastAsia" w:ascii="黑体" w:hAnsi="黑体" w:eastAsia="黑体"/>
        </w:rPr>
        <w:t>报损</w:t>
      </w:r>
    </w:p>
    <w:p>
      <w:pPr>
        <w:pStyle w:val="25"/>
      </w:pPr>
      <w:r>
        <w:rPr>
          <w:rFonts w:hint="eastAsia"/>
        </w:rPr>
        <w:t>对已发生盘亏、毁损、货币性资产损失及其他非正常损失的资产，按有关规定核销产权的行为。</w:t>
      </w:r>
    </w:p>
    <w:p>
      <w:pPr>
        <w:pStyle w:val="146"/>
      </w:pPr>
    </w:p>
    <w:p>
      <w:pPr>
        <w:pStyle w:val="25"/>
        <w:rPr>
          <w:rFonts w:ascii="黑体" w:hAnsi="黑体" w:eastAsia="黑体"/>
        </w:rPr>
      </w:pPr>
      <w:r>
        <w:rPr>
          <w:rFonts w:hint="eastAsia" w:ascii="黑体" w:hAnsi="黑体" w:eastAsia="黑体"/>
        </w:rPr>
        <w:t>处置收入</w:t>
      </w:r>
    </w:p>
    <w:p>
      <w:pPr>
        <w:pStyle w:val="25"/>
      </w:pPr>
      <w:r>
        <w:rPr>
          <w:rFonts w:hint="eastAsia"/>
        </w:rPr>
        <w:t>在有偿转让、置换、报废报损等处置国有资产过程中发生产权转移或核销所产生的收入，包括国有资产有偿转让收入、置换差价收入、报废报损残值变价收入、征收补偿收入、保险理赔收入以及处置资产取得的其他收入。</w:t>
      </w:r>
    </w:p>
    <w:p>
      <w:pPr>
        <w:pStyle w:val="46"/>
      </w:pPr>
      <w:bookmarkStart w:id="9" w:name="_Toc119058973"/>
      <w:r>
        <w:rPr>
          <w:rFonts w:hint="eastAsia"/>
        </w:rPr>
        <w:t>国有资产处置管理</w:t>
      </w:r>
      <w:bookmarkEnd w:id="9"/>
    </w:p>
    <w:p>
      <w:pPr>
        <w:pStyle w:val="146"/>
      </w:pPr>
      <w:r>
        <w:rPr>
          <w:rFonts w:hint="eastAsia"/>
        </w:rPr>
        <w:t>国有资产处置的范围包括：</w:t>
      </w:r>
    </w:p>
    <w:p>
      <w:pPr>
        <w:pStyle w:val="49"/>
      </w:pPr>
      <w:r>
        <w:rPr>
          <w:rFonts w:hint="eastAsia"/>
        </w:rPr>
        <w:t>闲置或超标准配置的资产；</w:t>
      </w:r>
    </w:p>
    <w:p>
      <w:pPr>
        <w:pStyle w:val="49"/>
      </w:pPr>
      <w:r>
        <w:rPr>
          <w:rFonts w:hint="eastAsia"/>
        </w:rPr>
        <w:t>经批准需置换或交易的资产；</w:t>
      </w:r>
    </w:p>
    <w:p>
      <w:pPr>
        <w:pStyle w:val="49"/>
      </w:pPr>
      <w:r>
        <w:rPr>
          <w:rFonts w:hint="eastAsia"/>
        </w:rPr>
        <w:t>因机构变动（分立、撤销、合并、改制、隶属关系改变）发生产权转移、变更的资产；</w:t>
      </w:r>
    </w:p>
    <w:p>
      <w:pPr>
        <w:pStyle w:val="49"/>
      </w:pPr>
      <w:r>
        <w:rPr>
          <w:rFonts w:hint="eastAsia"/>
        </w:rPr>
        <w:t>超过使用期限无法继续使用的资产或因技术原因并经科学论证不能安全有效使用的资产；</w:t>
      </w:r>
    </w:p>
    <w:p>
      <w:pPr>
        <w:pStyle w:val="49"/>
      </w:pPr>
      <w:r>
        <w:rPr>
          <w:rFonts w:hint="eastAsia"/>
        </w:rPr>
        <w:t>盘亏、损毁、呆账及其他非正常损失的资产；</w:t>
      </w:r>
    </w:p>
    <w:p>
      <w:pPr>
        <w:pStyle w:val="49"/>
      </w:pPr>
      <w:r>
        <w:rPr>
          <w:rFonts w:hint="eastAsia"/>
        </w:rPr>
        <w:t>依照国家有关规定需要处置的其他资产。</w:t>
      </w:r>
    </w:p>
    <w:p>
      <w:pPr>
        <w:pStyle w:val="146"/>
      </w:pPr>
      <w:r>
        <w:rPr>
          <w:rFonts w:hint="eastAsia"/>
        </w:rPr>
        <w:t>国有资产处置应遵循符合法律、法规和规章规定；厉行勤俭节约；公开、公平、公正；与资产配置、使用相结合的原则。</w:t>
      </w:r>
    </w:p>
    <w:p>
      <w:pPr>
        <w:pStyle w:val="146"/>
      </w:pPr>
      <w:r>
        <w:rPr>
          <w:rFonts w:hint="eastAsia"/>
        </w:rPr>
        <w:t>应建立健全资产处置内部管理制度，明确岗位职责，完善处置流程，规范处置行为，处置国有资产应当严格履行审批手续，未经批准不得擅自处置。</w:t>
      </w:r>
    </w:p>
    <w:p>
      <w:pPr>
        <w:pStyle w:val="146"/>
      </w:pPr>
      <w:r>
        <w:rPr>
          <w:rFonts w:hint="eastAsia"/>
        </w:rPr>
        <w:t>申请处置国有资产，应当按以下程序办理：</w:t>
      </w:r>
    </w:p>
    <w:p>
      <w:pPr>
        <w:pStyle w:val="60"/>
      </w:pPr>
      <w:r>
        <w:rPr>
          <w:rFonts w:hint="eastAsia"/>
        </w:rPr>
        <w:t>单位申报：提出国有资产处置申请，填写《省级行政单位国有资产处置申请表》，同时附相关材料，提交主管部门审核。中心对材料的真实性、有效性和完整性负责；</w:t>
      </w:r>
    </w:p>
    <w:p>
      <w:pPr>
        <w:pStyle w:val="60"/>
      </w:pPr>
      <w:r>
        <w:rPr>
          <w:rFonts w:hint="eastAsia"/>
        </w:rPr>
        <w:t>主管部门审核：主管部门对省级行政单位申报的资产处置事项和相关材料的合规性、真实性进行审核后，报省机关事务管理局审批；</w:t>
      </w:r>
    </w:p>
    <w:p>
      <w:pPr>
        <w:pStyle w:val="60"/>
      </w:pPr>
      <w:r>
        <w:rPr>
          <w:rFonts w:hint="eastAsia"/>
          <w:color w:val="FF0000"/>
        </w:rPr>
        <w:t>市机关</w:t>
      </w:r>
      <w:r>
        <w:rPr>
          <w:rFonts w:hint="eastAsia"/>
          <w:color w:val="FF0000"/>
          <w:lang w:val="en-US" w:eastAsia="zh-CN"/>
        </w:rPr>
        <w:t>后勤服务中心</w:t>
      </w:r>
      <w:r>
        <w:rPr>
          <w:rFonts w:hint="eastAsia"/>
        </w:rPr>
        <w:t>审批：</w:t>
      </w:r>
      <w:r>
        <w:rPr>
          <w:rFonts w:hint="eastAsia"/>
          <w:color w:val="FF0000"/>
        </w:rPr>
        <w:t>市机关</w:t>
      </w:r>
      <w:r>
        <w:rPr>
          <w:rFonts w:hint="eastAsia"/>
          <w:color w:val="FF0000"/>
          <w:lang w:val="en-US" w:eastAsia="zh-CN"/>
        </w:rPr>
        <w:t>后勤服务中心</w:t>
      </w:r>
      <w:r>
        <w:rPr>
          <w:rFonts w:hint="eastAsia"/>
        </w:rPr>
        <w:t>对主管部门报送的国有资产处置事项进行审批。价值或数量较大的（账面原值1000万元以上）国有资产处置事项，市机关事务管理局根据申报材料审核情况可委托有资质的中介机构进行实地核查。重要设施或资产的处置，经市机关事务管理局审核后，报市政府审批；</w:t>
      </w:r>
    </w:p>
    <w:p>
      <w:pPr>
        <w:pStyle w:val="60"/>
      </w:pPr>
      <w:r>
        <w:rPr>
          <w:rFonts w:hint="eastAsia"/>
        </w:rPr>
        <w:t>公开处置：对已经批准处置的国有资产应当采取公开拍卖以及法律、法规规定的方式予以处置。公开处置国有资产应当以资产评估价值作为基础依据，交易价格一般不低于评估价值的90%。在交易过程中，当交易价格低于评估结果90%的，应当按照规定权限报</w:t>
      </w:r>
      <w:r>
        <w:rPr>
          <w:rFonts w:hint="eastAsia"/>
          <w:color w:val="FF0000"/>
        </w:rPr>
        <w:t>市机关</w:t>
      </w:r>
      <w:r>
        <w:rPr>
          <w:rFonts w:hint="eastAsia"/>
          <w:color w:val="FF0000"/>
          <w:lang w:val="en-US" w:eastAsia="zh-CN"/>
        </w:rPr>
        <w:t>后勤服务中心</w:t>
      </w:r>
      <w:r>
        <w:rPr>
          <w:rFonts w:hint="eastAsia"/>
        </w:rPr>
        <w:t>或主管部门确认后交易。</w:t>
      </w:r>
    </w:p>
    <w:p>
      <w:pPr>
        <w:pStyle w:val="146"/>
      </w:pPr>
      <w:r>
        <w:rPr>
          <w:rFonts w:hint="eastAsia"/>
        </w:rPr>
        <w:t>办公用房、公务用车的处置应按《河北省党政机关办公用房管理实施办法》《河北省党政机关公务用车管理实施办法》（冀办发〔2018〕42号）执行。</w:t>
      </w:r>
    </w:p>
    <w:p>
      <w:pPr>
        <w:pStyle w:val="146"/>
      </w:pPr>
      <w:r>
        <w:rPr>
          <w:rFonts w:hint="eastAsia"/>
        </w:rPr>
        <w:t>国有资产处置收入，在扣除相关税费、评估费、拍卖佣金等费用后，应当按照政府非税收入管理有关规定，在取得收入的10个工作日内，全额上缴省财政国库，纳入一般公共预算管理。</w:t>
      </w:r>
    </w:p>
    <w:p>
      <w:pPr>
        <w:pStyle w:val="146"/>
      </w:pPr>
      <w:r>
        <w:rPr>
          <w:rFonts w:hint="eastAsia"/>
        </w:rPr>
        <w:t>应根据资产处置批准文件等相关资料，按规定程序及时调整资产、财务账目，做到账账相符、账实相符。</w:t>
      </w:r>
    </w:p>
    <w:p>
      <w:pPr>
        <w:pStyle w:val="46"/>
      </w:pPr>
      <w:bookmarkStart w:id="10" w:name="_Toc119058974"/>
      <w:r>
        <w:rPr>
          <w:rFonts w:hint="eastAsia"/>
        </w:rPr>
        <w:t>无偿调拨（划转）</w:t>
      </w:r>
      <w:bookmarkEnd w:id="10"/>
    </w:p>
    <w:p>
      <w:pPr>
        <w:pStyle w:val="146"/>
      </w:pPr>
      <w:r>
        <w:rPr>
          <w:rFonts w:hint="eastAsia"/>
        </w:rPr>
        <w:t>无偿调拨（划转）应当按以下程序办理：</w:t>
      </w:r>
    </w:p>
    <w:p>
      <w:pPr>
        <w:pStyle w:val="60"/>
        <w:numPr>
          <w:ilvl w:val="0"/>
          <w:numId w:val="20"/>
        </w:numPr>
      </w:pPr>
      <w:r>
        <w:rPr>
          <w:rFonts w:hint="eastAsia"/>
        </w:rPr>
        <w:t>同一主管部门行政单位与其他行政事业单位之间国有资产无偿调拨（划转），由主管部门审批后报</w:t>
      </w:r>
      <w:r>
        <w:rPr>
          <w:rFonts w:hint="eastAsia"/>
          <w:color w:val="FF0000"/>
        </w:rPr>
        <w:t>市</w:t>
      </w:r>
      <w:r>
        <w:rPr>
          <w:rFonts w:hint="eastAsia"/>
          <w:color w:val="FF0000"/>
          <w:lang w:val="en-US" w:eastAsia="zh-CN"/>
        </w:rPr>
        <w:t>机关后勤服务中心</w:t>
      </w:r>
      <w:r>
        <w:rPr>
          <w:rFonts w:hint="eastAsia"/>
        </w:rPr>
        <w:t>批准；</w:t>
      </w:r>
    </w:p>
    <w:p>
      <w:pPr>
        <w:pStyle w:val="60"/>
      </w:pPr>
      <w:r>
        <w:rPr>
          <w:rFonts w:hint="eastAsia"/>
        </w:rPr>
        <w:t>跨部门国有资产的无偿调拨（划转）：划出方和接收方协调一致（附意向性协议），分别报主管部门审核同意后，由划出方主管部门报</w:t>
      </w:r>
      <w:r>
        <w:rPr>
          <w:rFonts w:hint="eastAsia"/>
          <w:color w:val="FF0000"/>
        </w:rPr>
        <w:t>市机关</w:t>
      </w:r>
      <w:r>
        <w:rPr>
          <w:rFonts w:hint="eastAsia"/>
          <w:color w:val="FF0000"/>
          <w:lang w:val="en-US" w:eastAsia="zh-CN"/>
        </w:rPr>
        <w:t>后勤服务中心</w:t>
      </w:r>
      <w:r>
        <w:rPr>
          <w:rFonts w:hint="eastAsia"/>
        </w:rPr>
        <w:t>审批，并附接收方主管部门同意接收的有关文件；</w:t>
      </w:r>
    </w:p>
    <w:p>
      <w:pPr>
        <w:pStyle w:val="60"/>
      </w:pPr>
      <w:r>
        <w:rPr>
          <w:rFonts w:hint="eastAsia"/>
        </w:rPr>
        <w:t>跨级次国有资产的无偿调拨（划转）须在无下级财政配套资金要求的前提下进行：省级行政单位国有资产无偿调拨（划转）给市、县（市、区）的，应附市、县（市、区）机关事务部门或财政部门同意接收的相关文件，由省机关事务管理局审批；市、县（市、区）单位国有资产无偿调拨（划转）给省级行政单位的，经市、县（市、区）单位同级机关事务部门或财政部门审批后，办理国有资产无偿调拨（划转）手续。省级行政单位主管部门应将接收资产的有关情况在15个工作日内报省机关事务管理局备案。</w:t>
      </w:r>
    </w:p>
    <w:p>
      <w:pPr>
        <w:pStyle w:val="146"/>
      </w:pPr>
      <w:r>
        <w:rPr>
          <w:rFonts w:hint="eastAsia"/>
        </w:rPr>
        <w:t>无偿转让（无偿调拨）的资产包括：</w:t>
      </w:r>
    </w:p>
    <w:p>
      <w:pPr>
        <w:pStyle w:val="49"/>
      </w:pPr>
      <w:r>
        <w:rPr>
          <w:rFonts w:hint="eastAsia"/>
        </w:rPr>
        <w:t>长期闲置不用、低效运转、超标准配置的资产；</w:t>
      </w:r>
    </w:p>
    <w:p>
      <w:pPr>
        <w:pStyle w:val="49"/>
      </w:pPr>
      <w:r>
        <w:rPr>
          <w:rFonts w:hint="eastAsia"/>
        </w:rPr>
        <w:t>因单位撤销、合并、分立而移交的资产；</w:t>
      </w:r>
    </w:p>
    <w:p>
      <w:pPr>
        <w:pStyle w:val="49"/>
      </w:pPr>
      <w:r>
        <w:rPr>
          <w:rFonts w:hint="eastAsia"/>
        </w:rPr>
        <w:t>隶属关系改变，上划、下划资产；</w:t>
      </w:r>
    </w:p>
    <w:p>
      <w:pPr>
        <w:pStyle w:val="49"/>
      </w:pPr>
      <w:r>
        <w:rPr>
          <w:rFonts w:hint="eastAsia"/>
        </w:rPr>
        <w:t>其他需调拨（划转）的资产。</w:t>
      </w:r>
    </w:p>
    <w:p>
      <w:pPr>
        <w:pStyle w:val="146"/>
      </w:pPr>
      <w:r>
        <w:rPr>
          <w:rFonts w:hint="eastAsia"/>
        </w:rPr>
        <w:t>申请国有资产无偿调拨（划转），应提交以下资料：</w:t>
      </w:r>
    </w:p>
    <w:p>
      <w:pPr>
        <w:pStyle w:val="49"/>
      </w:pPr>
      <w:r>
        <w:rPr>
          <w:rFonts w:hint="eastAsia"/>
        </w:rPr>
        <w:t>资产处置申请函（写明无偿调拨的原因）；</w:t>
      </w:r>
    </w:p>
    <w:p>
      <w:pPr>
        <w:pStyle w:val="49"/>
      </w:pPr>
      <w:r>
        <w:rPr>
          <w:rFonts w:hint="eastAsia"/>
        </w:rPr>
        <w:t>《行政单位国有资产处置申请表》（一式三份）；</w:t>
      </w:r>
    </w:p>
    <w:p>
      <w:pPr>
        <w:pStyle w:val="49"/>
      </w:pPr>
      <w:r>
        <w:rPr>
          <w:rFonts w:hint="eastAsia"/>
        </w:rPr>
        <w:t>资产价值有效凭证及产权证明（如发票或收据、工程决算副本等凭据的复印件并加盖单位公章，下同)；</w:t>
      </w:r>
    </w:p>
    <w:p>
      <w:pPr>
        <w:pStyle w:val="49"/>
      </w:pPr>
      <w:r>
        <w:rPr>
          <w:rFonts w:hint="eastAsia"/>
        </w:rPr>
        <w:t>因单位撤销、合并、分立、改制、隶属关系改变等原因发生调拨资产的，应当提供相关批文以及由具备相应资质的中介机构出具的资产清查报告等材料；</w:t>
      </w:r>
    </w:p>
    <w:p>
      <w:pPr>
        <w:pStyle w:val="49"/>
      </w:pPr>
      <w:r>
        <w:rPr>
          <w:rFonts w:hint="eastAsia"/>
        </w:rPr>
        <w:t>拟无偿调拨（划转）国有资产的名称、数量、规格、单价等清单；</w:t>
      </w:r>
    </w:p>
    <w:p>
      <w:pPr>
        <w:pStyle w:val="49"/>
      </w:pPr>
      <w:r>
        <w:rPr>
          <w:rFonts w:hint="eastAsia"/>
        </w:rPr>
        <w:t>接收调入单位同意接收的函，并写明同类资产存量情况；</w:t>
      </w:r>
    </w:p>
    <w:p>
      <w:pPr>
        <w:pStyle w:val="49"/>
      </w:pPr>
      <w:r>
        <w:rPr>
          <w:rFonts w:hint="eastAsia"/>
        </w:rPr>
        <w:t>其他相关资料。</w:t>
      </w:r>
    </w:p>
    <w:p>
      <w:pPr>
        <w:pStyle w:val="46"/>
      </w:pPr>
      <w:bookmarkStart w:id="11" w:name="_Toc119058975"/>
      <w:r>
        <w:rPr>
          <w:rFonts w:hint="eastAsia"/>
        </w:rPr>
        <w:t>出售、出让、转让、置换</w:t>
      </w:r>
      <w:bookmarkEnd w:id="11"/>
    </w:p>
    <w:p>
      <w:pPr>
        <w:pStyle w:val="146"/>
      </w:pPr>
      <w:r>
        <w:rPr>
          <w:rFonts w:hint="eastAsia"/>
        </w:rPr>
        <w:t>申请出售、出让、转让国有资产，应提交以下材料：</w:t>
      </w:r>
    </w:p>
    <w:p>
      <w:pPr>
        <w:pStyle w:val="49"/>
      </w:pPr>
      <w:r>
        <w:rPr>
          <w:rFonts w:hint="eastAsia"/>
        </w:rPr>
        <w:t>资产处置申请函；</w:t>
      </w:r>
    </w:p>
    <w:p>
      <w:pPr>
        <w:pStyle w:val="49"/>
      </w:pPr>
      <w:r>
        <w:rPr>
          <w:rFonts w:hint="eastAsia"/>
        </w:rPr>
        <w:t>《行政单位国有资产处置申请表》（一式三份）；</w:t>
      </w:r>
    </w:p>
    <w:p>
      <w:pPr>
        <w:pStyle w:val="49"/>
      </w:pPr>
      <w:r>
        <w:rPr>
          <w:rFonts w:hint="eastAsia"/>
        </w:rPr>
        <w:t>资产价值有效凭证及产权证明；</w:t>
      </w:r>
    </w:p>
    <w:p>
      <w:pPr>
        <w:pStyle w:val="49"/>
      </w:pPr>
      <w:r>
        <w:rPr>
          <w:rFonts w:hint="eastAsia"/>
        </w:rPr>
        <w:t>出售、出让、转让方案，包括资产的基本情况，处置的原因、方式等；</w:t>
      </w:r>
    </w:p>
    <w:p>
      <w:pPr>
        <w:pStyle w:val="49"/>
      </w:pPr>
      <w:r>
        <w:rPr>
          <w:rFonts w:hint="eastAsia"/>
        </w:rPr>
        <w:t>专业评估机构出具的评估报告；</w:t>
      </w:r>
    </w:p>
    <w:p>
      <w:pPr>
        <w:pStyle w:val="49"/>
      </w:pPr>
      <w:r>
        <w:rPr>
          <w:rFonts w:hint="eastAsia"/>
        </w:rPr>
        <w:t>其他相关材料。</w:t>
      </w:r>
    </w:p>
    <w:p>
      <w:pPr>
        <w:pStyle w:val="146"/>
      </w:pPr>
      <w:r>
        <w:rPr>
          <w:rFonts w:hint="eastAsia"/>
        </w:rPr>
        <w:t>申请国有资产置换，应提交以下材料：</w:t>
      </w:r>
    </w:p>
    <w:p>
      <w:pPr>
        <w:pStyle w:val="49"/>
      </w:pPr>
      <w:r>
        <w:rPr>
          <w:rFonts w:hint="eastAsia"/>
        </w:rPr>
        <w:t>资产处置申请函；</w:t>
      </w:r>
    </w:p>
    <w:p>
      <w:pPr>
        <w:pStyle w:val="49"/>
      </w:pPr>
      <w:r>
        <w:rPr>
          <w:rFonts w:hint="eastAsia"/>
        </w:rPr>
        <w:t>《行政单位国有资产处置申请表》（一式三份）；</w:t>
      </w:r>
    </w:p>
    <w:p>
      <w:pPr>
        <w:pStyle w:val="49"/>
      </w:pPr>
      <w:r>
        <w:rPr>
          <w:rFonts w:hint="eastAsia"/>
        </w:rPr>
        <w:t>资产价值有效凭证及产权证明；</w:t>
      </w:r>
    </w:p>
    <w:p>
      <w:pPr>
        <w:pStyle w:val="49"/>
      </w:pPr>
      <w:r>
        <w:rPr>
          <w:rFonts w:hint="eastAsia"/>
        </w:rPr>
        <w:t>置换双方签订的资产置换意向书；</w:t>
      </w:r>
    </w:p>
    <w:p>
      <w:pPr>
        <w:pStyle w:val="49"/>
      </w:pPr>
      <w:r>
        <w:rPr>
          <w:rFonts w:hint="eastAsia"/>
        </w:rPr>
        <w:t>对方单位拟用于置换资产的基本情况（产权证是否已被设置为担保物等情况）；</w:t>
      </w:r>
    </w:p>
    <w:p>
      <w:pPr>
        <w:pStyle w:val="49"/>
      </w:pPr>
      <w:r>
        <w:rPr>
          <w:rFonts w:hint="eastAsia"/>
        </w:rPr>
        <w:t>对方单位的法人证书或营业执照的复印件（加盖单位公章）；</w:t>
      </w:r>
    </w:p>
    <w:p>
      <w:pPr>
        <w:pStyle w:val="49"/>
      </w:pPr>
      <w:r>
        <w:rPr>
          <w:rFonts w:hint="eastAsia"/>
        </w:rPr>
        <w:t>专业评估机构出具的评估报告；</w:t>
      </w:r>
    </w:p>
    <w:p>
      <w:pPr>
        <w:pStyle w:val="49"/>
      </w:pPr>
      <w:r>
        <w:rPr>
          <w:rFonts w:hint="eastAsia"/>
        </w:rPr>
        <w:t>其他相关材料。</w:t>
      </w:r>
    </w:p>
    <w:p>
      <w:pPr>
        <w:pStyle w:val="46"/>
      </w:pPr>
      <w:bookmarkStart w:id="12" w:name="_Toc119058976"/>
      <w:r>
        <w:rPr>
          <w:rFonts w:hint="eastAsia"/>
        </w:rPr>
        <w:t>报废、报损和核销</w:t>
      </w:r>
      <w:bookmarkEnd w:id="12"/>
    </w:p>
    <w:p>
      <w:pPr>
        <w:pStyle w:val="43"/>
        <w:spacing w:before="156" w:after="156"/>
      </w:pPr>
      <w:bookmarkStart w:id="13" w:name="_Toc119058977"/>
      <w:r>
        <w:rPr>
          <w:rFonts w:hint="eastAsia"/>
        </w:rPr>
        <w:t>报废</w:t>
      </w:r>
      <w:bookmarkEnd w:id="13"/>
    </w:p>
    <w:p>
      <w:pPr>
        <w:pStyle w:val="147"/>
      </w:pPr>
      <w:r>
        <w:rPr>
          <w:rFonts w:hint="eastAsia"/>
        </w:rPr>
        <w:t>达到国家和地方更新标准，但仍可以继续使用的资产，不得报废。</w:t>
      </w:r>
    </w:p>
    <w:p>
      <w:pPr>
        <w:pStyle w:val="147"/>
      </w:pPr>
      <w:r>
        <w:rPr>
          <w:rFonts w:hint="eastAsia"/>
        </w:rPr>
        <w:t>电器电子产品、危险品报废处理应当符合国家有关规定。涉及强制报废的资产，应当提供强制报废证明材料（无须资产评估）。</w:t>
      </w:r>
    </w:p>
    <w:p>
      <w:pPr>
        <w:pStyle w:val="147"/>
      </w:pPr>
      <w:r>
        <w:rPr>
          <w:rFonts w:hint="eastAsia"/>
        </w:rPr>
        <w:t>申请国有资产报废，应提交以下材料：</w:t>
      </w:r>
    </w:p>
    <w:p>
      <w:pPr>
        <w:pStyle w:val="49"/>
      </w:pPr>
      <w:r>
        <w:rPr>
          <w:rFonts w:hint="eastAsia"/>
        </w:rPr>
        <w:t>资产处置申请函；</w:t>
      </w:r>
    </w:p>
    <w:p>
      <w:pPr>
        <w:pStyle w:val="49"/>
      </w:pPr>
      <w:r>
        <w:rPr>
          <w:rFonts w:hint="eastAsia"/>
        </w:rPr>
        <w:t>《行政单位国有资产处置申请表》（一式三份）；</w:t>
      </w:r>
    </w:p>
    <w:p>
      <w:pPr>
        <w:pStyle w:val="49"/>
      </w:pPr>
      <w:r>
        <w:rPr>
          <w:rFonts w:hint="eastAsia"/>
        </w:rPr>
        <w:t>资产价值有效凭证及产权证明；</w:t>
      </w:r>
    </w:p>
    <w:p>
      <w:pPr>
        <w:pStyle w:val="49"/>
      </w:pPr>
      <w:r>
        <w:rPr>
          <w:rFonts w:hint="eastAsia"/>
        </w:rPr>
        <w:t>专业评估机构出具的评估报告或者强制报废依据；</w:t>
      </w:r>
    </w:p>
    <w:p>
      <w:pPr>
        <w:pStyle w:val="49"/>
      </w:pPr>
      <w:r>
        <w:rPr>
          <w:rFonts w:hint="eastAsia"/>
        </w:rPr>
        <w:t>报废资产价值清单；</w:t>
      </w:r>
    </w:p>
    <w:p>
      <w:pPr>
        <w:pStyle w:val="49"/>
      </w:pPr>
      <w:r>
        <w:rPr>
          <w:rFonts w:hint="eastAsia"/>
        </w:rPr>
        <w:t>报废锅炉、电梯等没有规定最低使用年限的专用设备，须提交由行业或专业部门出具的技术鉴定书；</w:t>
      </w:r>
    </w:p>
    <w:p>
      <w:pPr>
        <w:pStyle w:val="49"/>
      </w:pPr>
      <w:r>
        <w:rPr>
          <w:rFonts w:hint="eastAsia"/>
        </w:rPr>
        <w:t>其他相关材料。</w:t>
      </w:r>
    </w:p>
    <w:p>
      <w:pPr>
        <w:pStyle w:val="43"/>
        <w:spacing w:before="156" w:after="156"/>
      </w:pPr>
      <w:bookmarkStart w:id="14" w:name="_Toc119058978"/>
      <w:r>
        <w:rPr>
          <w:rFonts w:hint="eastAsia"/>
        </w:rPr>
        <w:t>报损</w:t>
      </w:r>
      <w:bookmarkEnd w:id="14"/>
    </w:p>
    <w:p>
      <w:pPr>
        <w:pStyle w:val="147"/>
      </w:pPr>
      <w:r>
        <w:rPr>
          <w:rFonts w:hint="eastAsia"/>
        </w:rPr>
        <w:t>国有资产有以下情形之一的，可以报损：</w:t>
      </w:r>
    </w:p>
    <w:p>
      <w:pPr>
        <w:pStyle w:val="49"/>
      </w:pPr>
      <w:r>
        <w:rPr>
          <w:rFonts w:hint="eastAsia"/>
        </w:rPr>
        <w:t>债务人已依法破产或者死亡（含依法宣告死亡）的，根据法律规定其清算财产或者遗产不足清偿的；</w:t>
      </w:r>
    </w:p>
    <w:p>
      <w:pPr>
        <w:pStyle w:val="49"/>
      </w:pPr>
      <w:r>
        <w:rPr>
          <w:rFonts w:hint="eastAsia"/>
        </w:rPr>
        <w:t>因不可抗力因素造成损失的；</w:t>
      </w:r>
    </w:p>
    <w:p>
      <w:pPr>
        <w:pStyle w:val="49"/>
      </w:pPr>
      <w:r>
        <w:rPr>
          <w:rFonts w:hint="eastAsia"/>
        </w:rPr>
        <w:t>根据国家有关规定，可以报损的其他情形。</w:t>
      </w:r>
    </w:p>
    <w:p>
      <w:pPr>
        <w:pStyle w:val="147"/>
      </w:pPr>
      <w:r>
        <w:rPr>
          <w:rFonts w:hint="eastAsia"/>
        </w:rPr>
        <w:t>申请固定资产损失核销事项，应当提供以下材料：</w:t>
      </w:r>
    </w:p>
    <w:p>
      <w:pPr>
        <w:pStyle w:val="49"/>
      </w:pPr>
      <w:r>
        <w:rPr>
          <w:rFonts w:hint="eastAsia"/>
        </w:rPr>
        <w:t>资产处置申请函、《行政单位国有资产处置申请表》；</w:t>
      </w:r>
    </w:p>
    <w:p>
      <w:pPr>
        <w:pStyle w:val="49"/>
      </w:pPr>
      <w:r>
        <w:rPr>
          <w:rFonts w:hint="eastAsia"/>
        </w:rPr>
        <w:t>能够证明盘亏、毁损以及非正常损失固定资产价值的有效凭证：如发票、工程决算副本、记账凭证、固定资产卡片、盘点表及产权证明等凭据的复印件（加盖单位公章）及资产产权证明；</w:t>
      </w:r>
    </w:p>
    <w:p>
      <w:pPr>
        <w:pStyle w:val="49"/>
      </w:pPr>
      <w:r>
        <w:rPr>
          <w:rFonts w:hint="eastAsia"/>
        </w:rPr>
        <w:t>本单位资产损失核销事项会议纪要；</w:t>
      </w:r>
    </w:p>
    <w:p>
      <w:pPr>
        <w:pStyle w:val="49"/>
      </w:pPr>
      <w:r>
        <w:rPr>
          <w:rFonts w:hint="eastAsia"/>
        </w:rPr>
        <w:t>资产损失鉴证报告；</w:t>
      </w:r>
    </w:p>
    <w:p>
      <w:pPr>
        <w:pStyle w:val="49"/>
      </w:pPr>
      <w:r>
        <w:rPr>
          <w:rFonts w:hint="eastAsia"/>
        </w:rPr>
        <w:t>资产损失价值清单；</w:t>
      </w:r>
    </w:p>
    <w:p>
      <w:pPr>
        <w:pStyle w:val="49"/>
      </w:pPr>
      <w:r>
        <w:rPr>
          <w:rFonts w:hint="eastAsia"/>
        </w:rPr>
        <w:t>资产损失事项的认定依据及对责任者的处理文件；</w:t>
      </w:r>
    </w:p>
    <w:p>
      <w:pPr>
        <w:pStyle w:val="49"/>
      </w:pPr>
      <w:r>
        <w:rPr>
          <w:rFonts w:hint="eastAsia"/>
        </w:rPr>
        <w:t>其他相关材料。</w:t>
      </w:r>
    </w:p>
    <w:p>
      <w:pPr>
        <w:pStyle w:val="147"/>
      </w:pPr>
      <w:r>
        <w:rPr>
          <w:rFonts w:hint="eastAsia"/>
        </w:rPr>
        <w:t>资产损失的核销按照《河北省财政厅关于转发财政部&lt;行政事业单位资产清查核实管理办法&gt;的通知》（冀财资〔2016〕27号）规定办理。</w:t>
      </w:r>
    </w:p>
    <w:p>
      <w:pPr>
        <w:pStyle w:val="46"/>
      </w:pPr>
      <w:bookmarkStart w:id="15" w:name="_Toc119058979"/>
      <w:r>
        <w:rPr>
          <w:rFonts w:hint="eastAsia"/>
        </w:rPr>
        <w:t>相关</w:t>
      </w:r>
      <w:r>
        <w:t>表单</w:t>
      </w:r>
      <w:bookmarkEnd w:id="15"/>
    </w:p>
    <w:p>
      <w:pPr>
        <w:pStyle w:val="25"/>
      </w:pPr>
      <w:r>
        <w:rPr>
          <w:rFonts w:hint="eastAsia"/>
        </w:rPr>
        <w:t>行政单位国有资产处置备案汇总表见附录A。</w:t>
      </w:r>
    </w:p>
    <w:p>
      <w:pPr>
        <w:pStyle w:val="25"/>
        <w:sectPr>
          <w:footerReference r:id="rId6" w:type="default"/>
          <w:pgSz w:w="11906" w:h="16838"/>
          <w:pgMar w:top="567" w:right="1134" w:bottom="1134" w:left="1418" w:header="1134" w:footer="851" w:gutter="0"/>
          <w:pgNumType w:fmt="decimal" w:start="106"/>
          <w:cols w:space="425" w:num="1"/>
          <w:formProt w:val="0"/>
          <w:docGrid w:type="lines" w:linePitch="312" w:charSpace="0"/>
        </w:sectPr>
      </w:pPr>
      <w:r>
        <w:rPr>
          <w:rFonts w:hint="eastAsia"/>
        </w:rPr>
        <w:t>行政单位国有资产处置申请表见</w:t>
      </w:r>
      <w:r>
        <w:t>附录</w:t>
      </w:r>
      <w:r>
        <w:rPr>
          <w:rFonts w:hint="eastAsia"/>
        </w:rPr>
        <w:t>B。</w:t>
      </w:r>
    </w:p>
    <w:p>
      <w:pPr>
        <w:pStyle w:val="85"/>
        <w:numPr>
          <w:ilvl w:val="0"/>
          <w:numId w:val="21"/>
        </w:numPr>
        <w:tabs>
          <w:tab w:val="clear" w:pos="360"/>
        </w:tabs>
      </w:pPr>
      <w:r>
        <w:br w:type="textWrapping"/>
      </w:r>
      <w:bookmarkStart w:id="16" w:name="_Toc119058980"/>
      <w:r>
        <w:rPr>
          <w:rFonts w:hint="eastAsia"/>
        </w:rPr>
        <w:t>（资料性）</w:t>
      </w:r>
      <w:r>
        <w:br w:type="textWrapping"/>
      </w:r>
      <w:r>
        <w:rPr>
          <w:rFonts w:hint="eastAsia"/>
        </w:rPr>
        <w:t>行政单位国有资产处置备案汇总表样式</w:t>
      </w:r>
      <w:bookmarkEnd w:id="16"/>
    </w:p>
    <w:p>
      <w:pPr>
        <w:pStyle w:val="25"/>
      </w:pPr>
      <w:r>
        <w:rPr>
          <w:rFonts w:hint="eastAsia"/>
        </w:rPr>
        <w:t>行政单位国有资产处置备案汇总表样式见图A.1。</w:t>
      </w:r>
    </w:p>
    <w:p>
      <w:pPr>
        <w:pStyle w:val="25"/>
        <w:jc w:val="center"/>
      </w:pPr>
      <w:r>
        <w:drawing>
          <wp:inline distT="0" distB="0" distL="0" distR="0">
            <wp:extent cx="7550150" cy="3885565"/>
            <wp:effectExtent l="0" t="0" r="0" b="635"/>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pic:cNvPicPr>
                  </pic:nvPicPr>
                  <pic:blipFill>
                    <a:blip r:embed="rId8">
                      <a:extLst>
                        <a:ext uri="{28A0092B-C50C-407E-A947-70E740481C1C}">
                          <a14:useLocalDpi xmlns:a14="http://schemas.microsoft.com/office/drawing/2010/main" val="false"/>
                        </a:ext>
                      </a:extLst>
                    </a:blip>
                    <a:stretch>
                      <a:fillRect/>
                    </a:stretch>
                  </pic:blipFill>
                  <pic:spPr>
                    <a:xfrm>
                      <a:off x="0" y="0"/>
                      <a:ext cx="7584117" cy="3903046"/>
                    </a:xfrm>
                    <a:prstGeom prst="rect">
                      <a:avLst/>
                    </a:prstGeom>
                  </pic:spPr>
                </pic:pic>
              </a:graphicData>
            </a:graphic>
          </wp:inline>
        </w:drawing>
      </w:r>
    </w:p>
    <w:p>
      <w:pPr>
        <w:pStyle w:val="100"/>
        <w:rPr>
          <w:rFonts w:ascii="宋体"/>
          <w:kern w:val="0"/>
          <w:szCs w:val="20"/>
        </w:rPr>
      </w:pPr>
      <w:r>
        <w:tab/>
      </w:r>
      <w:r>
        <w:t xml:space="preserve">图A.1  </w:t>
      </w:r>
      <w:r>
        <w:rPr>
          <w:rFonts w:hint="eastAsia"/>
        </w:rPr>
        <w:t>行政单位国有资产处置备案汇总表样式</w:t>
      </w:r>
      <w:r>
        <w:br w:type="page"/>
      </w:r>
    </w:p>
    <w:p>
      <w:pPr>
        <w:pStyle w:val="85"/>
        <w:numPr>
          <w:ilvl w:val="0"/>
          <w:numId w:val="21"/>
        </w:numPr>
        <w:tabs>
          <w:tab w:val="clear" w:pos="360"/>
        </w:tabs>
      </w:pPr>
      <w:r>
        <w:br w:type="textWrapping"/>
      </w:r>
      <w:bookmarkStart w:id="17" w:name="_Toc119058981"/>
      <w:r>
        <w:rPr>
          <w:rFonts w:hint="eastAsia"/>
        </w:rPr>
        <w:t>（资料性）</w:t>
      </w:r>
      <w:r>
        <w:br w:type="textWrapping"/>
      </w:r>
      <w:r>
        <w:rPr>
          <w:rFonts w:hint="eastAsia"/>
        </w:rPr>
        <w:t>行政单位国有资产处置申请表样式</w:t>
      </w:r>
      <w:bookmarkEnd w:id="17"/>
    </w:p>
    <w:p>
      <w:pPr>
        <w:pStyle w:val="25"/>
      </w:pPr>
      <w:r>
        <w:rPr>
          <w:rFonts w:hint="eastAsia"/>
        </w:rPr>
        <w:t>行政单位国有资产处置申请表（报废等）样式见图B.1。</w:t>
      </w:r>
    </w:p>
    <w:p>
      <w:pPr>
        <w:pStyle w:val="25"/>
        <w:jc w:val="center"/>
      </w:pPr>
      <w:r>
        <w:drawing>
          <wp:inline distT="0" distB="0" distL="0" distR="0">
            <wp:extent cx="8578850" cy="4191000"/>
            <wp:effectExtent l="0" t="0" r="0" b="0"/>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pic:cNvPicPr>
                  </pic:nvPicPr>
                  <pic:blipFill>
                    <a:blip r:embed="rId9">
                      <a:extLst>
                        <a:ext uri="{28A0092B-C50C-407E-A947-70E740481C1C}">
                          <a14:useLocalDpi xmlns:a14="http://schemas.microsoft.com/office/drawing/2010/main" val="false"/>
                        </a:ext>
                      </a:extLst>
                    </a:blip>
                    <a:stretch>
                      <a:fillRect/>
                    </a:stretch>
                  </pic:blipFill>
                  <pic:spPr>
                    <a:xfrm>
                      <a:off x="0" y="0"/>
                      <a:ext cx="8625012" cy="4213285"/>
                    </a:xfrm>
                    <a:prstGeom prst="rect">
                      <a:avLst/>
                    </a:prstGeom>
                  </pic:spPr>
                </pic:pic>
              </a:graphicData>
            </a:graphic>
          </wp:inline>
        </w:drawing>
      </w:r>
    </w:p>
    <w:p>
      <w:pPr>
        <w:pStyle w:val="100"/>
      </w:pPr>
      <w:r>
        <w:t>图</w:t>
      </w:r>
      <w:r>
        <w:rPr>
          <w:rFonts w:hint="eastAsia"/>
        </w:rPr>
        <w:t>B</w:t>
      </w:r>
      <w:r>
        <w:t xml:space="preserve">.1  </w:t>
      </w:r>
      <w:r>
        <w:rPr>
          <w:rFonts w:hint="eastAsia"/>
        </w:rPr>
        <w:t>行政单位国有资产处置申请表（报废等）样式</w:t>
      </w:r>
    </w:p>
    <w:p>
      <w:pPr>
        <w:pStyle w:val="25"/>
      </w:pPr>
      <w:r>
        <w:rPr>
          <w:rFonts w:hint="eastAsia"/>
        </w:rPr>
        <w:t>行政单位国有资产处置申请表（划转等）样式见图B.2。</w:t>
      </w:r>
    </w:p>
    <w:p>
      <w:pPr>
        <w:pStyle w:val="25"/>
        <w:ind w:firstLine="0" w:firstLineChars="0"/>
        <w:jc w:val="center"/>
      </w:pPr>
      <w:r>
        <w:drawing>
          <wp:inline distT="0" distB="0" distL="0" distR="0">
            <wp:extent cx="9251950" cy="4780280"/>
            <wp:effectExtent l="0" t="0" r="6350" b="1270"/>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pic:cNvPicPr>
                  </pic:nvPicPr>
                  <pic:blipFill>
                    <a:blip r:embed="rId10">
                      <a:extLst>
                        <a:ext uri="{28A0092B-C50C-407E-A947-70E740481C1C}">
                          <a14:useLocalDpi xmlns:a14="http://schemas.microsoft.com/office/drawing/2010/main" val="false"/>
                        </a:ext>
                      </a:extLst>
                    </a:blip>
                    <a:stretch>
                      <a:fillRect/>
                    </a:stretch>
                  </pic:blipFill>
                  <pic:spPr>
                    <a:xfrm>
                      <a:off x="0" y="0"/>
                      <a:ext cx="9251950" cy="4780280"/>
                    </a:xfrm>
                    <a:prstGeom prst="rect">
                      <a:avLst/>
                    </a:prstGeom>
                  </pic:spPr>
                </pic:pic>
              </a:graphicData>
            </a:graphic>
          </wp:inline>
        </w:drawing>
      </w:r>
    </w:p>
    <w:p>
      <w:pPr>
        <w:pStyle w:val="100"/>
        <w:rPr>
          <w:rFonts w:hint="eastAsia"/>
        </w:rPr>
      </w:pPr>
      <w:r>
        <w:t>图</w:t>
      </w:r>
      <w:r>
        <w:rPr>
          <w:rFonts w:hint="eastAsia"/>
        </w:rPr>
        <w:t>B</w:t>
      </w:r>
      <w:r>
        <w:t xml:space="preserve">.2  </w:t>
      </w:r>
      <w:r>
        <w:rPr>
          <w:rFonts w:hint="eastAsia"/>
        </w:rPr>
        <w:t>行政单位国有资产处置申请表（划转等）样式</w:t>
      </w:r>
    </w:p>
    <w:p>
      <w:pPr>
        <w:pStyle w:val="2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76200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top:6pt;height:0pt;width:190.5pt;mso-position-horizontal:center;mso-position-horizontal-relative:margin;z-index:251665408;mso-width-relative:page;mso-height-relative:page;" filled="f" stroked="t" coordsize="21600,21600" o:gfxdata="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tc4&#10;DtIAAAAGAQAADwAAAAAAAAABACAAAAA4AAAAZHJzL2Rvd25yZXYueG1sUEsBAhQAFAAAAAgAh07i&#10;QH4x03XZAQAAhwMAAA4AAAAAAAAAAQAgAAAANwEAAGRycy9lMm9Eb2MueG1sUEsFBgAAAAAGAAYA&#10;WQEAAIIFAAAAAA==&#10;">
                <v:fill on="f" focussize="0,0"/>
                <v:stroke weight="0.5pt" color="#000000" miterlimit="8" joinstyle="miter"/>
                <v:imagedata o:title=""/>
                <o:lock v:ext="edit" aspectratio="f"/>
              </v:line>
            </w:pict>
          </mc:Fallback>
        </mc:AlternateContent>
      </w:r>
    </w:p>
    <w:sectPr>
      <w:pgSz w:w="16838" w:h="11906" w:orient="landscape"/>
      <w:pgMar w:top="1418" w:right="1134" w:bottom="1134" w:left="1134" w:header="1134" w:footer="851"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7</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7</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7</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7</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ZC</w:t>
    </w:r>
    <w:r>
      <w:rPr>
        <w:rFonts w:hint="eastAsia"/>
      </w:rPr>
      <w:t>.</w:t>
    </w:r>
    <w:r>
      <w:rPr>
        <w:rFonts w:hint="eastAsia"/>
        <w:lang w:val="en-US" w:eastAsia="zh-CN"/>
      </w:rPr>
      <w:t>220.</w:t>
    </w:r>
    <w:r>
      <w:t>00</w:t>
    </w:r>
    <w:r>
      <w:rPr>
        <w:rFonts w:hint="eastAsia"/>
        <w:lang w:val="en-US" w:eastAsia="zh-CN"/>
      </w:rPr>
      <w:t>4</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suff w:val="nothing"/>
      <w:lvlText w:val="图%1.%2　"/>
      <w:lvlJc w:val="left"/>
      <w:pPr>
        <w:ind w:left="808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A65C69"/>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D2B"/>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868"/>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346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60BC"/>
    <w:rsid w:val="00237D8D"/>
    <w:rsid w:val="00241DA2"/>
    <w:rsid w:val="002452C5"/>
    <w:rsid w:val="00246C16"/>
    <w:rsid w:val="00247FEE"/>
    <w:rsid w:val="00250E7D"/>
    <w:rsid w:val="0025654C"/>
    <w:rsid w:val="002565D5"/>
    <w:rsid w:val="00261E4A"/>
    <w:rsid w:val="002622C0"/>
    <w:rsid w:val="00267E72"/>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95E64"/>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3464"/>
    <w:rsid w:val="00336610"/>
    <w:rsid w:val="00343F73"/>
    <w:rsid w:val="00344F93"/>
    <w:rsid w:val="00345060"/>
    <w:rsid w:val="00346FE0"/>
    <w:rsid w:val="00351B28"/>
    <w:rsid w:val="0035323B"/>
    <w:rsid w:val="0035378A"/>
    <w:rsid w:val="00355493"/>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3FD"/>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4A6"/>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114"/>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29E5"/>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3AF"/>
    <w:rsid w:val="006B6B00"/>
    <w:rsid w:val="006B75DD"/>
    <w:rsid w:val="006C08B7"/>
    <w:rsid w:val="006C67E0"/>
    <w:rsid w:val="006C7ABA"/>
    <w:rsid w:val="006C7E29"/>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28BE"/>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05D7"/>
    <w:rsid w:val="007E1980"/>
    <w:rsid w:val="007E1EEB"/>
    <w:rsid w:val="007E269A"/>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058E"/>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C747C"/>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5C69"/>
    <w:rsid w:val="00A66513"/>
    <w:rsid w:val="00A6730D"/>
    <w:rsid w:val="00A7086D"/>
    <w:rsid w:val="00A70B14"/>
    <w:rsid w:val="00A71625"/>
    <w:rsid w:val="00A71B9B"/>
    <w:rsid w:val="00A7443B"/>
    <w:rsid w:val="00A74DF4"/>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401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479C3"/>
    <w:rsid w:val="00D54CC3"/>
    <w:rsid w:val="00D57710"/>
    <w:rsid w:val="00D603DE"/>
    <w:rsid w:val="00D6041A"/>
    <w:rsid w:val="00D60EAB"/>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97412"/>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4F360CB2"/>
    <w:rsid w:val="52331739"/>
    <w:rsid w:val="78B76E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tabs>
        <w:tab w:val="left" w:pos="363"/>
      </w:tabs>
      <w:spacing w:before="156" w:beforeLines="50" w:after="156"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3.pn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media/image1.png" Type="http://schemas.openxmlformats.org/officeDocument/2006/relationships/image"/><Relationship Id="rId9" Target="media/image2.png" Type="http://schemas.openxmlformats.org/officeDocument/2006/relationships/image"/></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10</Pages>
  <Words>3832</Words>
  <Characters>3917</Characters>
  <Lines>37</Lines>
  <Paragraphs>10</Paragraphs>
  <TotalTime>0</TotalTime>
  <ScaleCrop>false</ScaleCrop>
  <LinksUpToDate>false</LinksUpToDate>
  <CharactersWithSpaces>4072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2022-11-11T11:13:00Z</dcterms:created>
  <dc:creator>董世涛</dc:creator>
  <cp:lastModifiedBy>kylin</cp:lastModifiedBy>
  <cp:lastPrinted>2020-10-13T15:25:00Z</cp:lastPrinted>
  <dcterms:modified xsi:type="dcterms:W3CDTF">2023-03-18T18:12:02Z</dcterms:modified>
  <cp:revision>5</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C6E6A004F8F1401E9CB751D507897B5D</vt:lpwstr>
  </property>
</Properties>
</file>