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：ZC</w:t>
      </w:r>
    </w:p>
    <w:p>
      <w:pPr>
        <w:pStyle w:val="124"/>
        <w:framePr/>
      </w:pPr>
      <w:r>
        <w:rPr>
          <w:rFonts w:hint="eastAsia"/>
        </w:rPr>
        <w:t>文件</w:t>
      </w:r>
      <w:r>
        <w:t>类型</w:t>
      </w:r>
      <w:r>
        <w:rPr>
          <w:rFonts w:hint="eastAsia"/>
        </w:rPr>
        <w:t>：制度</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ZC.</w:t>
      </w:r>
      <w:r>
        <w:rPr>
          <w:rFonts w:hint="eastAsia" w:hAnsi="黑体"/>
          <w:lang w:val="en-US" w:eastAsia="zh-CN"/>
        </w:rPr>
        <w:t>220.</w:t>
      </w:r>
      <w:r>
        <w:rPr>
          <w:rFonts w:hAnsi="黑体"/>
        </w:rPr>
        <w:t>00</w:t>
      </w:r>
      <w:r>
        <w:rPr>
          <w:rFonts w:hint="eastAsia" w:hAnsi="黑体"/>
          <w:lang w:val="en-US" w:eastAsia="zh-CN"/>
        </w:rPr>
        <w:t>5</w:t>
      </w:r>
      <w:r>
        <w:rPr>
          <w:rFonts w:hAnsi="黑体"/>
        </w:rPr>
        <w:t>—2022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国有资产管理规范</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start="113"/>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21234595"/>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财务资产科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财务资产科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张根国、、董艳云、张艳</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 xml:space="preserve">2022 </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 xml:space="preserve"> 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 xml:space="preserve"> 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张长青</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bookmarkStart w:id="15" w:name="_GoBack"/>
      <w:bookmarkEnd w:id="15"/>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国有资产管理规范</w:t>
      </w:r>
    </w:p>
    <w:p>
      <w:pPr>
        <w:pStyle w:val="46"/>
      </w:pPr>
      <w:bookmarkStart w:id="6" w:name="_Toc121234596"/>
      <w:r>
        <w:rPr>
          <w:rFonts w:hint="eastAsia"/>
        </w:rPr>
        <w:t>范围</w:t>
      </w:r>
      <w:bookmarkEnd w:id="6"/>
    </w:p>
    <w:p>
      <w:pPr>
        <w:pStyle w:val="25"/>
        <w:tabs>
          <w:tab w:val="clear" w:pos="4201"/>
          <w:tab w:val="clear" w:pos="9298"/>
        </w:tabs>
      </w:pPr>
      <w:r>
        <w:rPr>
          <w:rFonts w:hint="eastAsia"/>
        </w:rPr>
        <w:t>本文件规定了市机关后勤服务中心国有资产管理的配置、使用、处置、资产评估与资产清查、统计报告与考核评估以及监督检查的要求。</w:t>
      </w:r>
    </w:p>
    <w:p>
      <w:pPr>
        <w:pStyle w:val="25"/>
      </w:pPr>
      <w:r>
        <w:rPr>
          <w:rFonts w:hint="eastAsia"/>
        </w:rPr>
        <w:t>本文件适用于市机关后勤服务中心国有资产管理工作。</w:t>
      </w:r>
    </w:p>
    <w:p>
      <w:pPr>
        <w:pStyle w:val="46"/>
      </w:pPr>
      <w:bookmarkStart w:id="7" w:name="_Toc121234597"/>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rFonts w:hint="eastAsia"/>
        </w:rPr>
      </w:pPr>
      <w:r>
        <w:rPr>
          <w:rFonts w:hint="eastAsia"/>
        </w:rPr>
        <w:t>《行政单位国有资产管理暂行办法》（财政部令第35号）</w:t>
      </w:r>
    </w:p>
    <w:p>
      <w:pPr>
        <w:pStyle w:val="25"/>
        <w:rPr>
          <w:rFonts w:hint="eastAsia"/>
        </w:rPr>
      </w:pPr>
      <w:r>
        <w:rPr>
          <w:rFonts w:hint="eastAsia"/>
        </w:rPr>
        <w:t>《行政单位财务规则》（财政部令第71号）</w:t>
      </w:r>
    </w:p>
    <w:p>
      <w:pPr>
        <w:pStyle w:val="25"/>
        <w:rPr>
          <w:rFonts w:hint="eastAsia"/>
        </w:rPr>
      </w:pPr>
      <w:r>
        <w:rPr>
          <w:rFonts w:hint="eastAsia"/>
        </w:rPr>
        <w:t>《政府会计准则》（财政部令第78号）</w:t>
      </w:r>
    </w:p>
    <w:p>
      <w:pPr>
        <w:pStyle w:val="25"/>
        <w:rPr>
          <w:rFonts w:hint="eastAsia"/>
        </w:rPr>
      </w:pPr>
      <w:r>
        <w:rPr>
          <w:rFonts w:hint="eastAsia"/>
        </w:rPr>
        <w:t>河北省财政厅关于转发财政部《行政事业单位资产清查核实管理办法》的通知（冀财资〔2016〕27号）</w:t>
      </w:r>
    </w:p>
    <w:p>
      <w:pPr>
        <w:pStyle w:val="25"/>
      </w:pPr>
      <w:r>
        <w:rPr>
          <w:rFonts w:hint="eastAsia"/>
        </w:rPr>
        <w:t>河北省财政厅关于印发《河北省行政事业单位国有资产管理办法》的通知（冀财资〔2019〕120号）</w:t>
      </w:r>
    </w:p>
    <w:p>
      <w:pPr>
        <w:pStyle w:val="46"/>
      </w:pPr>
      <w:bookmarkStart w:id="8" w:name="_Toc121234598"/>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国有资产</w:t>
      </w:r>
    </w:p>
    <w:p>
      <w:pPr>
        <w:pStyle w:val="25"/>
        <w:rPr>
          <w:rFonts w:ascii="Tahoma" w:hAnsi="Tahoma" w:cs="Tahoma"/>
          <w:color w:val="000000"/>
          <w:szCs w:val="21"/>
          <w:shd w:val="clear" w:color="auto" w:fill="FFFFFF"/>
        </w:rPr>
      </w:pPr>
      <w:r>
        <w:rPr>
          <w:rFonts w:hint="eastAsia"/>
        </w:rPr>
        <w:t>由行政单位占有、使用的，依法确认为国家所有，能以货币计量的各种经济资源的总称，即省级行政单位的国有（公共）财产。</w:t>
      </w:r>
    </w:p>
    <w:p>
      <w:pPr>
        <w:pStyle w:val="65"/>
        <w:rPr>
          <w:shd w:val="clear" w:color="auto" w:fill="FFFFFF"/>
        </w:rPr>
      </w:pPr>
      <w:r>
        <w:rPr>
          <w:rFonts w:hint="eastAsia"/>
        </w:rPr>
        <w:t>包括用国家财政性资金形成的资产、国家调拨的资产、按照国家规定组织收入形成的资产，以及接受捐赠和其他依法确认为国家所有的资产。其表现形式为固定资产、流动资产、在建工程、无形资产等。</w:t>
      </w:r>
    </w:p>
    <w:p>
      <w:pPr>
        <w:pStyle w:val="146"/>
      </w:pPr>
    </w:p>
    <w:p>
      <w:pPr>
        <w:pStyle w:val="148"/>
      </w:pPr>
      <w:r>
        <w:rPr>
          <w:rFonts w:hint="eastAsia"/>
        </w:rPr>
        <w:t>国有资产配置</w:t>
      </w:r>
    </w:p>
    <w:p>
      <w:pPr>
        <w:pStyle w:val="25"/>
        <w:rPr>
          <w:rFonts w:ascii="Tahoma" w:hAnsi="Tahoma" w:cs="Tahoma"/>
          <w:color w:val="000000"/>
          <w:szCs w:val="21"/>
          <w:shd w:val="clear" w:color="auto" w:fill="FFFFFF"/>
        </w:rPr>
      </w:pPr>
      <w:r>
        <w:rPr>
          <w:rFonts w:hint="eastAsia"/>
        </w:rPr>
        <w:t>行政单位根据履行职能和事业发展的需要，按照有关规定和标准，经批准通过购置、建设、调剂、租赁或接受捐赠等方式配备国有资产的行为。</w:t>
      </w:r>
    </w:p>
    <w:p>
      <w:pPr>
        <w:pStyle w:val="146"/>
        <w:spacing w:before="156" w:beforeLines="50" w:after="156" w:afterLines="50"/>
      </w:pPr>
    </w:p>
    <w:p>
      <w:pPr>
        <w:pStyle w:val="148"/>
      </w:pPr>
      <w:r>
        <w:rPr>
          <w:rFonts w:hint="eastAsia"/>
        </w:rPr>
        <w:t>国有资产处置</w:t>
      </w:r>
    </w:p>
    <w:p>
      <w:pPr>
        <w:pStyle w:val="25"/>
        <w:rPr>
          <w:rFonts w:ascii="Tahoma" w:hAnsi="Tahoma" w:cs="Tahoma"/>
          <w:color w:val="000000"/>
          <w:szCs w:val="21"/>
          <w:shd w:val="clear" w:color="auto" w:fill="FFFFFF"/>
        </w:rPr>
      </w:pPr>
      <w:r>
        <w:rPr>
          <w:rFonts w:hint="eastAsia"/>
        </w:rPr>
        <w:t>对占有、使用的国有资产进行产权转移或核销的行为。</w:t>
      </w:r>
    </w:p>
    <w:p>
      <w:pPr>
        <w:pStyle w:val="46"/>
      </w:pPr>
      <w:bookmarkStart w:id="9" w:name="_Toc121234599"/>
      <w:r>
        <w:rPr>
          <w:rFonts w:hint="eastAsia"/>
        </w:rPr>
        <w:t>配置</w:t>
      </w:r>
      <w:bookmarkEnd w:id="9"/>
    </w:p>
    <w:p>
      <w:pPr>
        <w:pStyle w:val="146"/>
        <w:rPr>
          <w:rFonts w:hint="eastAsia"/>
        </w:rPr>
      </w:pPr>
      <w:r>
        <w:rPr>
          <w:rFonts w:hint="eastAsia"/>
        </w:rPr>
        <w:t>国有资产配置应严格按照规定标准配置，办公设备应配备具有安全性、稳定性、兼容性，且能耗低、维修便利的设备，不得配备高端设备；办公家具配置应简朴实用，不得配置豪华家具，不得使用名贵木材。</w:t>
      </w:r>
    </w:p>
    <w:p>
      <w:pPr>
        <w:pStyle w:val="146"/>
        <w:rPr>
          <w:rFonts w:hint="eastAsia"/>
        </w:rPr>
      </w:pPr>
      <w:r>
        <w:rPr>
          <w:rFonts w:hint="eastAsia"/>
        </w:rPr>
        <w:t>配置国有资产需具备下列条件之一：</w:t>
      </w:r>
    </w:p>
    <w:p>
      <w:pPr>
        <w:pStyle w:val="49"/>
        <w:rPr>
          <w:rFonts w:hint="eastAsia"/>
        </w:rPr>
      </w:pPr>
      <w:r>
        <w:rPr>
          <w:rFonts w:hint="eastAsia"/>
        </w:rPr>
        <w:t>新增机构、增加工作职能或人员编制；</w:t>
      </w:r>
    </w:p>
    <w:p>
      <w:pPr>
        <w:pStyle w:val="49"/>
        <w:rPr>
          <w:rFonts w:hint="eastAsia"/>
        </w:rPr>
      </w:pPr>
      <w:r>
        <w:rPr>
          <w:rFonts w:hint="eastAsia"/>
        </w:rPr>
        <w:t>按规定进行处置后需更新配备；</w:t>
      </w:r>
    </w:p>
    <w:p>
      <w:pPr>
        <w:pStyle w:val="49"/>
        <w:rPr>
          <w:rFonts w:hint="eastAsia"/>
        </w:rPr>
      </w:pPr>
      <w:r>
        <w:rPr>
          <w:rFonts w:hint="eastAsia"/>
        </w:rPr>
        <w:t>现有资产无法满足履行职能的需要；</w:t>
      </w:r>
    </w:p>
    <w:p>
      <w:pPr>
        <w:pStyle w:val="49"/>
        <w:rPr>
          <w:rFonts w:hint="eastAsia"/>
        </w:rPr>
      </w:pPr>
      <w:r>
        <w:rPr>
          <w:rFonts w:hint="eastAsia"/>
        </w:rPr>
        <w:t>采用市场购买服务的方式成本过高。</w:t>
      </w:r>
    </w:p>
    <w:p>
      <w:pPr>
        <w:pStyle w:val="46"/>
      </w:pPr>
      <w:bookmarkStart w:id="10" w:name="_Toc121234600"/>
      <w:r>
        <w:rPr>
          <w:rFonts w:hint="eastAsia"/>
        </w:rPr>
        <w:t>使用</w:t>
      </w:r>
      <w:bookmarkEnd w:id="10"/>
    </w:p>
    <w:p>
      <w:pPr>
        <w:pStyle w:val="146"/>
        <w:rPr>
          <w:rFonts w:hint="eastAsia"/>
        </w:rPr>
      </w:pPr>
      <w:r>
        <w:rPr>
          <w:rFonts w:hint="eastAsia"/>
        </w:rPr>
        <w:t>应严格落实国有资产管理规定，建立和完善本单位国有资产的具体使用管理制度，规范国有资产日常管理和占有使用行为，充分发挥资产的使用效益，维护国有资产的安全、完整。</w:t>
      </w:r>
    </w:p>
    <w:p>
      <w:pPr>
        <w:pStyle w:val="146"/>
        <w:rPr>
          <w:rFonts w:hint="eastAsia"/>
        </w:rPr>
      </w:pPr>
      <w:r>
        <w:rPr>
          <w:rFonts w:hint="eastAsia"/>
        </w:rPr>
        <w:t>对所占有、使用的国有资产应建立健全资产账卡和档案管理制度，并定期清查盘点，做到家底清楚，账、卡、实相符，防止国有资产流失。</w:t>
      </w:r>
    </w:p>
    <w:p>
      <w:pPr>
        <w:pStyle w:val="146"/>
        <w:rPr>
          <w:rFonts w:hint="eastAsia"/>
        </w:rPr>
      </w:pPr>
      <w:r>
        <w:rPr>
          <w:rFonts w:hint="eastAsia"/>
        </w:rPr>
        <w:t>国有资产的使用包括自用、出租、出借。拟将占有、使用的国有资产对外出租、出借的，应按程序报批。未经批准，不得对外出租、出借。办公用房、公有住房（或保障性住房）、公务用车的出租出借应按照主管部门的相关规定执行。</w:t>
      </w:r>
    </w:p>
    <w:p>
      <w:pPr>
        <w:pStyle w:val="146"/>
        <w:rPr>
          <w:rFonts w:hint="eastAsia"/>
        </w:rPr>
      </w:pPr>
      <w:r>
        <w:rPr>
          <w:rFonts w:hint="eastAsia"/>
        </w:rPr>
        <w:t>不得以任何形式用占有、使用的国有资产举办经济实体。</w:t>
      </w:r>
    </w:p>
    <w:p>
      <w:pPr>
        <w:pStyle w:val="146"/>
      </w:pPr>
      <w:r>
        <w:rPr>
          <w:rFonts w:hint="eastAsia"/>
        </w:rPr>
        <w:t>出租、出借的国有资产，其所有权性质不变，仍归国家所有；所形成的收入，按照政府非税收入管理的规定，实行“收支两条线”管理。</w:t>
      </w:r>
    </w:p>
    <w:p>
      <w:pPr>
        <w:pStyle w:val="46"/>
      </w:pPr>
      <w:bookmarkStart w:id="11" w:name="_Toc121234601"/>
      <w:r>
        <w:rPr>
          <w:rFonts w:hint="eastAsia"/>
        </w:rPr>
        <w:t>处置</w:t>
      </w:r>
      <w:bookmarkEnd w:id="11"/>
    </w:p>
    <w:p>
      <w:pPr>
        <w:pStyle w:val="146"/>
        <w:rPr>
          <w:rFonts w:hint="eastAsia"/>
        </w:rPr>
      </w:pPr>
      <w:r>
        <w:rPr>
          <w:rFonts w:hint="eastAsia"/>
        </w:rPr>
        <w:t>需处置的国有资产范围包括：</w:t>
      </w:r>
    </w:p>
    <w:p>
      <w:pPr>
        <w:pStyle w:val="49"/>
        <w:rPr>
          <w:rFonts w:hint="eastAsia"/>
        </w:rPr>
      </w:pPr>
      <w:r>
        <w:rPr>
          <w:rFonts w:hint="eastAsia"/>
        </w:rPr>
        <w:t>闲置资产；</w:t>
      </w:r>
    </w:p>
    <w:p>
      <w:pPr>
        <w:pStyle w:val="49"/>
        <w:rPr>
          <w:rFonts w:hint="eastAsia"/>
        </w:rPr>
      </w:pPr>
      <w:r>
        <w:rPr>
          <w:rFonts w:hint="eastAsia"/>
        </w:rPr>
        <w:t>已超过使用年限无法继续使用的资产；</w:t>
      </w:r>
    </w:p>
    <w:p>
      <w:pPr>
        <w:pStyle w:val="49"/>
        <w:rPr>
          <w:rFonts w:hint="eastAsia"/>
        </w:rPr>
      </w:pPr>
      <w:r>
        <w:rPr>
          <w:rFonts w:hint="eastAsia"/>
        </w:rPr>
        <w:t>盘亏及非正常损失资产；</w:t>
      </w:r>
    </w:p>
    <w:p>
      <w:pPr>
        <w:pStyle w:val="49"/>
        <w:rPr>
          <w:rFonts w:hint="eastAsia"/>
        </w:rPr>
      </w:pPr>
      <w:r>
        <w:rPr>
          <w:rFonts w:hint="eastAsia"/>
        </w:rPr>
        <w:t>因单位分立、撤销、合并、改制、隶属关系改变等原因发生的产权或者使用权转移的资产；</w:t>
      </w:r>
    </w:p>
    <w:p>
      <w:pPr>
        <w:pStyle w:val="49"/>
        <w:rPr>
          <w:rFonts w:hint="eastAsia"/>
        </w:rPr>
      </w:pPr>
      <w:r>
        <w:rPr>
          <w:rFonts w:hint="eastAsia"/>
        </w:rPr>
        <w:t>因资产性能缺损继续使用成本过高，经科学论证认定确需处置的资产；</w:t>
      </w:r>
    </w:p>
    <w:p>
      <w:pPr>
        <w:pStyle w:val="49"/>
        <w:rPr>
          <w:rFonts w:hint="eastAsia"/>
        </w:rPr>
      </w:pPr>
      <w:r>
        <w:rPr>
          <w:rFonts w:hint="eastAsia"/>
        </w:rPr>
        <w:t>依据国家有关规定确需进行资产处置的其它情形。</w:t>
      </w:r>
    </w:p>
    <w:p>
      <w:pPr>
        <w:pStyle w:val="146"/>
        <w:rPr>
          <w:rFonts w:hint="eastAsia"/>
        </w:rPr>
      </w:pPr>
      <w:r>
        <w:rPr>
          <w:rFonts w:hint="eastAsia"/>
        </w:rPr>
        <w:t>当单位分立、撤销、合并、改制及隶属关系发生改变时，其资产应进行全面的清查登记，编制清册，提出处理意见，报市机关后勤服务中心审批后办理移交、调拨、封存、拍卖等手续。</w:t>
      </w:r>
    </w:p>
    <w:p>
      <w:pPr>
        <w:pStyle w:val="46"/>
      </w:pPr>
      <w:bookmarkStart w:id="12" w:name="_Toc121234602"/>
      <w:r>
        <w:rPr>
          <w:rFonts w:hint="eastAsia"/>
        </w:rPr>
        <w:t>资产评估与资产清查</w:t>
      </w:r>
      <w:bookmarkEnd w:id="12"/>
    </w:p>
    <w:p>
      <w:pPr>
        <w:pStyle w:val="146"/>
        <w:rPr>
          <w:rFonts w:hint="eastAsia"/>
        </w:rPr>
      </w:pPr>
      <w:r>
        <w:rPr>
          <w:rFonts w:hint="eastAsia"/>
        </w:rPr>
        <w:t>有下列情形之一的，应当委托具有资产评估资质的评估机构对相关资产进行评估：</w:t>
      </w:r>
    </w:p>
    <w:p>
      <w:pPr>
        <w:pStyle w:val="49"/>
        <w:rPr>
          <w:rFonts w:hint="eastAsia"/>
        </w:rPr>
      </w:pPr>
      <w:r>
        <w:rPr>
          <w:rFonts w:hint="eastAsia"/>
        </w:rPr>
        <w:t>取得没有原始价格凭证资产的；</w:t>
      </w:r>
    </w:p>
    <w:p>
      <w:pPr>
        <w:pStyle w:val="49"/>
        <w:rPr>
          <w:rFonts w:hint="eastAsia"/>
        </w:rPr>
      </w:pPr>
      <w:r>
        <w:rPr>
          <w:rFonts w:hint="eastAsia"/>
        </w:rPr>
        <w:t>拍卖、有偿转让、置换国有资产的；</w:t>
      </w:r>
    </w:p>
    <w:p>
      <w:pPr>
        <w:pStyle w:val="49"/>
        <w:rPr>
          <w:rFonts w:hint="eastAsia"/>
        </w:rPr>
      </w:pPr>
      <w:r>
        <w:rPr>
          <w:rFonts w:hint="eastAsia"/>
        </w:rPr>
        <w:t>整体或者部分改制为企业的；</w:t>
      </w:r>
    </w:p>
    <w:p>
      <w:pPr>
        <w:pStyle w:val="49"/>
        <w:rPr>
          <w:rFonts w:hint="eastAsia"/>
        </w:rPr>
      </w:pPr>
      <w:r>
        <w:rPr>
          <w:rFonts w:hint="eastAsia"/>
        </w:rPr>
        <w:t>合并、分立、清算的；</w:t>
      </w:r>
    </w:p>
    <w:p>
      <w:pPr>
        <w:pStyle w:val="49"/>
        <w:rPr>
          <w:rFonts w:hint="eastAsia"/>
        </w:rPr>
      </w:pPr>
      <w:r>
        <w:rPr>
          <w:rFonts w:hint="eastAsia"/>
        </w:rPr>
        <w:t>确定涉讼资产价值的；</w:t>
      </w:r>
    </w:p>
    <w:p>
      <w:pPr>
        <w:pStyle w:val="49"/>
        <w:rPr>
          <w:rFonts w:hint="eastAsia"/>
        </w:rPr>
      </w:pPr>
      <w:r>
        <w:rPr>
          <w:rFonts w:hint="eastAsia"/>
        </w:rPr>
        <w:t>依照国家有关规定需要进行资产评估的其他情形。</w:t>
      </w:r>
    </w:p>
    <w:p>
      <w:pPr>
        <w:pStyle w:val="146"/>
        <w:rPr>
          <w:rFonts w:hint="eastAsia"/>
        </w:rPr>
      </w:pPr>
      <w:r>
        <w:rPr>
          <w:rFonts w:hint="eastAsia"/>
        </w:rPr>
        <w:t>国有资产处置涉及的资产评估项目实行核准制和备案制。经市政府批准实施的重大经济事项涉及的资产评估项目，由市机关事务后勤服务中心负责核准。除此之外的评估结果报市机关后勤服务中心备案。</w:t>
      </w:r>
    </w:p>
    <w:p>
      <w:pPr>
        <w:pStyle w:val="146"/>
        <w:rPr>
          <w:rFonts w:hint="eastAsia"/>
        </w:rPr>
      </w:pPr>
      <w:r>
        <w:rPr>
          <w:rFonts w:hint="eastAsia"/>
        </w:rPr>
        <w:t>有下列情形之一的，应进行资产清查：</w:t>
      </w:r>
    </w:p>
    <w:p>
      <w:pPr>
        <w:pStyle w:val="49"/>
        <w:rPr>
          <w:rFonts w:hint="eastAsia"/>
        </w:rPr>
      </w:pPr>
      <w:r>
        <w:rPr>
          <w:rFonts w:hint="eastAsia"/>
        </w:rPr>
        <w:t>根据国家专项工作要求或者本级政府及其财政部门实际工作需要，被纳入统一组织的资产清查范围的；</w:t>
      </w:r>
    </w:p>
    <w:p>
      <w:pPr>
        <w:pStyle w:val="49"/>
        <w:rPr>
          <w:rFonts w:hint="eastAsia"/>
        </w:rPr>
      </w:pPr>
      <w:r>
        <w:rPr>
          <w:rFonts w:hint="eastAsia"/>
        </w:rPr>
        <w:t>进行重大改革或者整体、部分改制为企业的；</w:t>
      </w:r>
    </w:p>
    <w:p>
      <w:pPr>
        <w:pStyle w:val="49"/>
        <w:rPr>
          <w:rFonts w:hint="eastAsia"/>
        </w:rPr>
      </w:pPr>
      <w:r>
        <w:rPr>
          <w:rFonts w:hint="eastAsia"/>
        </w:rPr>
        <w:t>遭受重大自然灾害等不可抗力造成资产严重损失的；</w:t>
      </w:r>
    </w:p>
    <w:p>
      <w:pPr>
        <w:pStyle w:val="49"/>
        <w:rPr>
          <w:rFonts w:hint="eastAsia"/>
        </w:rPr>
      </w:pPr>
      <w:r>
        <w:rPr>
          <w:rFonts w:hint="eastAsia"/>
        </w:rPr>
        <w:t>会计信息严重失真或者国有资产出现重大流失的；</w:t>
      </w:r>
    </w:p>
    <w:p>
      <w:pPr>
        <w:pStyle w:val="49"/>
        <w:rPr>
          <w:rFonts w:hint="eastAsia"/>
        </w:rPr>
      </w:pPr>
      <w:r>
        <w:rPr>
          <w:rFonts w:hint="eastAsia"/>
        </w:rPr>
        <w:t>会计政策发生重大更改，涉及资产核算方法发生重要变化的；</w:t>
      </w:r>
    </w:p>
    <w:p>
      <w:pPr>
        <w:pStyle w:val="49"/>
        <w:rPr>
          <w:rFonts w:hint="eastAsia"/>
        </w:rPr>
      </w:pPr>
      <w:r>
        <w:rPr>
          <w:rFonts w:hint="eastAsia"/>
        </w:rPr>
        <w:t>省财政厅、省机关事务管理局认为应当进行资产清查的其他情形。</w:t>
      </w:r>
    </w:p>
    <w:p>
      <w:pPr>
        <w:pStyle w:val="46"/>
      </w:pPr>
      <w:bookmarkStart w:id="13" w:name="_Toc121234603"/>
      <w:r>
        <w:rPr>
          <w:rFonts w:hint="eastAsia"/>
        </w:rPr>
        <w:t>统计报告与考核评估</w:t>
      </w:r>
      <w:bookmarkEnd w:id="13"/>
    </w:p>
    <w:p>
      <w:pPr>
        <w:pStyle w:val="146"/>
        <w:rPr>
          <w:rFonts w:hint="eastAsia"/>
        </w:rPr>
      </w:pPr>
      <w:r>
        <w:rPr>
          <w:rFonts w:hint="eastAsia"/>
        </w:rPr>
        <w:t>应当按规定格式和内容编制年度资产报告，利用资产管理信息系统生成年度资产报表，做到内容完整、信息真实、数据准确，并对资产变动、使用和结存情况，以及用于出租出借等资产的相关信息作出文字分析说明。</w:t>
      </w:r>
    </w:p>
    <w:p>
      <w:pPr>
        <w:pStyle w:val="146"/>
        <w:rPr>
          <w:rFonts w:hint="eastAsia"/>
        </w:rPr>
      </w:pPr>
      <w:r>
        <w:rPr>
          <w:rFonts w:hint="eastAsia"/>
        </w:rPr>
        <w:t>资产报告经单位审核、签批后，以纸质报告和系统申报同步并行的方式，报省机关事务管理局审核，经核准并汇总后，报省财政厅审批。年度资产报告及报表经审批后，作为确认调整资产账目和考核评价、监督检查的重要依据。</w:t>
      </w:r>
    </w:p>
    <w:p>
      <w:pPr>
        <w:pStyle w:val="146"/>
        <w:rPr>
          <w:rFonts w:hint="eastAsia"/>
        </w:rPr>
      </w:pPr>
      <w:r>
        <w:rPr>
          <w:rFonts w:hint="eastAsia"/>
        </w:rPr>
        <w:t>邢台市机关后勤服务中心负责建立和完善国有资产安全性、完整性和使用有效性的考评办法，组织对省级行政单位国有资产配置、使用、处置等管理情况以及资产管理信息系统运行情况进行考核评价，每年不少于一次。</w:t>
      </w:r>
    </w:p>
    <w:p>
      <w:pPr>
        <w:pStyle w:val="146"/>
      </w:pPr>
      <w:r>
        <w:rPr>
          <w:rFonts w:hint="eastAsia"/>
        </w:rPr>
        <w:t>邢台市机关后勤服务中心对市级行政单位考核评价结果在市级行政单位范围内通报，并向市财政厅报告，作为下年度审核市级行政单位国有资产配置计划及预算的依据。</w:t>
      </w:r>
    </w:p>
    <w:p>
      <w:pPr>
        <w:pStyle w:val="46"/>
        <w:rPr>
          <w:rFonts w:hint="eastAsia"/>
        </w:rPr>
      </w:pPr>
      <w:bookmarkStart w:id="14" w:name="_Toc121234604"/>
      <w:r>
        <w:rPr>
          <w:rFonts w:hint="eastAsia"/>
        </w:rPr>
        <w:t>监督检查</w:t>
      </w:r>
      <w:bookmarkEnd w:id="14"/>
    </w:p>
    <w:p>
      <w:pPr>
        <w:pStyle w:val="146"/>
        <w:rPr>
          <w:rFonts w:hint="eastAsia"/>
        </w:rPr>
      </w:pPr>
      <w:r>
        <w:rPr>
          <w:rFonts w:hint="eastAsia"/>
        </w:rPr>
        <w:t>邢台市机关后勤服务中心应加强对市级行政单位国有资产管理全过程的监督检查；市级行政单位对所占有使用的国有资产的管理承担主体责任，应建立完善资产监督管理责任制，将资产监督、管理责任落实到具体部门和个人。</w:t>
      </w:r>
    </w:p>
    <w:p>
      <w:pPr>
        <w:pStyle w:val="146"/>
      </w:pPr>
      <w:r>
        <mc:AlternateContent>
          <mc:Choice Requires="wps">
            <w:drawing>
              <wp:anchor distT="0" distB="0" distL="114300" distR="114300" simplePos="0" relativeHeight="251661312" behindDoc="0" locked="0" layoutInCell="1" allowOverlap="1">
                <wp:simplePos x="0" y="0"/>
                <wp:positionH relativeFrom="column">
                  <wp:posOffset>1547495</wp:posOffset>
                </wp:positionH>
                <wp:positionV relativeFrom="paragraph">
                  <wp:posOffset>1091565</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1.85pt;margin-top:85.95pt;height:0pt;width:190.5pt;z-index:251661312;mso-width-relative:page;mso-height-relative:page;" filled="f" stroked="t" coordsize="21600,21600" o:gfxdata="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sqYu41wAAAAsBAAAPAAAA&#10;AAAAAAEAIAAAADgAAABkcnMvZG93bnJldi54bWxQSwECFAAUAAAACACHTuJAcaSoLscBAABlAwAA&#10;DgAAAAAAAAABACAAAAA8AQAAZHJzL2Uyb0RvYy54bWxQSwUGAAAAAAYABgBZAQAAdQUAAAAA&#10;">
                <v:fill on="f" focussize="0,0"/>
                <v:stroke weight="0.5pt" color="#000000 [3213]" miterlimit="8" joinstyle="miter"/>
                <v:imagedata o:title=""/>
                <o:lock v:ext="edit" aspectratio="f"/>
              </v:line>
            </w:pict>
          </mc:Fallback>
        </mc:AlternateContent>
      </w:r>
      <w:r>
        <w:rPr>
          <w:rFonts w:hint="eastAsia"/>
        </w:rPr>
        <w:t>市级行政单位国有资产监督应当坚持单位内部监督与财政监督、审计监督、社会监督相结合，事前监督与事中监督、事后监督相结合，日常监督与专项检查相结合。</w:t>
      </w:r>
    </w:p>
    <w:sectPr>
      <w:headerReference r:id="rId4" w:type="default"/>
      <w:footerReference r:id="rId5"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ZC</w:t>
    </w:r>
    <w:r>
      <w:rPr>
        <w:rFonts w:hint="eastAsia"/>
      </w:rPr>
      <w:t>.</w:t>
    </w:r>
    <w:r>
      <w:rPr>
        <w:rFonts w:hint="eastAsia"/>
        <w:lang w:val="en-US" w:eastAsia="zh-CN"/>
      </w:rPr>
      <w:t>220.</w:t>
    </w:r>
    <w:r>
      <w:t>00</w:t>
    </w:r>
    <w:r>
      <w:rPr>
        <w:rFonts w:hint="eastAsia"/>
        <w:lang w:val="en-US" w:eastAsia="zh-CN"/>
      </w:rPr>
      <w:t>5</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69"/>
    <w:rsid w:val="00000244"/>
    <w:rsid w:val="0000185F"/>
    <w:rsid w:val="00001F8E"/>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1355"/>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5DBE"/>
    <w:rsid w:val="002A7420"/>
    <w:rsid w:val="002B0F12"/>
    <w:rsid w:val="002B1308"/>
    <w:rsid w:val="002B1D86"/>
    <w:rsid w:val="002B4554"/>
    <w:rsid w:val="002C72D8"/>
    <w:rsid w:val="002C7823"/>
    <w:rsid w:val="002D11FA"/>
    <w:rsid w:val="002D54CA"/>
    <w:rsid w:val="002E0DDF"/>
    <w:rsid w:val="002E25BD"/>
    <w:rsid w:val="002E2906"/>
    <w:rsid w:val="002E31A9"/>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15FE"/>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501"/>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56EAC"/>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001"/>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37E"/>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28BE"/>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5C69"/>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1CB2"/>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4018"/>
    <w:rsid w:val="00B665C6"/>
    <w:rsid w:val="00B66CA1"/>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B5201"/>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8FE"/>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B77C8"/>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173F"/>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2F1B"/>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52331739"/>
    <w:rsid w:val="FF75A7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6</Pages>
  <Words>545</Words>
  <Characters>3110</Characters>
  <Lines>25</Lines>
  <Paragraphs>7</Paragraphs>
  <TotalTime>1</TotalTime>
  <ScaleCrop>false</ScaleCrop>
  <LinksUpToDate>false</LinksUpToDate>
  <CharactersWithSpaces>3648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2022-12-06T15:26:00Z</dcterms:created>
  <dc:creator>董世涛</dc:creator>
  <cp:lastModifiedBy>kylin</cp:lastModifiedBy>
  <cp:lastPrinted>2020-10-13T15:25:00Z</cp:lastPrinted>
  <dcterms:modified xsi:type="dcterms:W3CDTF">2023-03-18T18:15:27Z</dcterms:modified>
  <cp:revision>7</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