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w:t>
      </w:r>
      <w:r>
        <w:rPr>
          <w:rFonts w:hint="eastAsia" w:hAnsi="黑体"/>
        </w:rPr>
        <w:t>Y</w:t>
      </w:r>
      <w:r>
        <w:rPr>
          <w:rFonts w:hAnsi="黑体"/>
        </w:rPr>
        <w:t>C</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YC.</w:t>
      </w:r>
      <w:r>
        <w:rPr>
          <w:rFonts w:hint="eastAsia" w:hAnsi="黑体"/>
          <w:lang w:val="en-US" w:eastAsia="zh-CN"/>
        </w:rPr>
        <w:t>230.</w:t>
      </w:r>
      <w:r>
        <w:rPr>
          <w:rFonts w:hAnsi="黑体"/>
        </w:rPr>
        <w:t>005—2022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公务用车标识化管理规范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40"/>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119055385"/>
      <w:bookmarkStart w:id="3" w:name="_Toc475694823"/>
      <w:bookmarkStart w:id="4" w:name="_Toc4951802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马建召、张晓梅</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bookmarkStart w:id="26" w:name="_GoBack" w:colFirst="2" w:colLast="0"/>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sectPr>
          <w:headerReference r:id="rId4" w:type="default"/>
          <w:footerReference r:id="rId5" w:type="default"/>
          <w:pgSz w:w="11906" w:h="16838"/>
          <w:pgMar w:top="567" w:right="1134" w:bottom="1134" w:left="1418" w:header="1418" w:footer="1134" w:gutter="0"/>
          <w:pgNumType w:fmt="decimal" w:start="141"/>
          <w:cols w:space="425" w:num="1"/>
          <w:formProt w:val="0"/>
          <w:docGrid w:type="lines" w:linePitch="312" w:charSpace="0"/>
        </w:sectPr>
      </w:pPr>
    </w:p>
    <w:p>
      <w:pPr>
        <w:pStyle w:val="51"/>
      </w:pPr>
      <w:r>
        <w:rPr>
          <w:rFonts w:hint="eastAsia"/>
        </w:rPr>
        <w:t>公务用车标识化管理规范</w:t>
      </w:r>
    </w:p>
    <w:p>
      <w:pPr>
        <w:pStyle w:val="46"/>
      </w:pPr>
      <w:bookmarkStart w:id="6" w:name="_Toc119055386"/>
      <w:r>
        <w:rPr>
          <w:rFonts w:hint="eastAsia"/>
        </w:rPr>
        <w:t>范围</w:t>
      </w:r>
      <w:bookmarkEnd w:id="6"/>
    </w:p>
    <w:p>
      <w:pPr>
        <w:pStyle w:val="25"/>
        <w:tabs>
          <w:tab w:val="clear" w:pos="4201"/>
          <w:tab w:val="clear" w:pos="9298"/>
        </w:tabs>
      </w:pPr>
      <w:r>
        <w:rPr>
          <w:rFonts w:hint="eastAsia"/>
        </w:rPr>
        <w:t>本文件规定了公务用车标识化管理标识范围、标识涂装要求和管理的要求。</w:t>
      </w:r>
    </w:p>
    <w:p>
      <w:pPr>
        <w:pStyle w:val="25"/>
      </w:pPr>
      <w:r>
        <w:rPr>
          <w:rFonts w:hint="eastAsia"/>
        </w:rPr>
        <w:t>本文件适用于公务用车标识化管理。</w:t>
      </w:r>
    </w:p>
    <w:p>
      <w:pPr>
        <w:pStyle w:val="46"/>
      </w:pPr>
      <w:bookmarkStart w:id="7" w:name="_Toc11905538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关于转发《河北省公务用车制度改革领导小组办公室关于各市党政机关企事业单位更换公务用车标识的通知》的通知（市车改办〔2020〕22）号</w:t>
      </w:r>
    </w:p>
    <w:p>
      <w:pPr>
        <w:pStyle w:val="46"/>
      </w:pPr>
      <w:bookmarkStart w:id="8" w:name="_Toc119055388"/>
      <w:r>
        <w:rPr>
          <w:rFonts w:hint="eastAsia"/>
        </w:rPr>
        <w:t>术语和定义</w:t>
      </w:r>
      <w:bookmarkEnd w:id="8"/>
    </w:p>
    <w:p>
      <w:pPr>
        <w:pStyle w:val="25"/>
        <w:rPr>
          <w:color w:val="000000"/>
        </w:rPr>
      </w:pPr>
      <w:r>
        <w:rPr>
          <w:rFonts w:hint="eastAsia"/>
        </w:rPr>
        <w:t>本文件没有需要界定的术语和定义。</w:t>
      </w:r>
    </w:p>
    <w:p>
      <w:pPr>
        <w:pStyle w:val="46"/>
      </w:pPr>
      <w:bookmarkStart w:id="9" w:name="_Toc119055389"/>
      <w:bookmarkStart w:id="10" w:name="_Toc118996827"/>
      <w:r>
        <w:rPr>
          <w:rFonts w:hint="eastAsia"/>
        </w:rPr>
        <w:t>标识范围</w:t>
      </w:r>
      <w:bookmarkEnd w:id="9"/>
      <w:bookmarkEnd w:id="10"/>
    </w:p>
    <w:p>
      <w:pPr>
        <w:pStyle w:val="146"/>
      </w:pPr>
      <w:r>
        <w:rPr>
          <w:rFonts w:hint="eastAsia"/>
        </w:rPr>
        <w:t>全省各级党政机关(包括党委、人大、政府、政协、审判、检察机关，各民主党派和工商联，参照公务员法管理的人民团体、群众团体）、各级各类事业单位和国有企业，按规定保留的机要通信、应急用车，调研和接待用车（特殊保障车辆除外），厅局级以下的离退休干部服务用车，生产经营、业务用车，其他生活保障类车辆，执法执勤用车（涉及国家安全、侦查办案等有保密要求的特殊工作用车除外）以及上级部门未作明文要求实施制式标识的行政执法用车和特种专业技术用车。</w:t>
      </w:r>
    </w:p>
    <w:p>
      <w:pPr>
        <w:pStyle w:val="146"/>
      </w:pPr>
      <w:r>
        <w:rPr>
          <w:rFonts w:hint="eastAsia"/>
        </w:rPr>
        <w:t>各级实物保障用车暂不粘贴公务用车标识。</w:t>
      </w:r>
    </w:p>
    <w:p>
      <w:pPr>
        <w:pStyle w:val="46"/>
      </w:pPr>
      <w:bookmarkStart w:id="11" w:name="_Toc119055390"/>
      <w:bookmarkStart w:id="12" w:name="_Toc118996828"/>
      <w:r>
        <w:rPr>
          <w:rFonts w:hint="eastAsia"/>
        </w:rPr>
        <w:t>标识涂装要求</w:t>
      </w:r>
      <w:bookmarkEnd w:id="11"/>
      <w:bookmarkEnd w:id="12"/>
    </w:p>
    <w:p>
      <w:pPr>
        <w:pStyle w:val="43"/>
        <w:spacing w:before="156" w:after="156"/>
      </w:pPr>
      <w:bookmarkStart w:id="13" w:name="_Toc119055391"/>
      <w:bookmarkStart w:id="14" w:name="_Toc118996829"/>
      <w:r>
        <w:t>标识设计</w:t>
      </w:r>
      <w:bookmarkEnd w:id="13"/>
      <w:bookmarkEnd w:id="14"/>
    </w:p>
    <w:p>
      <w:pPr>
        <w:pStyle w:val="147"/>
      </w:pPr>
      <w:r>
        <w:rPr>
          <w:rFonts w:hint="eastAsia"/>
        </w:rPr>
        <w:t>展现河北元素、突出公务用车、明确监督方式、注重防伪扩展。</w:t>
      </w:r>
    </w:p>
    <w:p>
      <w:pPr>
        <w:pStyle w:val="147"/>
      </w:pPr>
      <w:r>
        <w:rPr>
          <w:rFonts w:hint="eastAsia"/>
        </w:rPr>
        <w:t>由机关事务管理</w:t>
      </w:r>
      <w:r>
        <w:rPr>
          <w:rFonts w:hint="eastAsia"/>
          <w:color w:val="FF0000"/>
          <w:lang w:val="en-US" w:eastAsia="zh-CN"/>
        </w:rPr>
        <w:t>中心</w:t>
      </w:r>
      <w:r>
        <w:rPr>
          <w:rFonts w:hint="eastAsia"/>
        </w:rPr>
        <w:t>LOGO、公务用车、监督电话和防伪水印四部分组成。</w:t>
      </w:r>
    </w:p>
    <w:p>
      <w:pPr>
        <w:pStyle w:val="147"/>
      </w:pPr>
      <w:r>
        <w:rPr>
          <w:rFonts w:hint="eastAsia"/>
        </w:rPr>
        <w:t>标识设计风格简约、颜色科学搭配，根据公务用车普遍车型和颜色，采用普通车牌色为基本色调。</w:t>
      </w:r>
    </w:p>
    <w:p>
      <w:pPr>
        <w:pStyle w:val="147"/>
      </w:pPr>
      <w:r>
        <w:rPr>
          <w:rFonts w:hint="eastAsia"/>
        </w:rPr>
        <w:t>标识采用UV新型材料制作，长度约与A4纸相同，增加反光提示效果和彩色渐变防伪码，防水防晒、不易开裂、不易褪色。</w:t>
      </w:r>
    </w:p>
    <w:p>
      <w:pPr>
        <w:pStyle w:val="43"/>
        <w:spacing w:before="156" w:after="156"/>
      </w:pPr>
      <w:bookmarkStart w:id="15" w:name="_Toc118996830"/>
      <w:bookmarkStart w:id="16" w:name="_Toc119055392"/>
      <w:r>
        <w:t>放置位置</w:t>
      </w:r>
      <w:bookmarkEnd w:id="15"/>
      <w:bookmarkEnd w:id="16"/>
    </w:p>
    <w:p>
      <w:pPr>
        <w:pStyle w:val="25"/>
      </w:pPr>
      <w:r>
        <w:rPr>
          <w:rFonts w:hint="eastAsia"/>
        </w:rPr>
        <w:t>标识粘贴在公务用车的正、副驾驶车门左右两侧中间适当位置。</w:t>
      </w:r>
    </w:p>
    <w:p>
      <w:pPr>
        <w:pStyle w:val="43"/>
        <w:spacing w:before="156" w:after="156"/>
      </w:pPr>
      <w:bookmarkStart w:id="17" w:name="_Toc118996831"/>
      <w:bookmarkStart w:id="18" w:name="_Toc119055393"/>
      <w:r>
        <w:t>字体</w:t>
      </w:r>
      <w:bookmarkEnd w:id="17"/>
      <w:bookmarkEnd w:id="18"/>
    </w:p>
    <w:p>
      <w:pPr>
        <w:pStyle w:val="147"/>
      </w:pPr>
      <w:r>
        <w:rPr>
          <w:rFonts w:hint="eastAsia"/>
        </w:rPr>
        <w:t>浅色车辆采用矩形标识，白底蓝字，字体为隶书体，标识大小为30cm×15cm，其中“监督电话”字的大小为1.6cm×1.6cm，“公务用车”字的大小为4.6cm×4.6cm。</w:t>
      </w:r>
    </w:p>
    <w:p>
      <w:pPr>
        <w:pStyle w:val="147"/>
      </w:pPr>
      <w:r>
        <w:rPr>
          <w:rFonts w:hint="eastAsia"/>
        </w:rPr>
        <w:t>深色车辆采用菱形标识，黑底白字，字体为隶书体，标识大小为30cm×20cm，其中“监督电话”字的大小为1.6cm×1.6cm，“公务用车”字的大小为4.6cm×4.6cm。</w:t>
      </w:r>
    </w:p>
    <w:p>
      <w:pPr>
        <w:pStyle w:val="46"/>
      </w:pPr>
      <w:bookmarkStart w:id="19" w:name="_Toc118996832"/>
      <w:bookmarkStart w:id="20" w:name="_Toc119055394"/>
      <w:r>
        <w:rPr>
          <w:rFonts w:hint="eastAsia"/>
        </w:rPr>
        <w:t>管理</w:t>
      </w:r>
      <w:bookmarkEnd w:id="19"/>
      <w:bookmarkEnd w:id="20"/>
    </w:p>
    <w:p>
      <w:pPr>
        <w:pStyle w:val="146"/>
      </w:pPr>
      <w:r>
        <w:rPr>
          <w:rFonts w:hint="eastAsia"/>
        </w:rPr>
        <w:t>新的公务用车标识涂装时，应填写《河北省公务用车标识化管理情况统计表》（附录A）、《河北省公务用车暂不实行标识化管理申请表》（附录B），报各级公务用车主管部门批准后实施。</w:t>
      </w:r>
    </w:p>
    <w:p>
      <w:pPr>
        <w:pStyle w:val="146"/>
      </w:pPr>
      <w:r>
        <w:rPr>
          <w:rFonts w:hint="eastAsia"/>
        </w:rPr>
        <w:t>中央驻冀垂管单位、省直驻各市垂管单位等更换公务用车标识工作，按照属地化要求执行。</w:t>
      </w:r>
    </w:p>
    <w:p>
      <w:pPr>
        <w:pStyle w:val="146"/>
      </w:pPr>
      <w:r>
        <w:rPr>
          <w:rFonts w:hint="eastAsia"/>
        </w:rPr>
        <w:t>更换新的公务用车标识后，发生损坏的要及时更换，发生重大交通事故和严重机械故障且无法修复需要处置的，要及时清除标识。</w:t>
      </w:r>
    </w:p>
    <w:p>
      <w:pPr>
        <w:pStyle w:val="146"/>
      </w:pPr>
      <w:r>
        <w:rPr>
          <w:rFonts w:hint="eastAsia"/>
        </w:rPr>
        <w:t>新购、更新的公务用车要在上牌后的10个工作日内完成标识粘贴。</w:t>
      </w:r>
    </w:p>
    <w:p>
      <w:pPr>
        <w:pStyle w:val="99"/>
        <w:spacing w:before="156" w:after="156"/>
      </w:pPr>
    </w:p>
    <w:p>
      <w:pPr>
        <w:pStyle w:val="87"/>
        <w:tabs>
          <w:tab w:val="clear" w:pos="0"/>
        </w:tabs>
        <w:spacing w:before="156" w:after="156"/>
      </w:pPr>
    </w:p>
    <w:p>
      <w:pPr>
        <w:pStyle w:val="85"/>
        <w:numPr>
          <w:ilvl w:val="0"/>
          <w:numId w:val="20"/>
        </w:numPr>
      </w:pPr>
      <w:r>
        <w:br w:type="textWrapping"/>
      </w:r>
      <w:bookmarkStart w:id="21" w:name="_Toc118996833"/>
      <w:bookmarkStart w:id="22" w:name="_Toc119055395"/>
      <w:r>
        <w:rPr>
          <w:rFonts w:hint="eastAsia"/>
        </w:rPr>
        <w:t>（规范性）</w:t>
      </w:r>
      <w:r>
        <w:br w:type="textWrapping"/>
      </w:r>
      <w:r>
        <w:rPr>
          <w:rFonts w:hint="eastAsia"/>
        </w:rPr>
        <w:t>公务用车标识化管理情况统计表样式</w:t>
      </w:r>
      <w:bookmarkEnd w:id="21"/>
      <w:bookmarkEnd w:id="22"/>
    </w:p>
    <w:p>
      <w:pPr>
        <w:pStyle w:val="25"/>
        <w:ind w:firstLine="0" w:firstLineChars="0"/>
        <w:jc w:val="left"/>
      </w:pPr>
      <w:r>
        <w:rPr>
          <w:rFonts w:hint="eastAsia"/>
        </w:rPr>
        <w:drawing>
          <wp:inline distT="0" distB="0" distL="0" distR="0">
            <wp:extent cx="5962650" cy="3210560"/>
            <wp:effectExtent l="0" t="0" r="0" b="8890"/>
            <wp:docPr id="1" name="图片 1" descr="360截图202008251617416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360截图20200825161741615"/>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5962650" cy="3210560"/>
                    </a:xfrm>
                    <a:prstGeom prst="rect">
                      <a:avLst/>
                    </a:prstGeom>
                    <a:noFill/>
                    <a:ln>
                      <a:noFill/>
                    </a:ln>
                  </pic:spPr>
                </pic:pic>
              </a:graphicData>
            </a:graphic>
          </wp:inline>
        </w:drawing>
      </w:r>
    </w:p>
    <w:p>
      <w:pPr>
        <w:pStyle w:val="103"/>
        <w:spacing w:before="312" w:after="312"/>
      </w:pPr>
    </w:p>
    <w:p>
      <w:pPr>
        <w:pStyle w:val="99"/>
        <w:spacing w:before="156" w:after="156"/>
      </w:pPr>
    </w:p>
    <w:p>
      <w:pPr>
        <w:pStyle w:val="87"/>
        <w:tabs>
          <w:tab w:val="clear" w:pos="0"/>
        </w:tabs>
        <w:spacing w:before="156" w:after="156"/>
      </w:pPr>
    </w:p>
    <w:p>
      <w:pPr>
        <w:pStyle w:val="85"/>
        <w:numPr>
          <w:ilvl w:val="0"/>
          <w:numId w:val="20"/>
        </w:numPr>
      </w:pPr>
      <w:r>
        <w:br w:type="textWrapping"/>
      </w:r>
      <w:bookmarkStart w:id="23" w:name="_Toc118996834"/>
      <w:bookmarkStart w:id="24" w:name="_Toc119055396"/>
      <w:r>
        <w:rPr>
          <w:rFonts w:hint="eastAsia"/>
        </w:rPr>
        <w:t>（资料性）</w:t>
      </w:r>
      <w:r>
        <w:br w:type="textWrapping"/>
      </w:r>
      <w:r>
        <w:rPr>
          <w:rFonts w:hint="eastAsia"/>
        </w:rPr>
        <w:t>公务用车暂不实行标识化管理申请表</w:t>
      </w:r>
      <w:bookmarkEnd w:id="23"/>
      <w:bookmarkEnd w:id="24"/>
    </w:p>
    <w:p>
      <w:pPr>
        <w:pStyle w:val="25"/>
        <w:ind w:firstLine="0" w:firstLineChars="0"/>
      </w:pPr>
      <w:r>
        <w:rPr>
          <w:rFonts w:hint="eastAsia"/>
        </w:rPr>
        <w:drawing>
          <wp:inline distT="0" distB="0" distL="0" distR="0">
            <wp:extent cx="5933440" cy="3278505"/>
            <wp:effectExtent l="0" t="0" r="0" b="0"/>
            <wp:docPr id="4" name="图片 4" descr="360截图2020082516230606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360截图20200825162306069"/>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5933440" cy="3278505"/>
                    </a:xfrm>
                    <a:prstGeom prst="rect">
                      <a:avLst/>
                    </a:prstGeom>
                    <a:noFill/>
                    <a:ln>
                      <a:noFill/>
                    </a:ln>
                  </pic:spPr>
                </pic:pic>
              </a:graphicData>
            </a:graphic>
          </wp:inline>
        </w:drawing>
      </w:r>
    </w:p>
    <w:p>
      <w:pPr>
        <w:pStyle w:val="131"/>
        <w:framePr w:hAnchor="page" w:x="1470" w:y="8645"/>
      </w:pPr>
      <w:bookmarkStart w:id="25" w:name="_Toc475694868"/>
    </w:p>
    <w:p>
      <w:pPr>
        <w:pStyle w:val="131"/>
        <w:framePr w:hAnchor="page" w:x="1470" w:y="8645"/>
      </w:pPr>
    </w:p>
    <w:bookmarkEnd w:id="25"/>
    <w:p>
      <w:pPr>
        <w:pStyle w:val="149"/>
        <w:numPr>
          <w:ilvl w:val="0"/>
          <w:numId w:val="0"/>
        </w:numPr>
        <w:ind w:firstLine="420"/>
      </w:pPr>
      <w:r>
        <mc:AlternateContent>
          <mc:Choice Requires="wps">
            <w:drawing>
              <wp:anchor distT="0" distB="0" distL="114300" distR="114300" simplePos="0" relativeHeight="251665408" behindDoc="0" locked="0" layoutInCell="1" allowOverlap="1">
                <wp:simplePos x="0" y="0"/>
                <wp:positionH relativeFrom="column">
                  <wp:posOffset>1516380</wp:posOffset>
                </wp:positionH>
                <wp:positionV relativeFrom="paragraph">
                  <wp:posOffset>482600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9.4pt;margin-top:38pt;height:0pt;width:190.5pt;z-index:251665408;mso-width-relative:page;mso-height-relative:page;" filled="f" stroked="t" coordsize="21600,21600" o:gfxdata="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9Q3SM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sectPr>
      <w:footerReference r:id="rId6" w:type="default"/>
      <w:pgSz w:w="11906" w:h="16838"/>
      <w:pgMar w:top="567" w:right="1134" w:bottom="1134" w:left="1418" w:header="1418" w:footer="1134" w:gutter="0"/>
      <w:pgNumType w:fmt="decimal" w:start="142"/>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YC</w:t>
    </w:r>
    <w:r>
      <w:rPr>
        <w:rFonts w:hint="eastAsia"/>
      </w:rPr>
      <w:t>.</w:t>
    </w:r>
    <w:r>
      <w:rPr>
        <w:rFonts w:hint="eastAsia"/>
        <w:lang w:val="en-US" w:eastAsia="zh-CN"/>
      </w:rPr>
      <w:t>230.</w:t>
    </w:r>
    <w:r>
      <w:t>005</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CF03A5"/>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3A9"/>
    <w:rsid w:val="000424D6"/>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A7E7E"/>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1EB4"/>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4DF5"/>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2AAB"/>
    <w:rsid w:val="00436B51"/>
    <w:rsid w:val="00445A1D"/>
    <w:rsid w:val="00446B29"/>
    <w:rsid w:val="00453F9A"/>
    <w:rsid w:val="00455CE5"/>
    <w:rsid w:val="00462CEC"/>
    <w:rsid w:val="004672B1"/>
    <w:rsid w:val="00471E91"/>
    <w:rsid w:val="00474675"/>
    <w:rsid w:val="0047470C"/>
    <w:rsid w:val="00482F34"/>
    <w:rsid w:val="00485BDC"/>
    <w:rsid w:val="004874A9"/>
    <w:rsid w:val="00492D95"/>
    <w:rsid w:val="00492FDB"/>
    <w:rsid w:val="00493BC3"/>
    <w:rsid w:val="0049613A"/>
    <w:rsid w:val="004969B2"/>
    <w:rsid w:val="004A35F9"/>
    <w:rsid w:val="004B15D8"/>
    <w:rsid w:val="004B24C1"/>
    <w:rsid w:val="004B6742"/>
    <w:rsid w:val="004C292F"/>
    <w:rsid w:val="004C4440"/>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2C1F"/>
    <w:rsid w:val="00543786"/>
    <w:rsid w:val="0054387C"/>
    <w:rsid w:val="005533D7"/>
    <w:rsid w:val="00557D42"/>
    <w:rsid w:val="0056293D"/>
    <w:rsid w:val="00564C39"/>
    <w:rsid w:val="00570354"/>
    <w:rsid w:val="005703DE"/>
    <w:rsid w:val="00570CF6"/>
    <w:rsid w:val="0057196D"/>
    <w:rsid w:val="0057225F"/>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AFE"/>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18B2"/>
    <w:rsid w:val="006D2F81"/>
    <w:rsid w:val="006D3C00"/>
    <w:rsid w:val="006D6CF4"/>
    <w:rsid w:val="006E05BB"/>
    <w:rsid w:val="006E11C4"/>
    <w:rsid w:val="006E2AF4"/>
    <w:rsid w:val="006E3675"/>
    <w:rsid w:val="006E431E"/>
    <w:rsid w:val="006E472A"/>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002E"/>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5E33"/>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4040"/>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15AA"/>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07CB"/>
    <w:rsid w:val="00CB22F3"/>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03A5"/>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0321"/>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0ED3"/>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56424"/>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07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87ACA"/>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8DF3D06"/>
    <w:rsid w:val="2EA8435B"/>
    <w:rsid w:val="33251C93"/>
    <w:rsid w:val="4590011C"/>
    <w:rsid w:val="52331739"/>
    <w:rsid w:val="6EF3DFFD"/>
    <w:rsid w:val="BFFD8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media/image1.jpeg" Type="http://schemas.openxmlformats.org/officeDocument/2006/relationships/image"/><Relationship Id="rId9" Target="media/image2.jpeg" Type="http://schemas.openxmlformats.org/officeDocument/2006/relationships/image"/></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7</Pages>
  <Words>1401</Words>
  <Characters>1504</Characters>
  <Lines>18</Lines>
  <Paragraphs>5</Paragraphs>
  <TotalTime>0</TotalTime>
  <ScaleCrop>false</ScaleCrop>
  <LinksUpToDate>false</LinksUpToDate>
  <CharactersWithSpaces>1650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2022-11-11T18:32:00Z</dcterms:created>
  <dc:creator>董世涛</dc:creator>
  <cp:lastModifiedBy>kylin</cp:lastModifiedBy>
  <cp:lastPrinted>2020-10-13T23:25:00Z</cp:lastPrinted>
  <dcterms:modified xsi:type="dcterms:W3CDTF">2023-03-18T19:40:41Z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319DF4673F2D47B7A793C2F67D43B94B</vt:lpwstr>
  </property>
</Properties>
</file>