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：XZ</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002—2022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pPr>
      <w:r>
        <w:rPr>
          <w:rFonts w:hint="eastAsia"/>
        </w:rPr>
        <w:t>维修改造项目管理规范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7"/>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900876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维修改造项目管理规范</w:t>
      </w:r>
    </w:p>
    <w:p>
      <w:pPr>
        <w:pStyle w:val="46"/>
      </w:pPr>
      <w:bookmarkStart w:id="6" w:name="_Toc119008763"/>
      <w:r>
        <w:rPr>
          <w:rFonts w:hint="eastAsia"/>
        </w:rPr>
        <w:t>范围</w:t>
      </w:r>
      <w:bookmarkEnd w:id="6"/>
    </w:p>
    <w:p>
      <w:pPr>
        <w:pStyle w:val="25"/>
        <w:tabs>
          <w:tab w:val="clear" w:pos="4201"/>
          <w:tab w:val="clear" w:pos="9298"/>
        </w:tabs>
      </w:pPr>
      <w:r>
        <w:rPr>
          <w:rFonts w:hint="eastAsia"/>
        </w:rPr>
        <w:t>本文件规定了维修改造项目的总体要求、质量要求、外部工程管理和维修改造程序的要求。</w:t>
      </w:r>
    </w:p>
    <w:p>
      <w:pPr>
        <w:pStyle w:val="25"/>
      </w:pPr>
      <w:r>
        <w:rPr>
          <w:rFonts w:hint="eastAsia"/>
        </w:rPr>
        <w:t>本文件适用于维修改造项目管理。</w:t>
      </w:r>
    </w:p>
    <w:p>
      <w:pPr>
        <w:pStyle w:val="46"/>
      </w:pPr>
      <w:bookmarkStart w:id="7" w:name="_Toc119008764"/>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JGJ/T 117 民用建筑修缮工程查勘与设计规程</w:t>
      </w:r>
    </w:p>
    <w:p>
      <w:pPr>
        <w:pStyle w:val="46"/>
      </w:pPr>
      <w:bookmarkStart w:id="8" w:name="_Toc119008765"/>
      <w:r>
        <w:rPr>
          <w:rFonts w:hint="eastAsia"/>
        </w:rPr>
        <w:t>术语和定义</w:t>
      </w:r>
      <w:bookmarkEnd w:id="8"/>
    </w:p>
    <w:p>
      <w:pPr>
        <w:pStyle w:val="25"/>
        <w:rPr>
          <w:color w:val="000000"/>
        </w:rPr>
      </w:pPr>
      <w:r>
        <w:rPr>
          <w:rFonts w:hint="eastAsia"/>
        </w:rPr>
        <w:t>本文件没有需要界定的术语和定义。</w:t>
      </w:r>
    </w:p>
    <w:p>
      <w:pPr>
        <w:pStyle w:val="46"/>
      </w:pPr>
      <w:bookmarkStart w:id="9" w:name="_Toc119008766"/>
      <w:r>
        <w:rPr>
          <w:rFonts w:hint="eastAsia"/>
        </w:rPr>
        <w:t>总体要求</w:t>
      </w:r>
      <w:bookmarkEnd w:id="9"/>
    </w:p>
    <w:p>
      <w:pPr>
        <w:pStyle w:val="146"/>
      </w:pPr>
      <w:r>
        <w:rPr>
          <w:rFonts w:hint="eastAsia"/>
        </w:rPr>
        <w:t>应确立维修改造项目的范围和标准，按照国家和上级部门颁发的规范、规定、技术标准、操作规程及设计图纸、文件的要求，精心施工，合理安排，加强管理，保证维修改造项目的优质、低耗。</w:t>
      </w:r>
    </w:p>
    <w:p>
      <w:pPr>
        <w:pStyle w:val="146"/>
      </w:pPr>
      <w:r>
        <w:rPr>
          <w:rFonts w:hint="eastAsia"/>
        </w:rPr>
        <w:t>在施工前做好有关施工方案、施工组织、工程进度、材料和现场监管等方面工作，按有关规程解决施工用水、用电等实际间题。</w:t>
      </w:r>
    </w:p>
    <w:p>
      <w:pPr>
        <w:pStyle w:val="146"/>
      </w:pPr>
      <w:r>
        <w:rPr>
          <w:rFonts w:hint="eastAsia"/>
        </w:rPr>
        <w:t>施工过程中，严把工程质量关，同时，保持道路畅通，场容清洁，料具堆放整齐，安全消防设施齐全。</w:t>
      </w:r>
    </w:p>
    <w:p>
      <w:pPr>
        <w:pStyle w:val="46"/>
      </w:pPr>
      <w:bookmarkStart w:id="10" w:name="_Toc118752990"/>
      <w:bookmarkStart w:id="11" w:name="_Toc119008767"/>
      <w:r>
        <w:t>质量要求</w:t>
      </w:r>
      <w:bookmarkEnd w:id="10"/>
      <w:bookmarkEnd w:id="11"/>
    </w:p>
    <w:p>
      <w:pPr>
        <w:pStyle w:val="146"/>
      </w:pPr>
      <w:r>
        <w:t>行政服务科负责</w:t>
      </w:r>
      <w:r>
        <w:rPr>
          <w:rFonts w:hint="eastAsia"/>
        </w:rPr>
        <w:t>跟进维修改造工程项目外，开展以预防为主的质量检查，监督活动，确保工程质量和验收标准的实施，消除质量隐患。维修改造项目应严格按照施工要求组织施工。竣工后凡检验评定不合格的应整改，不应交付使用。</w:t>
      </w:r>
    </w:p>
    <w:p>
      <w:pPr>
        <w:pStyle w:val="146"/>
      </w:pPr>
      <w:r>
        <w:rPr>
          <w:rFonts w:hint="eastAsia"/>
        </w:rPr>
        <w:t>日常的零星小修，由行政服务科和现场管理人员验收认可。</w:t>
      </w:r>
    </w:p>
    <w:p>
      <w:pPr>
        <w:pStyle w:val="146"/>
      </w:pPr>
      <w:r>
        <w:rPr>
          <w:rFonts w:hint="eastAsia"/>
        </w:rPr>
        <w:t>及时、妥善处理维修改造项目的质量投诉，完善质量管理服务。</w:t>
      </w:r>
    </w:p>
    <w:p>
      <w:pPr>
        <w:pStyle w:val="46"/>
      </w:pPr>
      <w:bookmarkStart w:id="12" w:name="_Toc118752991"/>
      <w:bookmarkStart w:id="13" w:name="_Toc119008768"/>
      <w:r>
        <w:rPr>
          <w:rFonts w:hint="eastAsia"/>
        </w:rPr>
        <w:t>外包工程管理</w:t>
      </w:r>
      <w:bookmarkEnd w:id="12"/>
      <w:bookmarkEnd w:id="13"/>
    </w:p>
    <w:p>
      <w:pPr>
        <w:pStyle w:val="147"/>
        <w:jc w:val="both"/>
      </w:pPr>
      <w:r>
        <w:rPr>
          <w:rFonts w:hint="eastAsia"/>
        </w:rPr>
        <w:t>资质审核：应选择经有关主管部门认可的施工队。</w:t>
      </w:r>
    </w:p>
    <w:p>
      <w:pPr>
        <w:pStyle w:val="147"/>
        <w:jc w:val="both"/>
      </w:pPr>
      <w:r>
        <w:rPr>
          <w:rFonts w:hint="eastAsia"/>
        </w:rPr>
        <w:t>选择队伍：较大的项目，可通过，议标选择资质等级高，维修质量优，服务信誉好、价格合理的承修队伍。确认工程预算和施工方案，由承修单位负责施工。</w:t>
      </w:r>
    </w:p>
    <w:p>
      <w:pPr>
        <w:pStyle w:val="147"/>
      </w:pPr>
      <w:r>
        <w:rPr>
          <w:rFonts w:hint="eastAsia"/>
        </w:rPr>
        <w:t>合同管理：合同是发包方（托修单位，甲方）和承包方（承修单位，乙方）为完成工程，明确各自权利、义务的法律依据，合同内容应明确标的（修理项目，工作），质量（执行的标准），工期，保质期，材料供应，安全与文明施工要求，工程款（金额，付款方法，时间及次数），违约责任。合同须双方签章生效，必要时可进行公证。</w:t>
      </w:r>
    </w:p>
    <w:p>
      <w:pPr>
        <w:pStyle w:val="46"/>
      </w:pPr>
      <w:bookmarkStart w:id="14" w:name="_Toc119008769"/>
      <w:bookmarkStart w:id="15" w:name="_Toc118752992"/>
      <w:r>
        <w:rPr>
          <w:rFonts w:hint="eastAsia"/>
        </w:rPr>
        <w:t>维修改造程序</w:t>
      </w:r>
      <w:bookmarkEnd w:id="14"/>
      <w:bookmarkEnd w:id="15"/>
    </w:p>
    <w:p>
      <w:pPr>
        <w:pStyle w:val="43"/>
        <w:spacing w:before="156" w:after="156"/>
        <w:jc w:val="both"/>
      </w:pPr>
      <w:bookmarkStart w:id="16" w:name="_Toc118752993"/>
      <w:bookmarkStart w:id="17" w:name="_Toc119008770"/>
      <w:r>
        <w:rPr>
          <w:rFonts w:hint="eastAsia"/>
        </w:rPr>
        <w:t>项目勘察</w:t>
      </w:r>
      <w:bookmarkEnd w:id="16"/>
      <w:bookmarkEnd w:id="17"/>
    </w:p>
    <w:p>
      <w:pPr>
        <w:pStyle w:val="25"/>
      </w:pPr>
      <w:r>
        <w:rPr>
          <w:rFonts w:hint="eastAsia"/>
        </w:rPr>
        <w:t>行政服务科组织有关人员到现场进行勘察，并将勘察结果及处理意见反馈给分管领导，经过党委会研究确定维修改造项目。</w:t>
      </w:r>
    </w:p>
    <w:p>
      <w:pPr>
        <w:pStyle w:val="43"/>
        <w:spacing w:before="156" w:after="156"/>
        <w:jc w:val="both"/>
      </w:pPr>
      <w:bookmarkStart w:id="18" w:name="_Toc118752994"/>
      <w:bookmarkStart w:id="19" w:name="_Toc119008771"/>
      <w:r>
        <w:rPr>
          <w:rFonts w:hint="eastAsia"/>
        </w:rPr>
        <w:t>施工管理</w:t>
      </w:r>
      <w:bookmarkEnd w:id="18"/>
      <w:bookmarkEnd w:id="19"/>
    </w:p>
    <w:p>
      <w:pPr>
        <w:pStyle w:val="25"/>
      </w:pPr>
      <w:r>
        <w:rPr>
          <w:rFonts w:hint="eastAsia"/>
        </w:rPr>
        <w:t>行政服务科依据项目特点，结合项目的具体情况从入围施工单位中确定施工队伍安排维修。行政服务科负责总体施工管理，监理单位负责工程质量现场控制。</w:t>
      </w:r>
    </w:p>
    <w:p>
      <w:pPr>
        <w:pStyle w:val="43"/>
        <w:spacing w:before="156" w:after="156"/>
        <w:jc w:val="both"/>
      </w:pPr>
      <w:bookmarkStart w:id="20" w:name="_Toc118752995"/>
      <w:bookmarkStart w:id="21" w:name="_Toc119008772"/>
      <w:r>
        <w:rPr>
          <w:rFonts w:hint="eastAsia"/>
        </w:rPr>
        <w:t>材料供应</w:t>
      </w:r>
      <w:bookmarkEnd w:id="20"/>
      <w:bookmarkEnd w:id="21"/>
    </w:p>
    <w:p>
      <w:pPr>
        <w:pStyle w:val="147"/>
        <w:jc w:val="both"/>
      </w:pPr>
      <w:r>
        <w:rPr>
          <w:rFonts w:hint="eastAsia"/>
        </w:rPr>
        <w:t>维修改造项目施工中所需的材料原则上由施工单位自行采购，由行政服务科认质认价，必要时可由行政服务科组织采购供应。行政服务科组织采购的施工材料应报请中心主任同意后实施。</w:t>
      </w:r>
    </w:p>
    <w:p>
      <w:pPr>
        <w:pStyle w:val="147"/>
        <w:jc w:val="both"/>
      </w:pPr>
      <w:r>
        <w:rPr>
          <w:rFonts w:hint="eastAsia"/>
        </w:rPr>
        <w:t>所有施工材料必须符合国家相关质量标准。</w:t>
      </w:r>
    </w:p>
    <w:p>
      <w:pPr>
        <w:pStyle w:val="43"/>
        <w:spacing w:before="156" w:after="156"/>
        <w:jc w:val="both"/>
      </w:pPr>
      <w:bookmarkStart w:id="22" w:name="_Toc119008773"/>
      <w:bookmarkStart w:id="23" w:name="_Toc118752996"/>
      <w:r>
        <w:rPr>
          <w:rFonts w:hint="eastAsia"/>
        </w:rPr>
        <w:t>项目验收</w:t>
      </w:r>
      <w:bookmarkEnd w:id="22"/>
      <w:bookmarkEnd w:id="23"/>
    </w:p>
    <w:p>
      <w:pPr>
        <w:pStyle w:val="25"/>
      </w:pPr>
      <w:r>
        <w:rPr>
          <w:rFonts w:hint="eastAsia"/>
        </w:rPr>
        <w:t>维修改造项目完工后，由行政服务科负责组织监理、项目所在科室有关人员按照国家验收标准和施工协议联合进行认真验收，重点是工程质量，验收合格并填写工程竣工验收单，作为工程结算的凭证之一。</w:t>
      </w:r>
    </w:p>
    <w:p>
      <w:pPr>
        <w:pStyle w:val="43"/>
        <w:spacing w:before="156" w:after="156"/>
        <w:jc w:val="both"/>
      </w:pPr>
      <w:bookmarkStart w:id="24" w:name="_Toc118752997"/>
      <w:bookmarkStart w:id="25" w:name="_Toc119008774"/>
      <w:r>
        <w:rPr>
          <w:rFonts w:hint="eastAsia"/>
        </w:rPr>
        <w:t>项目审核与结算</w:t>
      </w:r>
      <w:bookmarkEnd w:id="24"/>
      <w:bookmarkEnd w:id="25"/>
    </w:p>
    <w:p>
      <w:pPr>
        <w:pStyle w:val="147"/>
        <w:jc w:val="both"/>
      </w:pPr>
      <w:r>
        <w:rPr>
          <w:rFonts w:hint="eastAsia"/>
        </w:rPr>
        <w:t>维修改造项目验收合格后进行工程结算。</w:t>
      </w:r>
    </w:p>
    <w:p>
      <w:pPr>
        <w:pStyle w:val="147"/>
        <w:jc w:val="both"/>
      </w:pPr>
      <w:r>
        <w:rPr>
          <w:rFonts w:hint="eastAsia"/>
        </w:rPr>
        <w:t>维修改造项目竣工后，施工方要做出工程结算，行政服务科委托有资质的造价咨询公司审核工程结算。</w:t>
      </w:r>
    </w:p>
    <w:p>
      <w:pPr>
        <w:pStyle w:val="147"/>
        <w:jc w:val="both"/>
      </w:pPr>
      <w:r>
        <w:rPr>
          <w:rFonts w:hint="eastAsia"/>
        </w:rPr>
        <w:t>行政服务科负责起草工程费用结算报告。</w:t>
      </w:r>
    </w:p>
    <w:p>
      <w:pPr>
        <w:pStyle w:val="147"/>
        <w:jc w:val="both"/>
      </w:pPr>
      <w:r>
        <w:rPr>
          <w:rFonts w:hint="eastAsia"/>
        </w:rPr>
        <w:t>确定项目资金支付来源后，财务科依据工程费用结算审批报告向施工方支付工程费用，并扣除质保金。质保期满，由行政服务科确认无质量问题并经中心主任签字后，财务部方可支付质保金。</w:t>
      </w:r>
    </w:p>
    <w:p>
      <w:pPr>
        <w:pStyle w:val="43"/>
        <w:spacing w:before="156" w:after="156"/>
        <w:jc w:val="both"/>
      </w:pPr>
      <w:bookmarkStart w:id="26" w:name="_Toc118752998"/>
      <w:bookmarkStart w:id="27" w:name="_Toc119008775"/>
      <w:r>
        <w:rPr>
          <w:rFonts w:hint="eastAsia"/>
        </w:rPr>
        <w:t>档案管理</w:t>
      </w:r>
      <w:bookmarkEnd w:id="26"/>
      <w:bookmarkEnd w:id="27"/>
      <w:bookmarkStart w:id="28" w:name="_GoBack"/>
      <w:bookmarkEnd w:id="28"/>
    </w:p>
    <w:p>
      <w:pPr>
        <w:pStyle w:val="147"/>
        <w:jc w:val="both"/>
      </w:pPr>
      <w:r>
        <w:rPr>
          <w:rFonts w:hint="eastAsia"/>
        </w:rPr>
        <w:t>工程竣工后，由施工单位将工程相关资料提交行政服务科进行审核。</w:t>
      </w:r>
    </w:p>
    <w:p>
      <w:pPr>
        <w:pStyle w:val="147"/>
        <w:jc w:val="both"/>
      </w:pPr>
      <w:r>
        <w:rPr>
          <w:rFonts w:hint="eastAsia"/>
        </w:rPr>
        <w:t>工程费用结算审批报告及报告附件由财务科存档，作为工程费用结算依据。</w:t>
      </w:r>
    </w:p>
    <w:p>
      <w:pPr>
        <w:pStyle w:val="147"/>
      </w:pPr>
      <w:r>
        <w:rPr>
          <w:rFonts w:hint="eastAsia"/>
        </w:rPr>
        <w:t>工程竣工资料由工程部整理后存档、保管。</w:t>
      </w:r>
    </w:p>
    <w:p>
      <w:pPr>
        <w:pStyle w:val="149"/>
        <w:numPr>
          <w:ilvl w:val="0"/>
          <w:numId w:val="0"/>
        </w:numPr>
        <w:ind w:firstLine="420"/>
      </w:pPr>
    </w:p>
    <w:p>
      <w:pPr>
        <w:pStyle w:val="131"/>
        <w:framePr w:y="1"/>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8"/>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002—2022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3431"/>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0327"/>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2EA8435B"/>
    <w:rsid w:val="33251C93"/>
    <w:rsid w:val="4590011C"/>
    <w:rsid w:val="52331739"/>
    <w:rsid w:val="7EFD5A63"/>
    <w:rsid w:val="EB8CED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454</Words>
  <Characters>2594</Characters>
  <Lines>21</Lines>
  <Paragraphs>6</Paragraphs>
  <TotalTime>1</TotalTime>
  <ScaleCrop>false</ScaleCrop>
  <LinksUpToDate>false</LinksUpToDate>
  <CharactersWithSpaces>3042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2022-11-11T05:36:00Z</dcterms:created>
  <dc:creator>董世涛</dc:creator>
  <cp:lastModifiedBy>kylin</cp:lastModifiedBy>
  <cp:lastPrinted>2020-10-13T23:25:00Z</cp:lastPrinted>
  <dcterms:modified xsi:type="dcterms:W3CDTF">2023-03-18T19:57:24Z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