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：XZ</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006—2022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pPr>
      <w:r>
        <w:rPr>
          <w:rFonts w:hint="eastAsia"/>
        </w:rPr>
        <w:t>食品安全应急预案</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3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900995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sectPr>
          <w:headerReference r:id="rId4" w:type="default"/>
          <w:footerReference r:id="rId5" w:type="default"/>
          <w:pgSz w:w="11906" w:h="16838"/>
          <w:pgMar w:top="567" w:right="1134" w:bottom="1134" w:left="1418" w:header="1418" w:footer="1134" w:gutter="0"/>
          <w:pgNumType w:fmt="decimal" w:start="32"/>
          <w:cols w:space="425" w:num="1"/>
          <w:formProt w:val="0"/>
          <w:docGrid w:type="lines" w:linePitch="312" w:charSpace="0"/>
        </w:sectPr>
      </w:pPr>
      <w:r>
        <w:br w:type="page"/>
      </w:r>
    </w:p>
    <w:p>
      <w:pPr>
        <w:pStyle w:val="51"/>
      </w:pPr>
      <w:r>
        <w:rPr>
          <w:rFonts w:hint="eastAsia"/>
        </w:rPr>
        <w:t>食品安全应急预案</w:t>
      </w:r>
    </w:p>
    <w:p>
      <w:pPr>
        <w:pStyle w:val="46"/>
      </w:pPr>
      <w:bookmarkStart w:id="6" w:name="_Toc119009951"/>
      <w:r>
        <w:rPr>
          <w:rFonts w:hint="eastAsia"/>
        </w:rPr>
        <w:t>范围</w:t>
      </w:r>
      <w:bookmarkEnd w:id="6"/>
    </w:p>
    <w:p>
      <w:pPr>
        <w:pStyle w:val="25"/>
        <w:rPr>
          <w:rFonts w:hint="eastAsia"/>
        </w:rPr>
      </w:pPr>
      <w:r>
        <w:rPr>
          <w:rFonts w:hint="eastAsia"/>
        </w:rPr>
        <w:t>本文件规定了食品应急的事故分级、应急组织及职责、日常工作、事故应急处理和事故责任追究的要求。</w:t>
      </w:r>
    </w:p>
    <w:p>
      <w:pPr>
        <w:pStyle w:val="25"/>
      </w:pPr>
      <w:r>
        <w:rPr>
          <w:rFonts w:hint="eastAsia"/>
        </w:rPr>
        <w:t>本文件适用于食堂食品安全应急。</w:t>
      </w:r>
    </w:p>
    <w:p>
      <w:pPr>
        <w:pStyle w:val="46"/>
      </w:pPr>
      <w:bookmarkStart w:id="7" w:name="_Toc11900995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《中华人民共和国食品安全法》</w:t>
      </w:r>
    </w:p>
    <w:p>
      <w:pPr>
        <w:pStyle w:val="25"/>
        <w:rPr>
          <w:rFonts w:hint="eastAsia"/>
        </w:rPr>
      </w:pPr>
      <w:r>
        <w:rPr>
          <w:rFonts w:hint="eastAsia"/>
        </w:rPr>
        <w:t>《突发公共卫生事件应急条例》</w:t>
      </w:r>
    </w:p>
    <w:p>
      <w:pPr>
        <w:pStyle w:val="25"/>
        <w:rPr>
          <w:rFonts w:hint="eastAsia"/>
        </w:rPr>
      </w:pPr>
      <w:r>
        <w:rPr>
          <w:rFonts w:hint="eastAsia"/>
        </w:rPr>
        <w:t>《国家重大食品安全事故应急预案》</w:t>
      </w:r>
    </w:p>
    <w:p>
      <w:pPr>
        <w:pStyle w:val="25"/>
      </w:pPr>
      <w:r>
        <w:rPr>
          <w:rFonts w:hint="eastAsia"/>
        </w:rPr>
        <w:t>《食品召回管理规定》</w:t>
      </w:r>
    </w:p>
    <w:p>
      <w:pPr>
        <w:pStyle w:val="46"/>
      </w:pPr>
      <w:bookmarkStart w:id="8" w:name="_Toc119009953"/>
      <w:r>
        <w:rPr>
          <w:rFonts w:hint="eastAsia"/>
        </w:rPr>
        <w:t>术语和定义</w:t>
      </w:r>
      <w:bookmarkEnd w:id="8"/>
    </w:p>
    <w:p>
      <w:pPr>
        <w:pStyle w:val="25"/>
      </w:pPr>
      <w:r>
        <w:rPr>
          <w:rFonts w:hint="eastAsia"/>
        </w:rPr>
        <w:t>本文件没有需要界定的术语和定义。</w:t>
      </w:r>
    </w:p>
    <w:p>
      <w:pPr>
        <w:pStyle w:val="46"/>
      </w:pPr>
      <w:bookmarkStart w:id="9" w:name="_Toc119009954"/>
      <w:bookmarkStart w:id="10" w:name="_Toc118910516"/>
      <w:r>
        <w:rPr>
          <w:rFonts w:hint="eastAsia"/>
        </w:rPr>
        <w:t>事故分级</w:t>
      </w:r>
      <w:bookmarkEnd w:id="9"/>
      <w:bookmarkEnd w:id="10"/>
    </w:p>
    <w:p>
      <w:pPr>
        <w:pStyle w:val="43"/>
        <w:spacing w:before="156" w:after="156"/>
      </w:pPr>
      <w:bookmarkStart w:id="11" w:name="_Toc118910517"/>
      <w:bookmarkStart w:id="12" w:name="_Toc119009955"/>
      <w:r>
        <w:rPr>
          <w:rFonts w:hint="eastAsia"/>
        </w:rPr>
        <w:t>特别重大食品安全事故（Ⅰ级）</w:t>
      </w:r>
      <w:bookmarkEnd w:id="11"/>
      <w:bookmarkEnd w:id="12"/>
    </w:p>
    <w:p>
      <w:pPr>
        <w:pStyle w:val="25"/>
      </w:pPr>
      <w:r>
        <w:rPr>
          <w:rFonts w:hint="eastAsia"/>
        </w:rPr>
        <w:t>符合下列情形之一的，为特别重大食品安全事故：</w:t>
      </w:r>
    </w:p>
    <w:p>
      <w:pPr>
        <w:pStyle w:val="49"/>
      </w:pPr>
      <w:r>
        <w:rPr>
          <w:rFonts w:hint="eastAsia"/>
        </w:rPr>
        <w:t>事件危害特别严重，对2个以上省份造成严重威胁，并有进一步扩散趋势的；</w:t>
      </w:r>
    </w:p>
    <w:p>
      <w:pPr>
        <w:pStyle w:val="49"/>
      </w:pPr>
      <w:r>
        <w:rPr>
          <w:rFonts w:hint="eastAsia"/>
        </w:rPr>
        <w:t>超出事发地省级人民政府处置能力水平的；</w:t>
      </w:r>
    </w:p>
    <w:p>
      <w:pPr>
        <w:pStyle w:val="49"/>
      </w:pPr>
      <w:r>
        <w:rPr>
          <w:rFonts w:hint="eastAsia"/>
        </w:rPr>
        <w:t>发生跨地区（港澳台）、跨国食品安全事件，造成特别严重社会影响的；</w:t>
      </w:r>
    </w:p>
    <w:p>
      <w:pPr>
        <w:pStyle w:val="49"/>
      </w:pPr>
      <w:r>
        <w:rPr>
          <w:rFonts w:hint="eastAsia"/>
        </w:rPr>
        <w:t>国务院认为需要由国务院或国务院授权有关部门负责处理的。</w:t>
      </w:r>
    </w:p>
    <w:p>
      <w:pPr>
        <w:pStyle w:val="43"/>
        <w:spacing w:before="156" w:after="156"/>
      </w:pPr>
      <w:bookmarkStart w:id="13" w:name="_Toc119009956"/>
      <w:bookmarkStart w:id="14" w:name="_Toc118910518"/>
      <w:r>
        <w:rPr>
          <w:rFonts w:hint="eastAsia"/>
        </w:rPr>
        <w:t>重大食品安全事故（Ⅱ级）</w:t>
      </w:r>
      <w:bookmarkEnd w:id="13"/>
      <w:bookmarkEnd w:id="14"/>
    </w:p>
    <w:p>
      <w:pPr>
        <w:pStyle w:val="25"/>
      </w:pPr>
      <w:r>
        <w:rPr>
          <w:rFonts w:hint="eastAsia"/>
        </w:rPr>
        <w:t>符合下列情形之一的，为重大食品安全事故：</w:t>
      </w:r>
    </w:p>
    <w:p>
      <w:pPr>
        <w:pStyle w:val="49"/>
      </w:pPr>
      <w:r>
        <w:rPr>
          <w:rFonts w:hint="eastAsia"/>
        </w:rPr>
        <w:t>事件危害严重，影响范围涉及省内2个以上市级行政区域的；</w:t>
      </w:r>
    </w:p>
    <w:p>
      <w:pPr>
        <w:pStyle w:val="49"/>
      </w:pPr>
      <w:r>
        <w:rPr>
          <w:rFonts w:hint="eastAsia"/>
        </w:rPr>
        <w:t>造成伤害人数100人以上，并出现死亡病例的；</w:t>
      </w:r>
    </w:p>
    <w:p>
      <w:pPr>
        <w:pStyle w:val="49"/>
      </w:pPr>
      <w:r>
        <w:rPr>
          <w:rFonts w:hint="eastAsia"/>
        </w:rPr>
        <w:t>造成10人以上死亡病例的；</w:t>
      </w:r>
    </w:p>
    <w:p>
      <w:pPr>
        <w:pStyle w:val="49"/>
      </w:pPr>
      <w:r>
        <w:rPr>
          <w:rFonts w:hint="eastAsia"/>
        </w:rPr>
        <w:t>省级人民政府认定的重大食品安全事件。</w:t>
      </w:r>
    </w:p>
    <w:p>
      <w:pPr>
        <w:pStyle w:val="43"/>
        <w:spacing w:before="156" w:after="156"/>
      </w:pPr>
      <w:bookmarkStart w:id="15" w:name="_Toc119009957"/>
      <w:bookmarkStart w:id="16" w:name="_Toc118910519"/>
      <w:r>
        <w:rPr>
          <w:rFonts w:hint="eastAsia"/>
        </w:rPr>
        <w:t>较重大食品安全事故（Ⅲ级）</w:t>
      </w:r>
      <w:bookmarkEnd w:id="15"/>
      <w:bookmarkEnd w:id="16"/>
    </w:p>
    <w:p>
      <w:pPr>
        <w:pStyle w:val="25"/>
      </w:pPr>
      <w:r>
        <w:rPr>
          <w:rFonts w:hint="eastAsia"/>
        </w:rPr>
        <w:t>符合下列情形之一的，为较重大食品安全事故：</w:t>
      </w:r>
    </w:p>
    <w:p>
      <w:pPr>
        <w:pStyle w:val="49"/>
      </w:pPr>
      <w:r>
        <w:rPr>
          <w:rFonts w:hint="eastAsia"/>
        </w:rPr>
        <w:t>事件影响范围涉及市级行政区域内2个以上县级区域，给人民群众饮食安全带来严重危害的；</w:t>
      </w:r>
    </w:p>
    <w:p>
      <w:pPr>
        <w:pStyle w:val="49"/>
      </w:pPr>
      <w:r>
        <w:rPr>
          <w:rFonts w:hint="eastAsia"/>
        </w:rPr>
        <w:t>造成伤害人数100人以上，或者出现死亡病例的。</w:t>
      </w:r>
    </w:p>
    <w:p>
      <w:pPr>
        <w:pStyle w:val="49"/>
      </w:pPr>
      <w:r>
        <w:rPr>
          <w:rFonts w:hint="eastAsia"/>
        </w:rPr>
        <w:t>市级人民政府认定的食品安全事件。</w:t>
      </w:r>
    </w:p>
    <w:p>
      <w:pPr>
        <w:pStyle w:val="43"/>
        <w:spacing w:before="156" w:after="156"/>
      </w:pPr>
      <w:bookmarkStart w:id="17" w:name="_Toc118910520"/>
      <w:bookmarkStart w:id="18" w:name="_Toc119009958"/>
      <w:r>
        <w:rPr>
          <w:rFonts w:hint="eastAsia"/>
        </w:rPr>
        <w:t>一般食品安全事故（Ⅳ级）</w:t>
      </w:r>
      <w:bookmarkEnd w:id="17"/>
      <w:bookmarkEnd w:id="18"/>
    </w:p>
    <w:p>
      <w:pPr>
        <w:pStyle w:val="25"/>
      </w:pPr>
      <w:r>
        <w:rPr>
          <w:rFonts w:hint="eastAsia"/>
        </w:rPr>
        <w:t>符合下列情形之一的，为一般食品安全事故：</w:t>
      </w:r>
    </w:p>
    <w:p>
      <w:pPr>
        <w:pStyle w:val="49"/>
      </w:pPr>
      <w:r>
        <w:rPr>
          <w:rFonts w:hint="eastAsia"/>
        </w:rPr>
        <w:t>事件影响范围涉及县级行政区域内2个以上乡镇，给消费者饮食安全带来严重危害的；</w:t>
      </w:r>
    </w:p>
    <w:p>
      <w:pPr>
        <w:pStyle w:val="49"/>
      </w:pPr>
      <w:r>
        <w:rPr>
          <w:rFonts w:hint="eastAsia"/>
        </w:rPr>
        <w:t>造成伤害人数30－99人，未出现死亡病例的。</w:t>
      </w:r>
    </w:p>
    <w:p>
      <w:pPr>
        <w:pStyle w:val="49"/>
      </w:pPr>
      <w:r>
        <w:rPr>
          <w:rFonts w:hint="eastAsia"/>
        </w:rPr>
        <w:t>县级人民政府认定的食品安全事件。</w:t>
      </w:r>
    </w:p>
    <w:p>
      <w:pPr>
        <w:pStyle w:val="43"/>
        <w:spacing w:before="156" w:after="156"/>
      </w:pPr>
      <w:bookmarkStart w:id="19" w:name="_Toc118910521"/>
      <w:bookmarkStart w:id="20" w:name="_Toc119009959"/>
      <w:r>
        <w:rPr>
          <w:rFonts w:hint="eastAsia"/>
        </w:rPr>
        <w:t>较轻食品安全事故（Ⅴ级）</w:t>
      </w:r>
      <w:bookmarkEnd w:id="19"/>
      <w:bookmarkEnd w:id="20"/>
    </w:p>
    <w:p>
      <w:pPr>
        <w:pStyle w:val="25"/>
      </w:pPr>
      <w:r>
        <w:rPr>
          <w:rFonts w:hint="eastAsia"/>
        </w:rPr>
        <w:t>符合下列情形之一的，为较轻食品安全事故：</w:t>
      </w:r>
    </w:p>
    <w:p>
      <w:pPr>
        <w:pStyle w:val="49"/>
      </w:pPr>
      <w:r>
        <w:rPr>
          <w:rFonts w:hint="eastAsia"/>
        </w:rPr>
        <w:t>造成伤害人数30人下，未出现死亡病例的;</w:t>
      </w:r>
    </w:p>
    <w:p>
      <w:pPr>
        <w:pStyle w:val="49"/>
      </w:pPr>
      <w:r>
        <w:rPr>
          <w:rFonts w:hint="eastAsia"/>
        </w:rPr>
        <w:t>给消费者饮食安全带来较严重危害的。</w:t>
      </w:r>
    </w:p>
    <w:p>
      <w:pPr>
        <w:pStyle w:val="49"/>
      </w:pPr>
      <w:r>
        <w:rPr>
          <w:rFonts w:hint="eastAsia"/>
        </w:rPr>
        <w:t>食堂可能发生的事故和紧急情况有：</w:t>
      </w:r>
    </w:p>
    <w:p>
      <w:pPr>
        <w:pStyle w:val="50"/>
      </w:pPr>
      <w:r>
        <w:rPr>
          <w:rFonts w:hint="eastAsia"/>
        </w:rPr>
        <w:t>火灾事故；</w:t>
      </w:r>
    </w:p>
    <w:p>
      <w:pPr>
        <w:pStyle w:val="50"/>
      </w:pPr>
      <w:r>
        <w:rPr>
          <w:rFonts w:hint="eastAsia"/>
        </w:rPr>
        <w:t>水、汽异常情况；</w:t>
      </w:r>
    </w:p>
    <w:p>
      <w:pPr>
        <w:pStyle w:val="50"/>
      </w:pPr>
      <w:r>
        <w:rPr>
          <w:rFonts w:hint="eastAsia"/>
        </w:rPr>
        <w:t>卫生、人员健康异常；</w:t>
      </w:r>
    </w:p>
    <w:p>
      <w:pPr>
        <w:pStyle w:val="50"/>
      </w:pPr>
      <w:r>
        <w:rPr>
          <w:rFonts w:hint="eastAsia"/>
        </w:rPr>
        <w:t>违反操作规范；</w:t>
      </w:r>
    </w:p>
    <w:p>
      <w:pPr>
        <w:pStyle w:val="50"/>
      </w:pPr>
      <w:r>
        <w:rPr>
          <w:rFonts w:hint="eastAsia"/>
        </w:rPr>
        <w:t>其他意外事故的发生（包括投毒等）。</w:t>
      </w:r>
    </w:p>
    <w:p>
      <w:pPr>
        <w:pStyle w:val="46"/>
      </w:pPr>
      <w:bookmarkStart w:id="21" w:name="_Toc119009960"/>
      <w:bookmarkStart w:id="22" w:name="_Toc118910522"/>
      <w:r>
        <w:rPr>
          <w:rFonts w:hint="eastAsia"/>
        </w:rPr>
        <w:t>应急组织及职责</w:t>
      </w:r>
      <w:bookmarkEnd w:id="21"/>
      <w:bookmarkEnd w:id="22"/>
    </w:p>
    <w:p>
      <w:pPr>
        <w:pStyle w:val="146"/>
      </w:pPr>
      <w:r>
        <w:rPr>
          <w:rFonts w:hint="eastAsia"/>
        </w:rPr>
        <w:t>食堂应成立食品安全应急领导小组，统一指挥处理食品安全事件，协调各方力量进行应急救援，控制事态发展。统一组织调查、处理、善后工作，制定整改措施。</w:t>
      </w:r>
    </w:p>
    <w:p>
      <w:pPr>
        <w:pStyle w:val="146"/>
      </w:pPr>
      <w:r>
        <w:t>领导小组下设办公室，全面负责日常工作及领导小组交办的适宜。接到事故报告，立即向领导小组报告，随时掌握应急</w:t>
      </w:r>
      <w:r>
        <w:rPr>
          <w:rFonts w:hint="eastAsia"/>
        </w:rPr>
        <w:t xml:space="preserve"> 进展情况，协调各方关系，保障应急处理工作有序进行。</w:t>
      </w:r>
    </w:p>
    <w:p>
      <w:pPr>
        <w:pStyle w:val="146"/>
      </w:pPr>
      <w:r>
        <w:rPr>
          <w:rFonts w:hint="eastAsia"/>
        </w:rPr>
        <w:t>行政服务科成立监督检查组，负责日常监督检查工作。</w:t>
      </w:r>
    </w:p>
    <w:p>
      <w:pPr>
        <w:pStyle w:val="46"/>
      </w:pPr>
      <w:bookmarkStart w:id="23" w:name="_Toc118910523"/>
      <w:bookmarkStart w:id="24" w:name="_Toc119009961"/>
      <w:r>
        <w:rPr>
          <w:rFonts w:hint="eastAsia"/>
        </w:rPr>
        <w:t>日常工作</w:t>
      </w:r>
      <w:bookmarkEnd w:id="23"/>
      <w:bookmarkEnd w:id="24"/>
      <w:bookmarkStart w:id="53" w:name="_GoBack"/>
      <w:bookmarkEnd w:id="53"/>
    </w:p>
    <w:p>
      <w:pPr>
        <w:pStyle w:val="43"/>
        <w:spacing w:before="156" w:after="156"/>
      </w:pPr>
      <w:bookmarkStart w:id="25" w:name="_Toc119009962"/>
      <w:bookmarkStart w:id="26" w:name="_Toc118910524"/>
      <w:r>
        <w:rPr>
          <w:rFonts w:hint="eastAsia"/>
        </w:rPr>
        <w:t>完善制度</w:t>
      </w:r>
      <w:bookmarkEnd w:id="25"/>
      <w:bookmarkEnd w:id="26"/>
    </w:p>
    <w:p>
      <w:pPr>
        <w:pStyle w:val="25"/>
      </w:pPr>
      <w:r>
        <w:rPr>
          <w:rFonts w:hint="eastAsia"/>
        </w:rPr>
        <w:t>在政府下发有制度和工作意见的基础上，要求对机关食品卫生安全制度进行全面修订完善，并上报行政服务科。</w:t>
      </w:r>
    </w:p>
    <w:p>
      <w:pPr>
        <w:pStyle w:val="43"/>
        <w:spacing w:before="156" w:after="156"/>
      </w:pPr>
      <w:bookmarkStart w:id="27" w:name="_Toc118910525"/>
      <w:bookmarkStart w:id="28" w:name="_Toc119009963"/>
      <w:r>
        <w:rPr>
          <w:rFonts w:hint="eastAsia"/>
        </w:rPr>
        <w:t>强化督查</w:t>
      </w:r>
      <w:bookmarkEnd w:id="27"/>
      <w:bookmarkEnd w:id="28"/>
    </w:p>
    <w:p>
      <w:pPr>
        <w:pStyle w:val="25"/>
      </w:pPr>
      <w:r>
        <w:rPr>
          <w:rFonts w:hint="eastAsia"/>
        </w:rPr>
        <w:t>在领导小组的具体指导下，由行政服务科牵头，以各项食品卫生制度落实为重点。</w:t>
      </w:r>
    </w:p>
    <w:p>
      <w:pPr>
        <w:pStyle w:val="43"/>
        <w:spacing w:before="156" w:after="156"/>
      </w:pPr>
      <w:bookmarkStart w:id="29" w:name="_Toc119009964"/>
      <w:bookmarkStart w:id="30" w:name="_Toc118910526"/>
      <w:r>
        <w:rPr>
          <w:rFonts w:hint="eastAsia"/>
        </w:rPr>
        <w:t>落实职责</w:t>
      </w:r>
      <w:bookmarkEnd w:id="29"/>
      <w:bookmarkEnd w:id="30"/>
    </w:p>
    <w:p>
      <w:pPr>
        <w:pStyle w:val="25"/>
      </w:pPr>
      <w:r>
        <w:rPr>
          <w:rFonts w:hint="eastAsia"/>
        </w:rPr>
        <w:t>食堂所有人为食品安全第一责任人，安全监督员为直接责任人，食堂管理人员和从业人员分别在自己的岗位职责内负责，实行食品安全事故责任追究制。</w:t>
      </w:r>
    </w:p>
    <w:p>
      <w:pPr>
        <w:pStyle w:val="43"/>
        <w:spacing w:before="156" w:after="156"/>
      </w:pPr>
      <w:bookmarkStart w:id="31" w:name="_Toc118910527"/>
      <w:bookmarkStart w:id="32" w:name="_Toc119009965"/>
      <w:r>
        <w:rPr>
          <w:rFonts w:hint="eastAsia"/>
        </w:rPr>
        <w:t>加强教育</w:t>
      </w:r>
      <w:bookmarkEnd w:id="31"/>
      <w:bookmarkEnd w:id="32"/>
    </w:p>
    <w:p>
      <w:pPr>
        <w:pStyle w:val="25"/>
      </w:pPr>
      <w:r>
        <w:rPr>
          <w:rFonts w:hint="eastAsia"/>
        </w:rPr>
        <w:t>加强食堂从业人员的食品卫生知识的宣传教育，通过举办专题培训班、知识讲座等形式，（从业人员应取得培训合格证和体检合格证方可上岗）丰富卫生知识，增强卫生意识，提高自觉性和责任感。</w:t>
      </w:r>
    </w:p>
    <w:p>
      <w:pPr>
        <w:pStyle w:val="43"/>
        <w:spacing w:before="156" w:after="156"/>
      </w:pPr>
      <w:bookmarkStart w:id="33" w:name="_Toc118910528"/>
      <w:bookmarkStart w:id="34" w:name="_Toc119009966"/>
      <w:r>
        <w:rPr>
          <w:rFonts w:hint="eastAsia"/>
        </w:rPr>
        <w:t>添置设备</w:t>
      </w:r>
      <w:bookmarkEnd w:id="33"/>
      <w:bookmarkEnd w:id="34"/>
    </w:p>
    <w:p>
      <w:pPr>
        <w:pStyle w:val="25"/>
      </w:pPr>
      <w:r>
        <w:rPr>
          <w:rFonts w:hint="eastAsia"/>
        </w:rPr>
        <w:t>食堂要应照配备标准，逐步完善和提高食品卫生设施的配备。</w:t>
      </w:r>
    </w:p>
    <w:p>
      <w:pPr>
        <w:pStyle w:val="46"/>
      </w:pPr>
      <w:bookmarkStart w:id="35" w:name="_Toc119009967"/>
      <w:bookmarkStart w:id="36" w:name="_Toc118910529"/>
      <w:r>
        <w:rPr>
          <w:rFonts w:hint="eastAsia"/>
        </w:rPr>
        <w:t>事故应急处理</w:t>
      </w:r>
      <w:bookmarkEnd w:id="35"/>
      <w:bookmarkEnd w:id="36"/>
    </w:p>
    <w:p>
      <w:pPr>
        <w:pStyle w:val="43"/>
        <w:spacing w:before="156" w:after="156"/>
      </w:pPr>
      <w:bookmarkStart w:id="37" w:name="_Toc118910530"/>
      <w:bookmarkStart w:id="38" w:name="_Toc119009968"/>
      <w:r>
        <w:rPr>
          <w:rFonts w:hint="eastAsia"/>
        </w:rPr>
        <w:t>报告制度</w:t>
      </w:r>
      <w:bookmarkEnd w:id="37"/>
      <w:bookmarkEnd w:id="38"/>
    </w:p>
    <w:p>
      <w:pPr>
        <w:pStyle w:val="147"/>
      </w:pPr>
      <w:r>
        <w:rPr>
          <w:rFonts w:hint="eastAsia"/>
        </w:rPr>
        <w:t>食品卫生安全事故发生后应及时报告。在事故处理中根据实际情况定时报告。</w:t>
      </w:r>
    </w:p>
    <w:p>
      <w:pPr>
        <w:pStyle w:val="147"/>
      </w:pPr>
      <w:r>
        <w:rPr>
          <w:rFonts w:hint="eastAsia"/>
        </w:rPr>
        <w:t>发现少量（5人以下）轻度症状（如呕吐、腹泻）及时打举报电话向监督小组报告，再由监督小组逐级报告。</w:t>
      </w:r>
    </w:p>
    <w:p>
      <w:pPr>
        <w:pStyle w:val="147"/>
      </w:pPr>
      <w:r>
        <w:rPr>
          <w:rFonts w:hint="eastAsia"/>
        </w:rPr>
        <w:t>发现较严重食品卫生事故（指出现严重食物中毒症状者或出现5人以上相同症状的群体发病情况，下同），应立即向领导小组（组长）报告，由领导小组向上级部门及当地政府报告，同时立即启动食品卫生安全应急预案。</w:t>
      </w:r>
    </w:p>
    <w:p>
      <w:pPr>
        <w:pStyle w:val="43"/>
        <w:spacing w:before="156" w:after="156"/>
      </w:pPr>
      <w:bookmarkStart w:id="39" w:name="_Toc119009969"/>
      <w:bookmarkStart w:id="40" w:name="_Toc118910531"/>
      <w:r>
        <w:rPr>
          <w:rFonts w:hint="eastAsia"/>
        </w:rPr>
        <w:t>救援措施</w:t>
      </w:r>
      <w:bookmarkEnd w:id="39"/>
      <w:bookmarkEnd w:id="40"/>
    </w:p>
    <w:p>
      <w:pPr>
        <w:pStyle w:val="25"/>
      </w:pPr>
      <w:r>
        <w:rPr>
          <w:rFonts w:hint="eastAsia"/>
        </w:rPr>
        <w:t>一旦发生较严重食品卫生安全事故，由中心主任负责救援指挥，立即启动应急预案，按照预备方案，组织求援行动。初步摸清症状，群体发病的还应彻查事故原因，排查发病人员，并建立动态性名册，防止遗漏。</w:t>
      </w:r>
    </w:p>
    <w:p>
      <w:pPr>
        <w:pStyle w:val="43"/>
        <w:spacing w:before="156" w:after="156"/>
      </w:pPr>
      <w:bookmarkStart w:id="41" w:name="_Toc119009970"/>
      <w:bookmarkStart w:id="42" w:name="_Toc118910532"/>
      <w:r>
        <w:rPr>
          <w:rFonts w:hint="eastAsia"/>
        </w:rPr>
        <w:t>医疗求援</w:t>
      </w:r>
      <w:bookmarkEnd w:id="41"/>
      <w:bookmarkEnd w:id="42"/>
    </w:p>
    <w:p>
      <w:pPr>
        <w:pStyle w:val="147"/>
      </w:pPr>
      <w:r>
        <w:rPr>
          <w:rFonts w:hint="eastAsia"/>
        </w:rPr>
        <w:t>发生较严重食品卫生安全事故，应立即向就近医疗机构和卫生防疫部门发出医疗求援，并拨打“120”医疗抢救电话。</w:t>
      </w:r>
    </w:p>
    <w:p>
      <w:pPr>
        <w:pStyle w:val="147"/>
      </w:pPr>
      <w:r>
        <w:rPr>
          <w:rFonts w:hint="eastAsia"/>
        </w:rPr>
        <w:t>应及时果断将发病人员送到医院抢救。</w:t>
      </w:r>
    </w:p>
    <w:p>
      <w:pPr>
        <w:pStyle w:val="147"/>
      </w:pPr>
      <w:r>
        <w:rPr>
          <w:rFonts w:hint="eastAsia"/>
        </w:rPr>
        <w:t>主动向医疗人员报告发病情况，做好秩序维护等工作。</w:t>
      </w:r>
    </w:p>
    <w:p>
      <w:pPr>
        <w:pStyle w:val="43"/>
        <w:spacing w:before="156" w:after="156"/>
      </w:pPr>
      <w:bookmarkStart w:id="43" w:name="_Toc118910533"/>
      <w:bookmarkStart w:id="44" w:name="_Toc119009971"/>
      <w:r>
        <w:rPr>
          <w:rFonts w:hint="eastAsia"/>
        </w:rPr>
        <w:t>联系家属</w:t>
      </w:r>
      <w:bookmarkEnd w:id="43"/>
      <w:bookmarkEnd w:id="44"/>
    </w:p>
    <w:p>
      <w:pPr>
        <w:pStyle w:val="147"/>
      </w:pPr>
      <w:r>
        <w:rPr>
          <w:rFonts w:hint="eastAsia"/>
        </w:rPr>
        <w:t>发生较严重食品卫生安全事故，应及时与发病家属取得联系，如实说明发病情况，不盲目猜测。</w:t>
      </w:r>
    </w:p>
    <w:p>
      <w:pPr>
        <w:pStyle w:val="147"/>
      </w:pPr>
      <w:r>
        <w:rPr>
          <w:rFonts w:hint="eastAsia"/>
        </w:rPr>
        <w:t>做好家属思想安抚，防止过激行为发生。</w:t>
      </w:r>
    </w:p>
    <w:p>
      <w:pPr>
        <w:pStyle w:val="147"/>
      </w:pPr>
      <w:r>
        <w:rPr>
          <w:rFonts w:hint="eastAsia"/>
        </w:rPr>
        <w:t>设立家属联络处，及时解答家属提出的问题，力所能及地为家属做好服务工作。</w:t>
      </w:r>
    </w:p>
    <w:p>
      <w:pPr>
        <w:pStyle w:val="43"/>
        <w:spacing w:before="156" w:after="156"/>
      </w:pPr>
      <w:bookmarkStart w:id="45" w:name="_Toc118910534"/>
      <w:bookmarkStart w:id="46" w:name="_Toc119009972"/>
      <w:r>
        <w:rPr>
          <w:rFonts w:hint="eastAsia"/>
        </w:rPr>
        <w:t>病源保护。</w:t>
      </w:r>
      <w:bookmarkEnd w:id="45"/>
      <w:bookmarkEnd w:id="46"/>
    </w:p>
    <w:p>
      <w:pPr>
        <w:pStyle w:val="25"/>
      </w:pPr>
      <w:r>
        <w:rPr>
          <w:rFonts w:hint="eastAsia"/>
        </w:rPr>
        <w:t>发生较严重食品卫生安全事故后，应封存可能造成事故的食品、原材料、加工现场、用具、设备等，收集有关样本，以便及时查找致病原因。</w:t>
      </w:r>
    </w:p>
    <w:p>
      <w:pPr>
        <w:pStyle w:val="43"/>
        <w:spacing w:before="156" w:after="156"/>
      </w:pPr>
      <w:bookmarkStart w:id="47" w:name="_Toc118910535"/>
      <w:bookmarkStart w:id="48" w:name="_Toc119009973"/>
      <w:r>
        <w:rPr>
          <w:rFonts w:hint="eastAsia"/>
        </w:rPr>
        <w:t>人员调度</w:t>
      </w:r>
      <w:bookmarkEnd w:id="47"/>
      <w:bookmarkEnd w:id="48"/>
    </w:p>
    <w:p>
      <w:pPr>
        <w:pStyle w:val="147"/>
      </w:pPr>
      <w:r>
        <w:rPr>
          <w:rFonts w:hint="eastAsia"/>
        </w:rPr>
        <w:t>事故应急处理人员由领导小组组长统一调度，行政服务科具体安排，必要时宜向卫生防疫部门抽调人员支援事故处理。</w:t>
      </w:r>
    </w:p>
    <w:p>
      <w:pPr>
        <w:pStyle w:val="147"/>
      </w:pPr>
      <w:r>
        <w:rPr>
          <w:rFonts w:hint="eastAsia"/>
        </w:rPr>
        <w:t>明确分工，落实职责，听从指挥，确保到位。</w:t>
      </w:r>
    </w:p>
    <w:p>
      <w:pPr>
        <w:pStyle w:val="43"/>
        <w:spacing w:before="156" w:after="156"/>
      </w:pPr>
      <w:bookmarkStart w:id="49" w:name="_Toc118910536"/>
      <w:bookmarkStart w:id="50" w:name="_Toc119009974"/>
      <w:r>
        <w:rPr>
          <w:rFonts w:hint="eastAsia"/>
        </w:rPr>
        <w:t>信息公开</w:t>
      </w:r>
      <w:bookmarkEnd w:id="49"/>
      <w:bookmarkEnd w:id="50"/>
    </w:p>
    <w:p>
      <w:pPr>
        <w:pStyle w:val="25"/>
      </w:pPr>
      <w:r>
        <w:rPr>
          <w:rFonts w:hint="eastAsia"/>
        </w:rPr>
        <w:t>保障员工和家属在事故发生和处理过程中的知情权，及时、准确做好信息公开，并如实向上级部门汇报，不瞒报、谎报。对一些谣传也要及时澄清，避免不必要的误解。</w:t>
      </w:r>
    </w:p>
    <w:p>
      <w:pPr>
        <w:pStyle w:val="46"/>
      </w:pPr>
      <w:bookmarkStart w:id="51" w:name="_Toc118910537"/>
      <w:bookmarkStart w:id="52" w:name="_Toc119009975"/>
      <w:r>
        <w:rPr>
          <w:rFonts w:hint="eastAsia"/>
        </w:rPr>
        <w:t>事故责任追究</w:t>
      </w:r>
      <w:bookmarkEnd w:id="51"/>
      <w:bookmarkEnd w:id="52"/>
    </w:p>
    <w:p>
      <w:pPr>
        <w:pStyle w:val="146"/>
      </w:pPr>
      <w:r>
        <w:rPr>
          <w:rFonts w:hint="eastAsia"/>
        </w:rPr>
        <w:t>对导致事故起因的相关责任人进行严肃追究。</w:t>
      </w:r>
    </w:p>
    <w:p>
      <w:pPr>
        <w:pStyle w:val="146"/>
      </w:pPr>
      <w:r>
        <w:rPr>
          <w:rFonts w:hint="eastAsia"/>
        </w:rPr>
        <w:t>对事故瞒报、谎报和不及时上报的行为进行严肃追究。</w:t>
      </w:r>
    </w:p>
    <w:p>
      <w:pPr>
        <w:pStyle w:val="146"/>
      </w:pPr>
      <w:r>
        <w:rPr>
          <w:rFonts w:hint="eastAsia"/>
        </w:rPr>
        <w:t>对事故处理中的玩忽职守、推委扯皮等影响应急方案顺利实施的行为进行严肃追究。</w:t>
      </w:r>
    </w:p>
    <w:p>
      <w:pPr>
        <w:pStyle w:val="25"/>
      </w:pPr>
    </w:p>
    <w:p>
      <w:pPr>
        <w:pStyle w:val="149"/>
        <w:numPr>
          <w:ilvl w:val="0"/>
          <w:numId w:val="0"/>
        </w:numPr>
        <w:ind w:firstLine="420"/>
      </w:pPr>
    </w:p>
    <w:p>
      <w:pPr>
        <w:pStyle w:val="131"/>
        <w:framePr w:y="1"/>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6" w:type="default"/>
      <w:footerReference r:id="rId7" w:type="default"/>
      <w:pgSz w:w="11906" w:h="16838"/>
      <w:pgMar w:top="567" w:right="1134" w:bottom="1134" w:left="1418" w:header="1418" w:footer="1134" w:gutter="0"/>
      <w:pgNumType w:fmt="decimal" w:start="33"/>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169866006"/>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sdt>
                    <w:sdtPr>
                      <w:id w:val="-1169866006"/>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XZ.</w:t>
    </w:r>
    <w:r>
      <w:rPr>
        <w:rFonts w:hint="eastAsia"/>
        <w:lang w:val="en-US" w:eastAsia="zh-CN"/>
      </w:rPr>
      <w:t>310.</w:t>
    </w:r>
    <w:r>
      <w:t>006—2022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006—2022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4D7"/>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94338"/>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1AB"/>
    <w:rsid w:val="003F4EE0"/>
    <w:rsid w:val="003F5AC7"/>
    <w:rsid w:val="003F7207"/>
    <w:rsid w:val="004009C8"/>
    <w:rsid w:val="00400E9E"/>
    <w:rsid w:val="00402153"/>
    <w:rsid w:val="00402814"/>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69FF"/>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2F4D"/>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1C1E"/>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5C4"/>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738"/>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A8435B"/>
    <w:rsid w:val="33251C93"/>
    <w:rsid w:val="4590011C"/>
    <w:rsid w:val="52331739"/>
    <w:rsid w:val="DBFFF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7</Pages>
  <Words>710</Words>
  <Characters>4047</Characters>
  <Lines>33</Lines>
  <Paragraphs>9</Paragraphs>
  <TotalTime>2</TotalTime>
  <ScaleCrop>false</ScaleCrop>
  <LinksUpToDate>false</LinksUpToDate>
  <CharactersWithSpaces>4748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2022-11-10T21:55:00Z</dcterms:created>
  <dc:creator>董世涛</dc:creator>
  <cp:lastModifiedBy>kylin</cp:lastModifiedBy>
  <cp:lastPrinted>2020-10-13T15:25:00Z</cp:lastPrinted>
  <dcterms:modified xsi:type="dcterms:W3CDTF">2023-03-18T20:01:41Z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