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bookmarkStart w:id="55" w:name="_GoBack"/>
      <w:bookmarkEnd w:id="55"/>
      <w:r>
        <w:rPr>
          <w:rFonts w:hint="eastAsia" w:ascii="Times New Roman"/>
        </w:rPr>
        <w:t xml:space="preserve">邢JG </w:t>
      </w:r>
      <w:r>
        <w:rPr>
          <w:rFonts w:hAnsi="黑体"/>
        </w:rPr>
        <w:t>XZ.</w:t>
      </w:r>
      <w:r>
        <w:rPr>
          <w:rFonts w:hint="eastAsia" w:hAnsi="黑体"/>
          <w:lang w:val="en-US" w:eastAsia="zh-CN"/>
        </w:rPr>
        <w:t>310.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绿化区域植物栽种管理规范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4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10845"/>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rPr>
        <w:t>绿化区域植物栽种管理规范</w:t>
      </w:r>
    </w:p>
    <w:p>
      <w:pPr>
        <w:pStyle w:val="46"/>
      </w:pPr>
      <w:bookmarkStart w:id="6" w:name="_Toc119010846"/>
      <w:r>
        <w:rPr>
          <w:rFonts w:hint="eastAsia"/>
        </w:rPr>
        <w:t>范围</w:t>
      </w:r>
      <w:bookmarkEnd w:id="6"/>
    </w:p>
    <w:p>
      <w:pPr>
        <w:pStyle w:val="25"/>
        <w:rPr>
          <w:rFonts w:hint="eastAsia"/>
        </w:rPr>
      </w:pPr>
      <w:r>
        <w:rPr>
          <w:rFonts w:hint="eastAsia"/>
        </w:rPr>
        <w:t>本文件规定了统管住宅区绿化区域植物栽种要求。</w:t>
      </w:r>
    </w:p>
    <w:p>
      <w:pPr>
        <w:pStyle w:val="25"/>
        <w:tabs>
          <w:tab w:val="clear" w:pos="4201"/>
          <w:tab w:val="clear" w:pos="9298"/>
        </w:tabs>
      </w:pPr>
      <w:r>
        <w:rPr>
          <w:rFonts w:hint="eastAsia"/>
        </w:rPr>
        <w:t>本文件适用于为河北省提供省直统管住宅区绿化区域栽植服务的服务机构。</w:t>
      </w:r>
    </w:p>
    <w:p>
      <w:pPr>
        <w:pStyle w:val="46"/>
      </w:pPr>
      <w:bookmarkStart w:id="7" w:name="_Toc119010847"/>
      <w:r>
        <w:rPr>
          <w:rFonts w:hint="eastAsia"/>
        </w:rPr>
        <w:t>规范性引用文件</w:t>
      </w:r>
      <w:bookmarkEnd w:id="7"/>
    </w:p>
    <w:p>
      <w:pPr>
        <w:pStyle w:val="25"/>
        <w:rPr>
          <w:color w:val="0070C0"/>
        </w:rPr>
      </w:pPr>
      <w:r>
        <w:rPr>
          <w:rFonts w:hint="eastAsia"/>
        </w:rPr>
        <w:t>本文件没有规范性引用文件。</w:t>
      </w:r>
    </w:p>
    <w:p>
      <w:pPr>
        <w:pStyle w:val="46"/>
      </w:pPr>
      <w:bookmarkStart w:id="8" w:name="_Toc119010848"/>
      <w:bookmarkStart w:id="9" w:name="_Toc475694827"/>
      <w:bookmarkStart w:id="10" w:name="_Toc49332304"/>
      <w:r>
        <w:rPr>
          <w:rFonts w:hint="eastAsia"/>
        </w:rPr>
        <w:t>术语和定义</w:t>
      </w:r>
      <w:bookmarkEnd w:id="8"/>
      <w:bookmarkEnd w:id="9"/>
      <w:bookmarkEnd w:id="10"/>
    </w:p>
    <w:p>
      <w:pPr>
        <w:pStyle w:val="25"/>
        <w:rPr>
          <w:color w:val="000000"/>
        </w:rPr>
      </w:pPr>
      <w:r>
        <w:rPr>
          <w:rFonts w:hint="eastAsia"/>
          <w:color w:val="000000"/>
        </w:rPr>
        <w:t>下列术语和定义适用于本文件。</w:t>
      </w:r>
    </w:p>
    <w:p>
      <w:pPr>
        <w:pStyle w:val="146"/>
      </w:pPr>
      <w:bookmarkStart w:id="11" w:name="_Toc49332305"/>
      <w:bookmarkEnd w:id="11"/>
    </w:p>
    <w:p>
      <w:pPr>
        <w:pStyle w:val="148"/>
      </w:pPr>
      <w:r>
        <w:t>绿化栽植工程</w:t>
      </w:r>
    </w:p>
    <w:p>
      <w:pPr>
        <w:pStyle w:val="25"/>
        <w:rPr>
          <w:rFonts w:ascii="Tahoma" w:hAnsi="Tahoma" w:cs="Tahoma"/>
          <w:color w:val="000000"/>
          <w:szCs w:val="21"/>
          <w:shd w:val="clear" w:color="auto" w:fill="FFFFFF"/>
        </w:rPr>
      </w:pPr>
      <w:r>
        <w:t>树木、花卉、草坪、地被、藤本植物等的植物种植工程</w:t>
      </w:r>
      <w:r>
        <w:rPr>
          <w:rFonts w:hint="eastAsia" w:ascii="Tahoma" w:hAnsi="Tahoma" w:cs="Tahoma"/>
          <w:color w:val="000000"/>
          <w:szCs w:val="21"/>
          <w:shd w:val="clear" w:color="auto" w:fill="FFFFFF"/>
        </w:rPr>
        <w:t>。</w:t>
      </w:r>
    </w:p>
    <w:p>
      <w:pPr>
        <w:pStyle w:val="146"/>
        <w:rPr>
          <w:shd w:val="clear" w:color="auto" w:fill="FFFFFF"/>
        </w:rPr>
      </w:pPr>
      <w:bookmarkStart w:id="12" w:name="_Toc49332306"/>
      <w:bookmarkEnd w:id="12"/>
    </w:p>
    <w:p>
      <w:pPr>
        <w:pStyle w:val="25"/>
        <w:rPr>
          <w:rFonts w:ascii="黑体" w:hAnsi="黑体" w:eastAsia="黑体"/>
        </w:rPr>
      </w:pPr>
      <w:r>
        <w:rPr>
          <w:rFonts w:hint="eastAsia" w:ascii="黑体" w:hAnsi="黑体" w:eastAsia="黑体"/>
        </w:rPr>
        <w:t>乔木</w:t>
      </w:r>
    </w:p>
    <w:p>
      <w:pPr>
        <w:pStyle w:val="25"/>
        <w:rPr>
          <w:color w:val="000000"/>
        </w:rPr>
      </w:pPr>
      <w:r>
        <w:t>主干明显而直立，植株高大的木本植物</w:t>
      </w:r>
      <w:r>
        <w:rPr>
          <w:rFonts w:hint="eastAsia"/>
          <w:color w:val="000000"/>
        </w:rPr>
        <w:t>。</w:t>
      </w:r>
    </w:p>
    <w:p>
      <w:pPr>
        <w:pStyle w:val="146"/>
      </w:pPr>
      <w:bookmarkStart w:id="13" w:name="_Toc49332307"/>
      <w:bookmarkEnd w:id="13"/>
    </w:p>
    <w:p>
      <w:pPr>
        <w:pStyle w:val="25"/>
        <w:rPr>
          <w:rFonts w:ascii="黑体" w:hAnsi="黑体" w:eastAsia="黑体"/>
          <w:color w:val="000000"/>
        </w:rPr>
      </w:pPr>
      <w:r>
        <w:rPr>
          <w:rFonts w:hint="eastAsia" w:ascii="黑体" w:hAnsi="黑体" w:eastAsia="黑体"/>
          <w:color w:val="000000"/>
        </w:rPr>
        <w:t>灌木</w:t>
      </w:r>
    </w:p>
    <w:p>
      <w:pPr>
        <w:pStyle w:val="25"/>
        <w:rPr>
          <w:color w:val="000000"/>
        </w:rPr>
      </w:pPr>
      <w:r>
        <w:t>无明显主干或主干甚短，植株相对低矮的木本植物</w:t>
      </w:r>
      <w:r>
        <w:rPr>
          <w:rFonts w:hint="eastAsia"/>
          <w:color w:val="000000"/>
        </w:rPr>
        <w:t>。</w:t>
      </w:r>
    </w:p>
    <w:p>
      <w:pPr>
        <w:pStyle w:val="146"/>
      </w:pPr>
      <w:bookmarkStart w:id="14" w:name="_Toc49332308"/>
      <w:bookmarkEnd w:id="14"/>
    </w:p>
    <w:p>
      <w:pPr>
        <w:pStyle w:val="148"/>
      </w:pPr>
      <w:r>
        <w:t>常绿树</w:t>
      </w:r>
    </w:p>
    <w:p>
      <w:pPr>
        <w:pStyle w:val="25"/>
        <w:rPr>
          <w:rFonts w:ascii="Tahoma" w:hAnsi="Tahoma" w:cs="Tahoma"/>
          <w:color w:val="000000"/>
          <w:szCs w:val="21"/>
          <w:shd w:val="clear" w:color="auto" w:fill="FFFFFF"/>
        </w:rPr>
      </w:pPr>
      <w:r>
        <w:t>终年具有绿叶的树木，包括常绿乔木和常绿灌木</w:t>
      </w:r>
      <w:r>
        <w:rPr>
          <w:rFonts w:hint="eastAsia" w:ascii="Tahoma" w:hAnsi="Tahoma" w:cs="Tahoma"/>
          <w:color w:val="000000"/>
          <w:szCs w:val="21"/>
          <w:shd w:val="clear" w:color="auto" w:fill="FFFFFF"/>
        </w:rPr>
        <w:t>。</w:t>
      </w:r>
    </w:p>
    <w:p>
      <w:pPr>
        <w:pStyle w:val="146"/>
        <w:rPr>
          <w:shd w:val="clear" w:color="auto" w:fill="FFFFFF"/>
        </w:rPr>
      </w:pPr>
      <w:bookmarkStart w:id="15" w:name="_Toc49332309"/>
      <w:bookmarkEnd w:id="15"/>
    </w:p>
    <w:p>
      <w:pPr>
        <w:pStyle w:val="25"/>
        <w:rPr>
          <w:rFonts w:ascii="黑体" w:hAnsi="黑体" w:eastAsia="黑体"/>
        </w:rPr>
      </w:pPr>
      <w:r>
        <w:rPr>
          <w:rFonts w:hint="eastAsia" w:ascii="黑体" w:hAnsi="黑体" w:eastAsia="黑体"/>
        </w:rPr>
        <w:t>落叶树</w:t>
      </w:r>
    </w:p>
    <w:p>
      <w:pPr>
        <w:pStyle w:val="25"/>
        <w:rPr>
          <w:color w:val="000000"/>
        </w:rPr>
      </w:pPr>
      <w:r>
        <w:t>在秋季或者冬季休眠落叶的树木</w:t>
      </w:r>
      <w:r>
        <w:rPr>
          <w:rFonts w:hint="eastAsia"/>
          <w:color w:val="000000"/>
        </w:rPr>
        <w:t>。</w:t>
      </w:r>
    </w:p>
    <w:p>
      <w:pPr>
        <w:pStyle w:val="146"/>
      </w:pPr>
      <w:bookmarkStart w:id="16" w:name="_Toc49332310"/>
      <w:bookmarkEnd w:id="16"/>
    </w:p>
    <w:p>
      <w:pPr>
        <w:pStyle w:val="25"/>
        <w:rPr>
          <w:rFonts w:ascii="黑体" w:hAnsi="黑体" w:eastAsia="黑体"/>
          <w:color w:val="000000"/>
        </w:rPr>
      </w:pPr>
      <w:r>
        <w:rPr>
          <w:rFonts w:hint="eastAsia" w:ascii="黑体" w:hAnsi="黑体" w:eastAsia="黑体"/>
          <w:color w:val="000000"/>
        </w:rPr>
        <w:t>藤本植物</w:t>
      </w:r>
    </w:p>
    <w:p>
      <w:pPr>
        <w:pStyle w:val="25"/>
      </w:pPr>
      <w:r>
        <w:t>茎干细长，不能直立，攀附或垂挂在大树或它物质上生活的植物</w:t>
      </w:r>
      <w:r>
        <w:rPr>
          <w:rFonts w:hint="eastAsia"/>
        </w:rPr>
        <w:t>。</w:t>
      </w:r>
    </w:p>
    <w:p>
      <w:pPr>
        <w:pStyle w:val="146"/>
      </w:pPr>
      <w:bookmarkStart w:id="17" w:name="_Toc49332311"/>
      <w:bookmarkEnd w:id="17"/>
    </w:p>
    <w:p>
      <w:pPr>
        <w:pStyle w:val="148"/>
      </w:pPr>
      <w:r>
        <w:rPr>
          <w:rFonts w:hint="eastAsia"/>
        </w:rPr>
        <w:t>草坪</w:t>
      </w:r>
    </w:p>
    <w:p>
      <w:pPr>
        <w:pStyle w:val="25"/>
        <w:rPr>
          <w:rFonts w:ascii="Tahoma" w:hAnsi="Tahoma" w:cs="Tahoma"/>
          <w:color w:val="000000"/>
          <w:szCs w:val="21"/>
          <w:shd w:val="clear" w:color="auto" w:fill="FFFFFF"/>
        </w:rPr>
      </w:pPr>
      <w:r>
        <w:t>覆盖地面作用的草本植物，一般以禾本科植物为主</w:t>
      </w:r>
      <w:r>
        <w:rPr>
          <w:rFonts w:hint="eastAsia" w:ascii="Tahoma" w:hAnsi="Tahoma" w:cs="Tahoma"/>
          <w:color w:val="000000"/>
          <w:szCs w:val="21"/>
          <w:shd w:val="clear" w:color="auto" w:fill="FFFFFF"/>
        </w:rPr>
        <w:t>。</w:t>
      </w:r>
    </w:p>
    <w:p>
      <w:pPr>
        <w:pStyle w:val="146"/>
        <w:rPr>
          <w:shd w:val="clear" w:color="auto" w:fill="FFFFFF"/>
        </w:rPr>
      </w:pPr>
      <w:bookmarkStart w:id="18" w:name="_Toc49332312"/>
      <w:bookmarkEnd w:id="18"/>
    </w:p>
    <w:p>
      <w:pPr>
        <w:pStyle w:val="25"/>
        <w:rPr>
          <w:rFonts w:ascii="黑体" w:hAnsi="黑体" w:eastAsia="黑体"/>
        </w:rPr>
      </w:pPr>
      <w:r>
        <w:rPr>
          <w:rFonts w:hint="eastAsia" w:ascii="黑体" w:hAnsi="黑体" w:eastAsia="黑体"/>
        </w:rPr>
        <w:t>花卉</w:t>
      </w:r>
    </w:p>
    <w:p>
      <w:pPr>
        <w:pStyle w:val="25"/>
        <w:rPr>
          <w:color w:val="000000"/>
        </w:rPr>
      </w:pPr>
      <w:r>
        <w:t>在绿地中开花的各类植物</w:t>
      </w:r>
      <w:r>
        <w:rPr>
          <w:rFonts w:hint="eastAsia"/>
          <w:color w:val="000000"/>
        </w:rPr>
        <w:t>。</w:t>
      </w:r>
    </w:p>
    <w:p>
      <w:pPr>
        <w:pStyle w:val="146"/>
      </w:pPr>
      <w:bookmarkStart w:id="19" w:name="_Toc49332313"/>
      <w:bookmarkEnd w:id="19"/>
    </w:p>
    <w:p>
      <w:pPr>
        <w:pStyle w:val="25"/>
        <w:rPr>
          <w:rFonts w:ascii="黑体" w:hAnsi="黑体" w:eastAsia="黑体"/>
          <w:color w:val="000000"/>
        </w:rPr>
      </w:pPr>
      <w:r>
        <w:rPr>
          <w:rFonts w:hint="eastAsia" w:ascii="黑体" w:hAnsi="黑体" w:eastAsia="黑体"/>
          <w:color w:val="000000"/>
        </w:rPr>
        <w:t>客土</w:t>
      </w:r>
    </w:p>
    <w:p>
      <w:pPr>
        <w:pStyle w:val="25"/>
      </w:pPr>
      <w:r>
        <w:t>将栽植地点或种植穴中不适合种植的土壤更换成适合种植的土壤，或掺入某种土壤改善理化性质</w:t>
      </w:r>
      <w:r>
        <w:rPr>
          <w:rFonts w:hint="eastAsia"/>
        </w:rPr>
        <w:t>。</w:t>
      </w:r>
    </w:p>
    <w:p>
      <w:pPr>
        <w:pStyle w:val="146"/>
      </w:pPr>
      <w:bookmarkStart w:id="20" w:name="_Toc49332314"/>
      <w:bookmarkEnd w:id="20"/>
    </w:p>
    <w:p>
      <w:pPr>
        <w:pStyle w:val="25"/>
        <w:rPr>
          <w:rFonts w:ascii="黑体" w:hAnsi="黑体" w:eastAsia="黑体"/>
          <w:color w:val="000000"/>
        </w:rPr>
      </w:pPr>
      <w:r>
        <w:rPr>
          <w:rFonts w:hint="eastAsia" w:ascii="黑体" w:hAnsi="黑体" w:eastAsia="黑体"/>
          <w:color w:val="000000"/>
        </w:rPr>
        <w:t>规则式种植</w:t>
      </w:r>
    </w:p>
    <w:p>
      <w:pPr>
        <w:pStyle w:val="25"/>
      </w:pPr>
      <w:r>
        <w:t>按规则图形对称配植，或排列整齐成行的种植方式</w:t>
      </w:r>
      <w:r>
        <w:rPr>
          <w:rFonts w:hint="eastAsia"/>
        </w:rPr>
        <w:t>。</w:t>
      </w:r>
    </w:p>
    <w:p>
      <w:pPr>
        <w:pStyle w:val="146"/>
      </w:pPr>
      <w:bookmarkStart w:id="21" w:name="_Toc49332315"/>
      <w:bookmarkEnd w:id="21"/>
    </w:p>
    <w:p>
      <w:pPr>
        <w:pStyle w:val="148"/>
      </w:pPr>
      <w:r>
        <w:rPr>
          <w:rFonts w:hint="eastAsia"/>
        </w:rPr>
        <w:t>自然式种植</w:t>
      </w:r>
    </w:p>
    <w:p>
      <w:pPr>
        <w:pStyle w:val="25"/>
        <w:rPr>
          <w:rFonts w:ascii="Tahoma" w:hAnsi="Tahoma" w:cs="Tahoma"/>
          <w:color w:val="000000"/>
          <w:szCs w:val="21"/>
          <w:shd w:val="clear" w:color="auto" w:fill="FFFFFF"/>
        </w:rPr>
      </w:pPr>
      <w:r>
        <w:t>株行距不等，采用不对称的自然配植形式</w:t>
      </w:r>
      <w:r>
        <w:rPr>
          <w:rFonts w:hint="eastAsia" w:ascii="Tahoma" w:hAnsi="Tahoma" w:cs="Tahoma"/>
          <w:color w:val="000000"/>
          <w:szCs w:val="21"/>
          <w:shd w:val="clear" w:color="auto" w:fill="FFFFFF"/>
        </w:rPr>
        <w:t>。</w:t>
      </w:r>
    </w:p>
    <w:p>
      <w:pPr>
        <w:pStyle w:val="146"/>
        <w:rPr>
          <w:shd w:val="clear" w:color="auto" w:fill="FFFFFF"/>
        </w:rPr>
      </w:pPr>
      <w:bookmarkStart w:id="22" w:name="_Toc49332316"/>
      <w:bookmarkEnd w:id="22"/>
    </w:p>
    <w:p>
      <w:pPr>
        <w:pStyle w:val="25"/>
        <w:rPr>
          <w:rFonts w:ascii="黑体" w:hAnsi="黑体" w:eastAsia="黑体"/>
        </w:rPr>
      </w:pPr>
      <w:r>
        <w:rPr>
          <w:rFonts w:hint="eastAsia" w:ascii="黑体" w:hAnsi="黑体" w:eastAsia="黑体"/>
        </w:rPr>
        <w:t>短截</w:t>
      </w:r>
    </w:p>
    <w:p>
      <w:pPr>
        <w:pStyle w:val="25"/>
        <w:rPr>
          <w:color w:val="000000"/>
        </w:rPr>
      </w:pPr>
      <w:r>
        <w:t>从枝条上选留合适的芽后将枝条剪短，以刺激侧芽萌发</w:t>
      </w:r>
      <w:r>
        <w:rPr>
          <w:rFonts w:hint="eastAsia"/>
          <w:color w:val="000000"/>
        </w:rPr>
        <w:t>。</w:t>
      </w:r>
    </w:p>
    <w:p>
      <w:pPr>
        <w:pStyle w:val="146"/>
      </w:pPr>
      <w:bookmarkStart w:id="23" w:name="_Toc49332317"/>
      <w:bookmarkEnd w:id="23"/>
    </w:p>
    <w:p>
      <w:pPr>
        <w:pStyle w:val="25"/>
        <w:rPr>
          <w:rFonts w:ascii="黑体" w:hAnsi="黑体" w:eastAsia="黑体"/>
          <w:color w:val="000000"/>
        </w:rPr>
      </w:pPr>
      <w:r>
        <w:rPr>
          <w:rFonts w:ascii="黑体" w:hAnsi="黑体" w:eastAsia="黑体"/>
          <w:color w:val="000000"/>
        </w:rPr>
        <w:t>分枝点高度</w:t>
      </w:r>
    </w:p>
    <w:p>
      <w:pPr>
        <w:ind w:firstLine="420" w:firstLineChars="200"/>
      </w:pPr>
      <w:r>
        <w:t>乔木从地表面至树冠第一个分枝点的高度。</w:t>
      </w:r>
    </w:p>
    <w:p>
      <w:pPr>
        <w:pStyle w:val="146"/>
      </w:pPr>
      <w:bookmarkStart w:id="24" w:name="_Toc49332318"/>
      <w:bookmarkEnd w:id="24"/>
    </w:p>
    <w:p>
      <w:pPr>
        <w:pStyle w:val="25"/>
        <w:rPr>
          <w:rFonts w:ascii="黑体" w:hAnsi="黑体" w:eastAsia="黑体"/>
          <w:color w:val="000000"/>
        </w:rPr>
      </w:pPr>
      <w:r>
        <w:rPr>
          <w:rFonts w:hint="eastAsia" w:ascii="黑体" w:hAnsi="黑体" w:eastAsia="黑体"/>
          <w:color w:val="000000"/>
        </w:rPr>
        <w:t>成活率</w:t>
      </w:r>
    </w:p>
    <w:p>
      <w:pPr>
        <w:pStyle w:val="25"/>
      </w:pPr>
      <w:r>
        <w:t>树苗种植后成活株数占种植总数的百分比</w:t>
      </w:r>
      <w:r>
        <w:rPr>
          <w:rFonts w:hint="eastAsia"/>
        </w:rPr>
        <w:t>。</w:t>
      </w:r>
    </w:p>
    <w:p>
      <w:pPr>
        <w:pStyle w:val="146"/>
      </w:pPr>
      <w:bookmarkStart w:id="25" w:name="_Toc49332319"/>
      <w:bookmarkEnd w:id="25"/>
    </w:p>
    <w:p>
      <w:pPr>
        <w:pStyle w:val="148"/>
      </w:pPr>
      <w:r>
        <w:rPr>
          <w:rFonts w:hint="eastAsia"/>
        </w:rPr>
        <w:t>后期养护</w:t>
      </w:r>
    </w:p>
    <w:p>
      <w:pPr>
        <w:pStyle w:val="25"/>
        <w:rPr>
          <w:rFonts w:ascii="Tahoma" w:hAnsi="Tahoma" w:cs="Tahoma"/>
          <w:color w:val="000000"/>
          <w:szCs w:val="21"/>
          <w:shd w:val="clear" w:color="auto" w:fill="FFFFFF"/>
        </w:rPr>
      </w:pPr>
      <w:r>
        <w:t>植物定植竣工后</w:t>
      </w:r>
      <w:r>
        <w:rPr>
          <w:rFonts w:hint="eastAsia"/>
        </w:rPr>
        <w:t>（</w:t>
      </w:r>
      <w:r>
        <w:t>或三次浇水后</w:t>
      </w:r>
      <w:r>
        <w:rPr>
          <w:rFonts w:hint="eastAsia"/>
        </w:rPr>
        <w:t>）</w:t>
      </w:r>
      <w:r>
        <w:t>的养护管理，一般养护时间为一年</w:t>
      </w:r>
      <w:r>
        <w:rPr>
          <w:rFonts w:hint="eastAsia" w:ascii="Tahoma" w:hAnsi="Tahoma" w:cs="Tahoma"/>
          <w:color w:val="000000"/>
          <w:szCs w:val="21"/>
          <w:shd w:val="clear" w:color="auto" w:fill="FFFFFF"/>
        </w:rPr>
        <w:t>。</w:t>
      </w:r>
    </w:p>
    <w:p>
      <w:pPr>
        <w:pStyle w:val="46"/>
      </w:pPr>
      <w:bookmarkStart w:id="26" w:name="_Toc119010849"/>
      <w:bookmarkStart w:id="27" w:name="_Toc49332320"/>
      <w:r>
        <w:rPr>
          <w:rFonts w:hint="eastAsia"/>
        </w:rPr>
        <w:t>目的</w:t>
      </w:r>
      <w:bookmarkEnd w:id="26"/>
    </w:p>
    <w:p>
      <w:pPr>
        <w:pStyle w:val="25"/>
      </w:pPr>
      <w:r>
        <w:rPr>
          <w:rFonts w:hint="eastAsia"/>
        </w:rPr>
        <w:t>提高统管小区绿化种植成活率，建造优美园林景观，节约绿化种植资金和资源，突出本土城市园林绿化特色，确保绿化栽植工程施工质量。</w:t>
      </w:r>
    </w:p>
    <w:p>
      <w:pPr>
        <w:pStyle w:val="46"/>
      </w:pPr>
      <w:bookmarkStart w:id="28" w:name="_Toc119010850"/>
      <w:r>
        <w:rPr>
          <w:rFonts w:hint="eastAsia"/>
        </w:rPr>
        <w:t>施工前准备</w:t>
      </w:r>
      <w:bookmarkEnd w:id="27"/>
      <w:bookmarkEnd w:id="28"/>
    </w:p>
    <w:p>
      <w:pPr>
        <w:pStyle w:val="146"/>
        <w:jc w:val="both"/>
      </w:pPr>
      <w:r>
        <w:rPr>
          <w:rFonts w:hint="eastAsia"/>
        </w:rPr>
        <w:t>统管住宅区</w:t>
      </w:r>
      <w:r>
        <w:t>绿化工程必须按照批准的绿化工程设计方案及有关文件施工。施工人员应掌握设计意图，进行工程准备，施工方有义务提出施工的最佳时间建议。</w:t>
      </w:r>
    </w:p>
    <w:p>
      <w:pPr>
        <w:pStyle w:val="146"/>
        <w:jc w:val="both"/>
      </w:pPr>
      <w:r>
        <w:t>施工前，设计单位应向施工单位进行设计交底，施工人员应按设计图进行现场核对，若有不符之处，应提交设计单位变更设计。</w:t>
      </w:r>
    </w:p>
    <w:p>
      <w:pPr>
        <w:pStyle w:val="146"/>
        <w:jc w:val="both"/>
      </w:pPr>
      <w:r>
        <w:t>根据绿化设计要求，选定的种植材料应符合其产品标准及设计要求的规定。</w:t>
      </w:r>
    </w:p>
    <w:p>
      <w:pPr>
        <w:pStyle w:val="146"/>
        <w:jc w:val="both"/>
      </w:pPr>
      <w:r>
        <w:rPr>
          <w:rFonts w:hint="eastAsia"/>
        </w:rPr>
        <w:t>新建统管住宅区</w:t>
      </w:r>
      <w:r>
        <w:t>中的绿化种植，应在主要建筑物、地下管线、道路工程等主体工程完成后进行。</w:t>
      </w:r>
    </w:p>
    <w:p>
      <w:pPr>
        <w:pStyle w:val="46"/>
      </w:pPr>
      <w:bookmarkStart w:id="29" w:name="_Toc49332321"/>
      <w:bookmarkStart w:id="30" w:name="_Toc119010851"/>
      <w:bookmarkStart w:id="31" w:name="_Toc47020164"/>
      <w:r>
        <w:t>种植材料和播种材料</w:t>
      </w:r>
      <w:bookmarkEnd w:id="29"/>
      <w:bookmarkEnd w:id="30"/>
      <w:bookmarkEnd w:id="31"/>
    </w:p>
    <w:p>
      <w:pPr>
        <w:pStyle w:val="43"/>
        <w:spacing w:before="156" w:after="156"/>
      </w:pPr>
      <w:bookmarkStart w:id="32" w:name="_Toc49332322"/>
      <w:bookmarkStart w:id="33" w:name="_Toc119010852"/>
      <w:r>
        <w:t>苗木质量要求</w:t>
      </w:r>
      <w:bookmarkEnd w:id="32"/>
      <w:bookmarkEnd w:id="33"/>
    </w:p>
    <w:p>
      <w:pPr>
        <w:pStyle w:val="147"/>
      </w:pPr>
      <w:r>
        <w:t>苗木本身质量的好坏直接影响着绿化美化效果，为此苗木质量应符合苗木出圃质量标准和设计对苗木质量的要求。具体要求如下</w:t>
      </w:r>
      <w:r>
        <w:rPr>
          <w:rFonts w:hint="eastAsia"/>
        </w:rPr>
        <w:t>：</w:t>
      </w:r>
    </w:p>
    <w:p>
      <w:pPr>
        <w:pStyle w:val="49"/>
      </w:pPr>
      <w:r>
        <w:t>乔木的质量标准</w:t>
      </w:r>
      <w:r>
        <w:rPr>
          <w:rFonts w:hint="eastAsia"/>
        </w:rPr>
        <w:t>：</w:t>
      </w:r>
      <w:r>
        <w:t>树干挺直，不应有明显弯曲，无蛀干害虫和未愈合的机械损伤。树形完整</w:t>
      </w:r>
      <w:r>
        <w:rPr>
          <w:rFonts w:hint="eastAsia"/>
        </w:rPr>
        <w:t>，</w:t>
      </w:r>
      <w:r>
        <w:t>树冠丰满，枝条分布均匀、无严重病虫危害，常绿树叶色正常。根系发育良好、无严重病虫危害，移植时根系或土球大小，应为苗木胸径的8</w:t>
      </w:r>
      <w:r>
        <w:rPr>
          <w:rFonts w:ascii="Arial" w:hAnsi="Arial" w:cs="Arial"/>
          <w:color w:val="333333"/>
          <w:szCs w:val="21"/>
        </w:rPr>
        <w:t>~</w:t>
      </w:r>
      <w:r>
        <w:t>10倍</w:t>
      </w:r>
      <w:r>
        <w:rPr>
          <w:rFonts w:hint="eastAsia"/>
        </w:rPr>
        <w:t>；</w:t>
      </w:r>
    </w:p>
    <w:p>
      <w:pPr>
        <w:pStyle w:val="49"/>
      </w:pPr>
      <w:r>
        <w:t>灌木的质量标准</w:t>
      </w:r>
      <w:r>
        <w:rPr>
          <w:rFonts w:hint="eastAsia"/>
        </w:rPr>
        <w:t>：</w:t>
      </w:r>
      <w:r>
        <w:t>根系发达，生长茁壮，无严重病虫危害，灌丛匀称，枝条分布合理，丛生灌木枝条至少在4</w:t>
      </w:r>
      <w:r>
        <w:rPr>
          <w:rFonts w:ascii="Arial" w:hAnsi="Arial" w:cs="Arial"/>
          <w:color w:val="333333"/>
          <w:szCs w:val="21"/>
        </w:rPr>
        <w:t>~</w:t>
      </w:r>
      <w:r>
        <w:t>5根以上，有主干的灌木主干应明显</w:t>
      </w:r>
      <w:r>
        <w:rPr>
          <w:rFonts w:hint="eastAsia"/>
        </w:rPr>
        <w:t>；</w:t>
      </w:r>
    </w:p>
    <w:p>
      <w:pPr>
        <w:pStyle w:val="49"/>
      </w:pPr>
      <w:r>
        <w:t>绿篱苗的质量标准</w:t>
      </w:r>
      <w:r>
        <w:rPr>
          <w:rFonts w:hint="eastAsia"/>
        </w:rPr>
        <w:t>：</w:t>
      </w:r>
      <w:r>
        <w:t>苗木应树型丰满，枝叶茂密，发育正常，根系发达，无严重病虫危害。</w:t>
      </w:r>
    </w:p>
    <w:p>
      <w:pPr>
        <w:pStyle w:val="147"/>
      </w:pPr>
      <w:r>
        <w:t>露地栽培花卉应符合下列规定</w:t>
      </w:r>
      <w:r>
        <w:rPr>
          <w:rFonts w:hint="eastAsia"/>
        </w:rPr>
        <w:t>：</w:t>
      </w:r>
    </w:p>
    <w:p>
      <w:pPr>
        <w:pStyle w:val="49"/>
      </w:pPr>
      <w:r>
        <w:t>一、二年生花卉，叶簇健壮，色泽明亮</w:t>
      </w:r>
      <w:r>
        <w:rPr>
          <w:rFonts w:hint="eastAsia"/>
        </w:rPr>
        <w:t>；</w:t>
      </w:r>
    </w:p>
    <w:p>
      <w:pPr>
        <w:pStyle w:val="49"/>
      </w:pPr>
      <w:r>
        <w:t>宿根花卉，根系必须完整，无腐烂变质</w:t>
      </w:r>
      <w:r>
        <w:rPr>
          <w:rFonts w:hint="eastAsia"/>
        </w:rPr>
        <w:t>；</w:t>
      </w:r>
    </w:p>
    <w:p>
      <w:pPr>
        <w:pStyle w:val="49"/>
      </w:pPr>
      <w:r>
        <w:t>球根花卉，根茎应健壮、无损伤，幼芽饱满</w:t>
      </w:r>
      <w:r>
        <w:rPr>
          <w:rFonts w:hint="eastAsia"/>
        </w:rPr>
        <w:t>；</w:t>
      </w:r>
    </w:p>
    <w:p>
      <w:pPr>
        <w:pStyle w:val="49"/>
      </w:pPr>
      <w:r>
        <w:t>观叶植物，叶色应鲜艳，叶簇丰满</w:t>
      </w:r>
      <w:r>
        <w:rPr>
          <w:rFonts w:hint="eastAsia"/>
        </w:rPr>
        <w:t>；</w:t>
      </w:r>
    </w:p>
    <w:p>
      <w:pPr>
        <w:pStyle w:val="49"/>
      </w:pPr>
      <w:r>
        <w:t>水生植物，根、茎发育应良好，植株健壮，无病虫害。</w:t>
      </w:r>
    </w:p>
    <w:p>
      <w:pPr>
        <w:pStyle w:val="147"/>
        <w:jc w:val="both"/>
      </w:pPr>
      <w:r>
        <w:t>草坪的质量标准</w:t>
      </w:r>
      <w:r>
        <w:rPr>
          <w:rFonts w:hint="eastAsia"/>
        </w:rPr>
        <w:t>如下：</w:t>
      </w:r>
    </w:p>
    <w:p>
      <w:pPr>
        <w:pStyle w:val="49"/>
      </w:pPr>
      <w:r>
        <w:t>铺栽草坪用的草块及草卷应规格一致，边缘平直，杂草不得超过1%。草块土层厚度宜为1cm</w:t>
      </w:r>
      <w:r>
        <w:rPr>
          <w:rFonts w:ascii="Arial" w:hAnsi="Arial" w:cs="Arial"/>
          <w:color w:val="333333"/>
          <w:szCs w:val="21"/>
        </w:rPr>
        <w:t>~</w:t>
      </w:r>
      <w:r>
        <w:t>5cm</w:t>
      </w:r>
      <w:r>
        <w:rPr>
          <w:rFonts w:hint="eastAsia"/>
        </w:rPr>
        <w:t>，</w:t>
      </w:r>
      <w:r>
        <w:t>草卷土层厚度宜为1cm</w:t>
      </w:r>
      <w:r>
        <w:rPr>
          <w:rFonts w:ascii="Arial" w:hAnsi="Arial" w:cs="Arial"/>
          <w:color w:val="333333"/>
          <w:szCs w:val="21"/>
        </w:rPr>
        <w:t>~</w:t>
      </w:r>
      <w:r>
        <w:t>3cm</w:t>
      </w:r>
      <w:r>
        <w:rPr>
          <w:rFonts w:hint="eastAsia"/>
        </w:rPr>
        <w:t>；</w:t>
      </w:r>
    </w:p>
    <w:p>
      <w:pPr>
        <w:pStyle w:val="49"/>
      </w:pPr>
      <w:r>
        <w:t>植生带厚度不宜超过2mm，植生带材料应为为可降解的环保材料，种子分布应均匀，种子饱满，发芽率应大于90%。</w:t>
      </w:r>
    </w:p>
    <w:p>
      <w:pPr>
        <w:pStyle w:val="147"/>
        <w:jc w:val="both"/>
      </w:pPr>
      <w:r>
        <w:t>地被植物应根系发达、完整，植株生长健壮，无病虫害。</w:t>
      </w:r>
    </w:p>
    <w:p>
      <w:pPr>
        <w:pStyle w:val="147"/>
        <w:jc w:val="both"/>
      </w:pPr>
      <w:r>
        <w:t>藤本(攀援)植物植株形态完整，根系发达、完整，植株生长健壮，无病虫害。</w:t>
      </w:r>
    </w:p>
    <w:p>
      <w:pPr>
        <w:pStyle w:val="43"/>
        <w:spacing w:before="156" w:after="156"/>
        <w:jc w:val="both"/>
      </w:pPr>
      <w:bookmarkStart w:id="34" w:name="_Toc119010853"/>
      <w:bookmarkStart w:id="35" w:name="_Toc49332323"/>
      <w:r>
        <w:t>植物种子的标准</w:t>
      </w:r>
      <w:bookmarkEnd w:id="34"/>
      <w:bookmarkEnd w:id="35"/>
    </w:p>
    <w:p>
      <w:pPr>
        <w:ind w:firstLine="420" w:firstLineChars="200"/>
      </w:pPr>
      <w:r>
        <w:t>播种用的植物种子均应注明品种、品系、产地、生产单位、采收年份、纯净度及发芽率，不得有病虫害。自外地引进种子应有检疫合格证。发芽率达90%以上。</w:t>
      </w:r>
    </w:p>
    <w:p>
      <w:pPr>
        <w:pStyle w:val="46"/>
      </w:pPr>
      <w:bookmarkStart w:id="36" w:name="_Toc49332324"/>
      <w:bookmarkStart w:id="37" w:name="_Toc47020165"/>
      <w:bookmarkStart w:id="38" w:name="_Toc119010854"/>
      <w:r>
        <w:t>种植前土壤处理</w:t>
      </w:r>
      <w:bookmarkEnd w:id="36"/>
      <w:bookmarkEnd w:id="37"/>
      <w:bookmarkEnd w:id="38"/>
    </w:p>
    <w:p>
      <w:pPr>
        <w:pStyle w:val="146"/>
        <w:jc w:val="both"/>
      </w:pPr>
      <w:r>
        <w:t>种植或播种前应对该地区的土壤理化性质进行化验分析，根据所要栽培的植物种类采取相应的土壤消毒和土壤改良技术措施，土壤消毒和土壤改良所使用的材料和药品应为无污染的物质。</w:t>
      </w:r>
    </w:p>
    <w:p>
      <w:pPr>
        <w:pStyle w:val="146"/>
        <w:jc w:val="both"/>
      </w:pPr>
      <w:r>
        <w:t>绿地地形整理应严格按照设计要求进行，地形应自然流畅。</w:t>
      </w:r>
    </w:p>
    <w:p>
      <w:pPr>
        <w:pStyle w:val="146"/>
        <w:jc w:val="both"/>
      </w:pPr>
      <w:r>
        <w:t>平整土地后，应采取实压或洒水等措施以防止尘土飞扬，污染环境。</w:t>
      </w:r>
    </w:p>
    <w:p>
      <w:pPr>
        <w:pStyle w:val="146"/>
      </w:pPr>
      <w:r>
        <w:t>园林植物生长所必需的最低种植土层厚度应符合表</w:t>
      </w:r>
      <w:r>
        <w:rPr>
          <w:rFonts w:hint="eastAsia"/>
        </w:rPr>
        <w:t>1</w:t>
      </w:r>
      <w:r>
        <w:t>的规定。</w:t>
      </w:r>
    </w:p>
    <w:p>
      <w:pPr>
        <w:pStyle w:val="128"/>
        <w:spacing w:before="156" w:after="156"/>
      </w:pPr>
      <w:r>
        <w:t>园林植种植必需的最低土层厚度</w:t>
      </w:r>
    </w:p>
    <w:p>
      <w:pPr>
        <w:pStyle w:val="25"/>
        <w:ind w:right="1132" w:firstLine="360"/>
        <w:jc w:val="right"/>
        <w:rPr>
          <w:sz w:val="18"/>
          <w:szCs w:val="18"/>
        </w:rPr>
      </w:pPr>
      <w:r>
        <w:rPr>
          <w:rFonts w:hint="eastAsia"/>
          <w:sz w:val="18"/>
          <w:szCs w:val="18"/>
        </w:rPr>
        <w:t>单位</w:t>
      </w:r>
      <w:r>
        <w:rPr>
          <w:sz w:val="18"/>
          <w:szCs w:val="18"/>
        </w:rPr>
        <w:t>为厘米</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ascii="宋体" w:hAnsi="宋体" w:cs="Arial"/>
                <w:sz w:val="18"/>
                <w:szCs w:val="18"/>
              </w:rPr>
              <w:t>序号</w:t>
            </w:r>
          </w:p>
        </w:tc>
        <w:tc>
          <w:tcPr>
            <w:tcW w:w="6145" w:type="dxa"/>
            <w:vAlign w:val="center"/>
          </w:tcPr>
          <w:p>
            <w:pPr>
              <w:jc w:val="center"/>
              <w:rPr>
                <w:rFonts w:ascii="宋体" w:hAnsi="宋体" w:cs="Arial"/>
                <w:sz w:val="18"/>
                <w:szCs w:val="18"/>
              </w:rPr>
            </w:pPr>
            <w:r>
              <w:rPr>
                <w:rFonts w:ascii="宋体" w:hAnsi="宋体" w:cs="Arial"/>
                <w:sz w:val="18"/>
                <w:szCs w:val="18"/>
              </w:rPr>
              <w:t>植被类型土层厚度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hint="eastAsia" w:ascii="宋体" w:hAnsi="宋体"/>
                <w:sz w:val="18"/>
                <w:szCs w:val="18"/>
              </w:rPr>
              <w:t>1</w:t>
            </w:r>
          </w:p>
        </w:tc>
        <w:tc>
          <w:tcPr>
            <w:tcW w:w="6145" w:type="dxa"/>
            <w:vAlign w:val="center"/>
          </w:tcPr>
          <w:p>
            <w:pPr>
              <w:jc w:val="center"/>
              <w:rPr>
                <w:rFonts w:ascii="宋体" w:hAnsi="宋体"/>
                <w:sz w:val="18"/>
                <w:szCs w:val="18"/>
              </w:rPr>
            </w:pPr>
            <w:r>
              <w:rPr>
                <w:rFonts w:ascii="宋体" w:hAnsi="宋体" w:cs="Arial"/>
                <w:sz w:val="18"/>
                <w:szCs w:val="18"/>
              </w:rPr>
              <w:t>草本花卉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hint="eastAsia" w:ascii="宋体" w:hAnsi="宋体"/>
                <w:sz w:val="18"/>
                <w:szCs w:val="18"/>
              </w:rPr>
              <w:t>2</w:t>
            </w:r>
          </w:p>
        </w:tc>
        <w:tc>
          <w:tcPr>
            <w:tcW w:w="6145" w:type="dxa"/>
            <w:vAlign w:val="center"/>
          </w:tcPr>
          <w:p>
            <w:pPr>
              <w:jc w:val="center"/>
              <w:rPr>
                <w:rFonts w:ascii="宋体" w:hAnsi="宋体"/>
                <w:sz w:val="18"/>
                <w:szCs w:val="18"/>
              </w:rPr>
            </w:pPr>
            <w:r>
              <w:rPr>
                <w:rFonts w:ascii="宋体" w:hAnsi="宋体" w:cs="Arial"/>
                <w:sz w:val="18"/>
                <w:szCs w:val="18"/>
              </w:rPr>
              <w:t>草坪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3" w:type="dxa"/>
            <w:vAlign w:val="center"/>
          </w:tcPr>
          <w:p>
            <w:pPr>
              <w:jc w:val="center"/>
              <w:rPr>
                <w:rFonts w:ascii="宋体" w:hAnsi="宋体"/>
                <w:sz w:val="18"/>
                <w:szCs w:val="18"/>
              </w:rPr>
            </w:pPr>
            <w:r>
              <w:rPr>
                <w:rFonts w:hint="eastAsia" w:ascii="宋体" w:hAnsi="宋体"/>
                <w:sz w:val="18"/>
                <w:szCs w:val="18"/>
              </w:rPr>
              <w:t>3</w:t>
            </w:r>
          </w:p>
        </w:tc>
        <w:tc>
          <w:tcPr>
            <w:tcW w:w="6145" w:type="dxa"/>
            <w:vAlign w:val="center"/>
          </w:tcPr>
          <w:p>
            <w:pPr>
              <w:jc w:val="center"/>
              <w:rPr>
                <w:rFonts w:ascii="宋体" w:hAnsi="宋体"/>
                <w:sz w:val="18"/>
                <w:szCs w:val="18"/>
              </w:rPr>
            </w:pPr>
            <w:r>
              <w:rPr>
                <w:rFonts w:ascii="宋体" w:hAnsi="宋体" w:cs="Arial"/>
                <w:sz w:val="18"/>
                <w:szCs w:val="18"/>
              </w:rPr>
              <w:t>地被 30</w:t>
            </w:r>
            <w:r>
              <w:rPr>
                <w:rFonts w:ascii="Arial" w:hAnsi="Arial" w:cs="Arial"/>
                <w:szCs w:val="21"/>
              </w:rPr>
              <w:t>~</w:t>
            </w:r>
            <w:r>
              <w:rPr>
                <w:rFonts w:ascii="宋体" w:hAnsi="宋体" w:cs="Arial"/>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hint="eastAsia" w:ascii="宋体" w:hAnsi="宋体"/>
                <w:sz w:val="18"/>
                <w:szCs w:val="18"/>
              </w:rPr>
              <w:t>4</w:t>
            </w:r>
          </w:p>
        </w:tc>
        <w:tc>
          <w:tcPr>
            <w:tcW w:w="6145" w:type="dxa"/>
            <w:vAlign w:val="center"/>
          </w:tcPr>
          <w:p>
            <w:pPr>
              <w:jc w:val="center"/>
              <w:rPr>
                <w:rFonts w:ascii="宋体" w:hAnsi="宋体"/>
                <w:sz w:val="18"/>
                <w:szCs w:val="18"/>
              </w:rPr>
            </w:pPr>
            <w:r>
              <w:rPr>
                <w:rFonts w:ascii="宋体" w:hAnsi="宋体" w:cs="Arial"/>
                <w:sz w:val="18"/>
                <w:szCs w:val="18"/>
              </w:rPr>
              <w:t>小灌木 50</w:t>
            </w:r>
            <w:r>
              <w:rPr>
                <w:rFonts w:ascii="Arial" w:hAnsi="Arial" w:cs="Arial"/>
                <w:szCs w:val="21"/>
              </w:rPr>
              <w:t>~</w:t>
            </w:r>
            <w:r>
              <w:rPr>
                <w:rFonts w:ascii="宋体" w:hAnsi="宋体" w:cs="Arial"/>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hint="eastAsia" w:ascii="宋体" w:hAnsi="宋体"/>
                <w:sz w:val="18"/>
                <w:szCs w:val="18"/>
              </w:rPr>
              <w:t>5</w:t>
            </w:r>
          </w:p>
        </w:tc>
        <w:tc>
          <w:tcPr>
            <w:tcW w:w="6145" w:type="dxa"/>
            <w:vAlign w:val="center"/>
          </w:tcPr>
          <w:p>
            <w:pPr>
              <w:jc w:val="center"/>
              <w:rPr>
                <w:rFonts w:ascii="宋体" w:hAnsi="宋体"/>
                <w:sz w:val="18"/>
                <w:szCs w:val="18"/>
              </w:rPr>
            </w:pPr>
            <w:r>
              <w:rPr>
                <w:rFonts w:ascii="宋体" w:hAnsi="宋体" w:cs="Arial"/>
                <w:sz w:val="18"/>
                <w:szCs w:val="18"/>
              </w:rPr>
              <w:t>大灌木 80</w:t>
            </w:r>
            <w:r>
              <w:rPr>
                <w:rFonts w:ascii="Arial" w:hAnsi="Arial" w:cs="Arial"/>
                <w:szCs w:val="21"/>
              </w:rPr>
              <w:t>~</w:t>
            </w:r>
            <w:r>
              <w:rPr>
                <w:rFonts w:ascii="宋体" w:hAnsi="宋体" w:cs="Arial"/>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jc w:val="center"/>
              <w:rPr>
                <w:rFonts w:ascii="宋体" w:hAnsi="宋体"/>
                <w:sz w:val="18"/>
                <w:szCs w:val="18"/>
              </w:rPr>
            </w:pPr>
            <w:r>
              <w:rPr>
                <w:rFonts w:hint="eastAsia" w:ascii="宋体" w:hAnsi="宋体"/>
                <w:sz w:val="18"/>
                <w:szCs w:val="18"/>
              </w:rPr>
              <w:t>6</w:t>
            </w:r>
          </w:p>
        </w:tc>
        <w:tc>
          <w:tcPr>
            <w:tcW w:w="6145" w:type="dxa"/>
            <w:vAlign w:val="center"/>
          </w:tcPr>
          <w:p>
            <w:pPr>
              <w:jc w:val="center"/>
              <w:rPr>
                <w:rFonts w:ascii="宋体" w:hAnsi="宋体"/>
                <w:sz w:val="18"/>
                <w:szCs w:val="18"/>
              </w:rPr>
            </w:pPr>
            <w:r>
              <w:rPr>
                <w:rFonts w:ascii="宋体" w:hAnsi="宋体" w:cs="Arial"/>
                <w:sz w:val="18"/>
                <w:szCs w:val="18"/>
              </w:rPr>
              <w:t>浅根乔木 100</w:t>
            </w:r>
            <w:r>
              <w:rPr>
                <w:rFonts w:ascii="Arial" w:hAnsi="Arial" w:cs="Arial"/>
                <w:szCs w:val="21"/>
              </w:rPr>
              <w:t>~</w:t>
            </w:r>
            <w:r>
              <w:rPr>
                <w:rFonts w:ascii="宋体" w:hAnsi="宋体" w:cs="Arial"/>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3" w:type="dxa"/>
            <w:vAlign w:val="center"/>
          </w:tcPr>
          <w:p>
            <w:pPr>
              <w:jc w:val="center"/>
              <w:rPr>
                <w:rFonts w:ascii="宋体" w:hAnsi="宋体"/>
                <w:sz w:val="18"/>
                <w:szCs w:val="18"/>
              </w:rPr>
            </w:pPr>
            <w:r>
              <w:rPr>
                <w:rFonts w:hint="eastAsia" w:ascii="宋体" w:hAnsi="宋体"/>
                <w:sz w:val="18"/>
                <w:szCs w:val="18"/>
              </w:rPr>
              <w:t>7</w:t>
            </w:r>
          </w:p>
        </w:tc>
        <w:tc>
          <w:tcPr>
            <w:tcW w:w="6145" w:type="dxa"/>
            <w:vAlign w:val="center"/>
          </w:tcPr>
          <w:p>
            <w:pPr>
              <w:jc w:val="center"/>
              <w:rPr>
                <w:rFonts w:ascii="宋体" w:hAnsi="宋体"/>
                <w:sz w:val="18"/>
                <w:szCs w:val="18"/>
              </w:rPr>
            </w:pPr>
            <w:r>
              <w:rPr>
                <w:rFonts w:ascii="宋体" w:hAnsi="宋体" w:cs="Arial"/>
                <w:sz w:val="18"/>
                <w:szCs w:val="18"/>
              </w:rPr>
              <w:t>深根乔木 1500或者以上</w:t>
            </w:r>
          </w:p>
        </w:tc>
      </w:tr>
    </w:tbl>
    <w:p>
      <w:pPr>
        <w:pStyle w:val="146"/>
        <w:spacing w:before="156" w:beforeLines="50"/>
      </w:pPr>
      <w:r>
        <w:t>绿地应按设计要求构筑地形。对草坪种植地、花卉种植地、播种地应根据所栽植植物的种类进行土壤肥力的调整，一般翻耕土壤深度为25cm</w:t>
      </w:r>
      <w:r>
        <w:rPr>
          <w:rFonts w:ascii="Arial" w:hAnsi="Arial" w:cs="Arial"/>
          <w:color w:val="333333"/>
        </w:rPr>
        <w:t>~</w:t>
      </w:r>
      <w:r>
        <w:t>30cm，耙细整平，去除杂物，平整度和坡度应符合设计要求。</w:t>
      </w:r>
    </w:p>
    <w:p>
      <w:pPr>
        <w:pStyle w:val="146"/>
      </w:pPr>
      <w:r>
        <w:t>栽培土壤的改良物质应该由不污染环境的材料组成，所有材料不能影响该地环境中生物的生存。</w:t>
      </w:r>
    </w:p>
    <w:p>
      <w:pPr>
        <w:pStyle w:val="46"/>
      </w:pPr>
      <w:bookmarkStart w:id="39" w:name="_Toc47020166"/>
      <w:bookmarkStart w:id="40" w:name="_Toc49332325"/>
      <w:bookmarkStart w:id="41" w:name="_Toc119010855"/>
      <w:r>
        <w:t>种植穴、槽的挖掘</w:t>
      </w:r>
      <w:bookmarkEnd w:id="39"/>
      <w:bookmarkEnd w:id="40"/>
      <w:bookmarkEnd w:id="41"/>
    </w:p>
    <w:p>
      <w:pPr>
        <w:pStyle w:val="146"/>
      </w:pPr>
      <w:r>
        <w:t>种植穴、槽挖掘前，应根据设计图纸，仔细分析地下管线和隐蔽物埋设情况，严格定点放线，确定种植穴、槽位置。</w:t>
      </w:r>
    </w:p>
    <w:p>
      <w:pPr>
        <w:pStyle w:val="146"/>
      </w:pPr>
      <w:r>
        <w:t>种植穴、槽的定点放线应符合下列规定</w:t>
      </w:r>
      <w:r>
        <w:rPr>
          <w:rFonts w:hint="eastAsia"/>
        </w:rPr>
        <w:t>：</w:t>
      </w:r>
    </w:p>
    <w:p>
      <w:pPr>
        <w:pStyle w:val="49"/>
      </w:pPr>
      <w:r>
        <w:t>种植穴、槽定点放线应符合设计图纸要求，位置必须准确，标记明显</w:t>
      </w:r>
      <w:r>
        <w:rPr>
          <w:rFonts w:hint="eastAsia"/>
        </w:rPr>
        <w:t>；</w:t>
      </w:r>
    </w:p>
    <w:p>
      <w:pPr>
        <w:pStyle w:val="49"/>
      </w:pPr>
      <w:r>
        <w:t>种植穴定点时应标明中心点位置。种植槽应标明边线</w:t>
      </w:r>
      <w:r>
        <w:rPr>
          <w:rFonts w:hint="eastAsia"/>
        </w:rPr>
        <w:t>；</w:t>
      </w:r>
    </w:p>
    <w:p>
      <w:pPr>
        <w:pStyle w:val="49"/>
      </w:pPr>
      <w:r>
        <w:t>定点标志应标明树种名称(或代号)、规格</w:t>
      </w:r>
      <w:r>
        <w:rPr>
          <w:rFonts w:hint="eastAsia"/>
        </w:rPr>
        <w:t>；</w:t>
      </w:r>
    </w:p>
    <w:p>
      <w:pPr>
        <w:pStyle w:val="49"/>
      </w:pPr>
      <w:r>
        <w:t>行道树定点遇有障碍物影响株距时，应与设计单位取得联系，进行适当调整。</w:t>
      </w:r>
    </w:p>
    <w:p>
      <w:pPr>
        <w:pStyle w:val="146"/>
        <w:rPr>
          <w:rStyle w:val="37"/>
          <w:b w:val="0"/>
          <w:bCs w:val="0"/>
        </w:rPr>
      </w:pPr>
      <w:r>
        <w:t>挖种植穴、槽的大小，应根据苗木根系、土球直径和土壤情况而定。穴、槽必须垂直下挖，上口下底相等，规格一般应符合表</w:t>
      </w:r>
      <w:r>
        <w:rPr>
          <w:rFonts w:hint="eastAsia"/>
        </w:rPr>
        <w:t>2</w:t>
      </w:r>
      <w:r>
        <w:t>、表</w:t>
      </w:r>
      <w:r>
        <w:rPr>
          <w:rFonts w:hint="eastAsia"/>
        </w:rPr>
        <w:t>3</w:t>
      </w:r>
      <w:r>
        <w:t>、表</w:t>
      </w:r>
      <w:r>
        <w:rPr>
          <w:rFonts w:hint="eastAsia"/>
        </w:rPr>
        <w:t>4</w:t>
      </w:r>
      <w:r>
        <w:t>、表</w:t>
      </w:r>
      <w:r>
        <w:rPr>
          <w:rFonts w:hint="eastAsia"/>
        </w:rPr>
        <w:t>5</w:t>
      </w:r>
      <w:r>
        <w:t>的规定。</w:t>
      </w:r>
    </w:p>
    <w:p>
      <w:pPr>
        <w:pStyle w:val="128"/>
        <w:spacing w:before="156" w:after="156"/>
      </w:pPr>
      <w:r>
        <w:t>常绿乔木类种植穴规格</w:t>
      </w:r>
    </w:p>
    <w:p>
      <w:pPr>
        <w:pStyle w:val="25"/>
        <w:tabs>
          <w:tab w:val="right" w:leader="dot" w:pos="8931"/>
          <w:tab w:val="clear" w:pos="9298"/>
        </w:tabs>
        <w:ind w:right="282" w:firstLine="360"/>
        <w:jc w:val="right"/>
        <w:rPr>
          <w:sz w:val="18"/>
          <w:szCs w:val="18"/>
        </w:rPr>
      </w:pPr>
      <w:r>
        <w:rPr>
          <w:rFonts w:hint="eastAsia"/>
          <w:sz w:val="18"/>
          <w:szCs w:val="18"/>
        </w:rPr>
        <w:t>单位</w:t>
      </w:r>
      <w:r>
        <w:rPr>
          <w:sz w:val="18"/>
          <w:szCs w:val="18"/>
        </w:rPr>
        <w:t>为厘米</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701"/>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jc w:val="center"/>
              <w:rPr>
                <w:rFonts w:ascii="宋体" w:hAnsi="宋体" w:cs="Arial"/>
                <w:sz w:val="18"/>
                <w:szCs w:val="18"/>
              </w:rPr>
            </w:pPr>
            <w:r>
              <w:rPr>
                <w:rFonts w:ascii="宋体" w:hAnsi="宋体" w:cs="Arial"/>
                <w:sz w:val="18"/>
                <w:szCs w:val="18"/>
              </w:rPr>
              <w:t>序号</w:t>
            </w:r>
          </w:p>
        </w:tc>
        <w:tc>
          <w:tcPr>
            <w:tcW w:w="1701" w:type="dxa"/>
          </w:tcPr>
          <w:p>
            <w:pPr>
              <w:jc w:val="center"/>
              <w:rPr>
                <w:rFonts w:ascii="宋体" w:hAnsi="宋体" w:cs="Arial"/>
                <w:sz w:val="18"/>
                <w:szCs w:val="18"/>
              </w:rPr>
            </w:pPr>
            <w:r>
              <w:rPr>
                <w:rFonts w:ascii="宋体" w:hAnsi="宋体" w:cs="Arial"/>
                <w:sz w:val="18"/>
                <w:szCs w:val="18"/>
              </w:rPr>
              <w:t>树 高</w:t>
            </w:r>
          </w:p>
        </w:tc>
        <w:tc>
          <w:tcPr>
            <w:tcW w:w="1992" w:type="dxa"/>
          </w:tcPr>
          <w:p>
            <w:pPr>
              <w:jc w:val="center"/>
              <w:rPr>
                <w:rFonts w:ascii="宋体" w:hAnsi="宋体" w:cs="Arial"/>
                <w:sz w:val="18"/>
                <w:szCs w:val="18"/>
              </w:rPr>
            </w:pPr>
            <w:r>
              <w:rPr>
                <w:rFonts w:ascii="宋体" w:hAnsi="宋体" w:cs="Arial"/>
                <w:sz w:val="18"/>
                <w:szCs w:val="18"/>
              </w:rPr>
              <w:t>土球直径</w:t>
            </w:r>
          </w:p>
        </w:tc>
        <w:tc>
          <w:tcPr>
            <w:tcW w:w="1993" w:type="dxa"/>
          </w:tcPr>
          <w:p>
            <w:pPr>
              <w:jc w:val="center"/>
              <w:rPr>
                <w:rFonts w:ascii="宋体" w:hAnsi="宋体" w:cs="Arial"/>
                <w:sz w:val="18"/>
                <w:szCs w:val="18"/>
              </w:rPr>
            </w:pPr>
            <w:r>
              <w:rPr>
                <w:rFonts w:ascii="宋体" w:hAnsi="宋体" w:cs="Arial"/>
                <w:sz w:val="18"/>
                <w:szCs w:val="18"/>
              </w:rPr>
              <w:t>种植穴深度</w:t>
            </w:r>
          </w:p>
        </w:tc>
        <w:tc>
          <w:tcPr>
            <w:tcW w:w="1993" w:type="dxa"/>
          </w:tcPr>
          <w:p>
            <w:pPr>
              <w:jc w:val="center"/>
              <w:rPr>
                <w:rFonts w:ascii="宋体" w:hAnsi="宋体" w:cs="Arial"/>
                <w:sz w:val="18"/>
                <w:szCs w:val="18"/>
              </w:rPr>
            </w:pPr>
            <w:r>
              <w:rPr>
                <w:rFonts w:ascii="宋体" w:hAnsi="宋体" w:cs="Arial"/>
                <w:sz w:val="18"/>
                <w:szCs w:val="18"/>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jc w:val="center"/>
              <w:rPr>
                <w:rFonts w:ascii="宋体" w:hAnsi="宋体" w:cs="Arial"/>
                <w:sz w:val="18"/>
                <w:szCs w:val="18"/>
              </w:rPr>
            </w:pPr>
            <w:r>
              <w:rPr>
                <w:rFonts w:ascii="宋体" w:hAnsi="宋体" w:cs="Arial"/>
                <w:sz w:val="18"/>
                <w:szCs w:val="18"/>
              </w:rPr>
              <w:t>1</w:t>
            </w:r>
          </w:p>
        </w:tc>
        <w:tc>
          <w:tcPr>
            <w:tcW w:w="1701" w:type="dxa"/>
          </w:tcPr>
          <w:p>
            <w:pPr>
              <w:jc w:val="center"/>
              <w:rPr>
                <w:rFonts w:ascii="宋体" w:hAnsi="宋体" w:cs="Arial"/>
                <w:sz w:val="18"/>
                <w:szCs w:val="18"/>
              </w:rPr>
            </w:pPr>
            <w:r>
              <w:rPr>
                <w:rFonts w:ascii="宋体" w:hAnsi="宋体" w:cs="Arial"/>
                <w:sz w:val="18"/>
                <w:szCs w:val="18"/>
              </w:rPr>
              <w:t>150</w:t>
            </w:r>
          </w:p>
        </w:tc>
        <w:tc>
          <w:tcPr>
            <w:tcW w:w="1992" w:type="dxa"/>
          </w:tcPr>
          <w:p>
            <w:pPr>
              <w:jc w:val="center"/>
              <w:rPr>
                <w:rFonts w:ascii="宋体" w:hAnsi="宋体" w:cs="Arial"/>
                <w:sz w:val="18"/>
                <w:szCs w:val="18"/>
              </w:rPr>
            </w:pPr>
            <w:r>
              <w:rPr>
                <w:rFonts w:ascii="宋体" w:hAnsi="宋体" w:cs="Arial"/>
                <w:sz w:val="18"/>
                <w:szCs w:val="18"/>
              </w:rPr>
              <w:t>40</w:t>
            </w:r>
            <w:r>
              <w:rPr>
                <w:rFonts w:ascii="Arial" w:hAnsi="Arial" w:cs="Arial"/>
                <w:szCs w:val="21"/>
              </w:rPr>
              <w:t>~</w:t>
            </w:r>
            <w:r>
              <w:rPr>
                <w:rFonts w:ascii="宋体" w:hAnsi="宋体" w:cs="Arial"/>
                <w:sz w:val="18"/>
                <w:szCs w:val="18"/>
              </w:rPr>
              <w:t>50</w:t>
            </w:r>
          </w:p>
        </w:tc>
        <w:tc>
          <w:tcPr>
            <w:tcW w:w="1993" w:type="dxa"/>
          </w:tcPr>
          <w:p>
            <w:pPr>
              <w:jc w:val="center"/>
              <w:rPr>
                <w:rFonts w:ascii="宋体" w:hAnsi="宋体" w:cs="Arial"/>
                <w:sz w:val="18"/>
                <w:szCs w:val="18"/>
              </w:rPr>
            </w:pPr>
            <w:r>
              <w:rPr>
                <w:rFonts w:ascii="宋体" w:hAnsi="宋体" w:cs="Arial"/>
                <w:sz w:val="18"/>
                <w:szCs w:val="18"/>
              </w:rPr>
              <w:t>50</w:t>
            </w:r>
            <w:r>
              <w:rPr>
                <w:rFonts w:ascii="Arial" w:hAnsi="Arial" w:cs="Arial"/>
                <w:szCs w:val="21"/>
              </w:rPr>
              <w:t>~</w:t>
            </w:r>
            <w:r>
              <w:rPr>
                <w:rFonts w:ascii="宋体" w:hAnsi="宋体" w:cs="Arial"/>
                <w:sz w:val="18"/>
                <w:szCs w:val="18"/>
              </w:rPr>
              <w:t>60</w:t>
            </w:r>
          </w:p>
        </w:tc>
        <w:tc>
          <w:tcPr>
            <w:tcW w:w="1993" w:type="dxa"/>
          </w:tcPr>
          <w:p>
            <w:pPr>
              <w:jc w:val="center"/>
              <w:rPr>
                <w:rFonts w:ascii="宋体" w:hAnsi="宋体" w:cs="Arial"/>
                <w:sz w:val="18"/>
                <w:szCs w:val="18"/>
              </w:rPr>
            </w:pPr>
            <w:r>
              <w:rPr>
                <w:rFonts w:ascii="宋体" w:hAnsi="宋体" w:cs="Arial"/>
                <w:sz w:val="18"/>
                <w:szCs w:val="18"/>
              </w:rPr>
              <w:t>80</w:t>
            </w:r>
            <w:r>
              <w:rPr>
                <w:rFonts w:ascii="Arial" w:hAnsi="Arial" w:cs="Arial"/>
                <w:szCs w:val="21"/>
              </w:rPr>
              <w:t>~</w:t>
            </w:r>
            <w:r>
              <w:rPr>
                <w:rFonts w:ascii="宋体" w:hAnsi="宋体" w:cs="Arial"/>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jc w:val="center"/>
              <w:rPr>
                <w:rFonts w:ascii="宋体" w:hAnsi="宋体" w:cs="Arial"/>
                <w:sz w:val="18"/>
                <w:szCs w:val="18"/>
              </w:rPr>
            </w:pPr>
            <w:r>
              <w:rPr>
                <w:rFonts w:ascii="宋体" w:hAnsi="宋体" w:cs="Arial"/>
                <w:sz w:val="18"/>
                <w:szCs w:val="18"/>
              </w:rPr>
              <w:t>2</w:t>
            </w:r>
          </w:p>
        </w:tc>
        <w:tc>
          <w:tcPr>
            <w:tcW w:w="1701" w:type="dxa"/>
          </w:tcPr>
          <w:p>
            <w:pPr>
              <w:jc w:val="center"/>
              <w:rPr>
                <w:rFonts w:ascii="宋体" w:hAnsi="宋体" w:cs="Arial"/>
                <w:sz w:val="18"/>
                <w:szCs w:val="18"/>
              </w:rPr>
            </w:pPr>
            <w:r>
              <w:rPr>
                <w:rFonts w:ascii="宋体" w:hAnsi="宋体" w:cs="Arial"/>
                <w:sz w:val="18"/>
                <w:szCs w:val="18"/>
              </w:rPr>
              <w:t>150</w:t>
            </w:r>
            <w:r>
              <w:rPr>
                <w:rFonts w:ascii="Arial" w:hAnsi="Arial" w:cs="Arial"/>
                <w:szCs w:val="21"/>
              </w:rPr>
              <w:t>~</w:t>
            </w:r>
            <w:r>
              <w:rPr>
                <w:rFonts w:ascii="宋体" w:hAnsi="宋体" w:cs="Arial"/>
                <w:sz w:val="18"/>
                <w:szCs w:val="18"/>
              </w:rPr>
              <w:t>250</w:t>
            </w:r>
          </w:p>
        </w:tc>
        <w:tc>
          <w:tcPr>
            <w:tcW w:w="1992" w:type="dxa"/>
          </w:tcPr>
          <w:p>
            <w:pPr>
              <w:jc w:val="center"/>
              <w:rPr>
                <w:rFonts w:ascii="宋体" w:hAnsi="宋体" w:cs="Arial"/>
                <w:sz w:val="18"/>
                <w:szCs w:val="18"/>
              </w:rPr>
            </w:pPr>
            <w:r>
              <w:rPr>
                <w:rFonts w:ascii="宋体" w:hAnsi="宋体" w:cs="Arial"/>
                <w:sz w:val="18"/>
                <w:szCs w:val="18"/>
              </w:rPr>
              <w:t>70</w:t>
            </w:r>
            <w:r>
              <w:rPr>
                <w:rFonts w:ascii="Arial" w:hAnsi="Arial" w:cs="Arial"/>
                <w:szCs w:val="21"/>
              </w:rPr>
              <w:t>~</w:t>
            </w:r>
            <w:r>
              <w:rPr>
                <w:rFonts w:ascii="宋体" w:hAnsi="宋体" w:cs="Arial"/>
                <w:sz w:val="18"/>
                <w:szCs w:val="18"/>
              </w:rPr>
              <w:t>80</w:t>
            </w:r>
          </w:p>
        </w:tc>
        <w:tc>
          <w:tcPr>
            <w:tcW w:w="1993" w:type="dxa"/>
          </w:tcPr>
          <w:p>
            <w:pPr>
              <w:jc w:val="center"/>
              <w:rPr>
                <w:rFonts w:ascii="宋体" w:hAnsi="宋体" w:cs="Arial"/>
                <w:sz w:val="18"/>
                <w:szCs w:val="18"/>
              </w:rPr>
            </w:pPr>
            <w:r>
              <w:rPr>
                <w:rFonts w:ascii="宋体" w:hAnsi="宋体" w:cs="Arial"/>
                <w:sz w:val="18"/>
                <w:szCs w:val="18"/>
              </w:rPr>
              <w:t>80</w:t>
            </w:r>
            <w:r>
              <w:rPr>
                <w:rFonts w:ascii="Arial" w:hAnsi="Arial" w:cs="Arial"/>
                <w:szCs w:val="21"/>
              </w:rPr>
              <w:t>~</w:t>
            </w:r>
            <w:r>
              <w:rPr>
                <w:rFonts w:ascii="宋体" w:hAnsi="宋体" w:cs="Arial"/>
                <w:sz w:val="18"/>
                <w:szCs w:val="18"/>
              </w:rPr>
              <w:t>90</w:t>
            </w:r>
          </w:p>
        </w:tc>
        <w:tc>
          <w:tcPr>
            <w:tcW w:w="1993" w:type="dxa"/>
          </w:tcPr>
          <w:p>
            <w:pPr>
              <w:jc w:val="center"/>
              <w:rPr>
                <w:rFonts w:ascii="宋体" w:hAnsi="宋体" w:cs="Arial"/>
                <w:sz w:val="18"/>
                <w:szCs w:val="18"/>
              </w:rPr>
            </w:pPr>
            <w:r>
              <w:rPr>
                <w:rFonts w:ascii="宋体" w:hAnsi="宋体" w:cs="Arial"/>
                <w:sz w:val="18"/>
                <w:szCs w:val="18"/>
              </w:rPr>
              <w:t>100</w:t>
            </w:r>
            <w:r>
              <w:rPr>
                <w:rFonts w:ascii="Arial" w:hAnsi="Arial" w:cs="Arial"/>
                <w:szCs w:val="21"/>
              </w:rPr>
              <w:t>~</w:t>
            </w:r>
            <w:r>
              <w:rPr>
                <w:rFonts w:ascii="宋体" w:hAnsi="宋体" w:cs="Arial"/>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8" w:type="dxa"/>
          </w:tcPr>
          <w:p>
            <w:pPr>
              <w:jc w:val="center"/>
              <w:rPr>
                <w:rFonts w:ascii="宋体" w:hAnsi="宋体" w:cs="Arial"/>
                <w:sz w:val="18"/>
                <w:szCs w:val="18"/>
              </w:rPr>
            </w:pPr>
            <w:r>
              <w:rPr>
                <w:rFonts w:ascii="宋体" w:hAnsi="宋体" w:cs="Arial"/>
                <w:sz w:val="18"/>
                <w:szCs w:val="18"/>
              </w:rPr>
              <w:t>3</w:t>
            </w:r>
          </w:p>
        </w:tc>
        <w:tc>
          <w:tcPr>
            <w:tcW w:w="1701" w:type="dxa"/>
          </w:tcPr>
          <w:p>
            <w:pPr>
              <w:jc w:val="center"/>
              <w:rPr>
                <w:rFonts w:ascii="宋体" w:hAnsi="宋体" w:cs="Arial"/>
                <w:sz w:val="18"/>
                <w:szCs w:val="18"/>
              </w:rPr>
            </w:pPr>
            <w:r>
              <w:rPr>
                <w:rFonts w:ascii="宋体" w:hAnsi="宋体" w:cs="Arial"/>
                <w:sz w:val="18"/>
                <w:szCs w:val="18"/>
              </w:rPr>
              <w:t>250</w:t>
            </w:r>
            <w:r>
              <w:rPr>
                <w:rFonts w:ascii="Arial" w:hAnsi="Arial" w:cs="Arial"/>
                <w:szCs w:val="21"/>
              </w:rPr>
              <w:t>~</w:t>
            </w:r>
            <w:r>
              <w:rPr>
                <w:rFonts w:ascii="宋体" w:hAnsi="宋体" w:cs="Arial"/>
                <w:sz w:val="18"/>
                <w:szCs w:val="18"/>
              </w:rPr>
              <w:t>400</w:t>
            </w:r>
          </w:p>
        </w:tc>
        <w:tc>
          <w:tcPr>
            <w:tcW w:w="1992" w:type="dxa"/>
          </w:tcPr>
          <w:p>
            <w:pPr>
              <w:jc w:val="center"/>
              <w:rPr>
                <w:rFonts w:ascii="宋体" w:hAnsi="宋体" w:cs="Arial"/>
                <w:sz w:val="18"/>
                <w:szCs w:val="18"/>
              </w:rPr>
            </w:pPr>
            <w:r>
              <w:rPr>
                <w:rFonts w:ascii="宋体" w:hAnsi="宋体" w:cs="Arial"/>
                <w:sz w:val="18"/>
                <w:szCs w:val="18"/>
              </w:rPr>
              <w:t>80</w:t>
            </w:r>
            <w:r>
              <w:rPr>
                <w:rFonts w:ascii="Arial" w:hAnsi="Arial" w:cs="Arial"/>
                <w:szCs w:val="21"/>
              </w:rPr>
              <w:t>~</w:t>
            </w:r>
            <w:r>
              <w:rPr>
                <w:rFonts w:ascii="宋体" w:hAnsi="宋体" w:cs="Arial"/>
                <w:sz w:val="18"/>
                <w:szCs w:val="18"/>
              </w:rPr>
              <w:t>100</w:t>
            </w:r>
          </w:p>
        </w:tc>
        <w:tc>
          <w:tcPr>
            <w:tcW w:w="1993" w:type="dxa"/>
          </w:tcPr>
          <w:p>
            <w:pPr>
              <w:jc w:val="center"/>
              <w:rPr>
                <w:rFonts w:ascii="宋体" w:hAnsi="宋体" w:cs="Arial"/>
                <w:sz w:val="18"/>
                <w:szCs w:val="18"/>
              </w:rPr>
            </w:pPr>
            <w:r>
              <w:rPr>
                <w:rFonts w:ascii="宋体" w:hAnsi="宋体" w:cs="Arial"/>
                <w:sz w:val="18"/>
                <w:szCs w:val="18"/>
              </w:rPr>
              <w:t>90</w:t>
            </w:r>
            <w:r>
              <w:rPr>
                <w:rFonts w:ascii="Arial" w:hAnsi="Arial" w:cs="Arial"/>
                <w:szCs w:val="21"/>
              </w:rPr>
              <w:t>~</w:t>
            </w:r>
            <w:r>
              <w:rPr>
                <w:rFonts w:ascii="宋体" w:hAnsi="宋体" w:cs="Arial"/>
                <w:sz w:val="18"/>
                <w:szCs w:val="18"/>
              </w:rPr>
              <w:t>110</w:t>
            </w:r>
          </w:p>
        </w:tc>
        <w:tc>
          <w:tcPr>
            <w:tcW w:w="1993" w:type="dxa"/>
          </w:tcPr>
          <w:p>
            <w:pPr>
              <w:jc w:val="center"/>
              <w:rPr>
                <w:rFonts w:ascii="宋体" w:hAnsi="宋体" w:cs="Arial"/>
                <w:sz w:val="18"/>
                <w:szCs w:val="18"/>
              </w:rPr>
            </w:pPr>
            <w:r>
              <w:rPr>
                <w:rFonts w:ascii="宋体" w:hAnsi="宋体" w:cs="Arial"/>
                <w:sz w:val="18"/>
                <w:szCs w:val="18"/>
              </w:rPr>
              <w:t>120</w:t>
            </w:r>
            <w:r>
              <w:rPr>
                <w:rFonts w:ascii="Arial" w:hAnsi="Arial" w:cs="Arial"/>
                <w:szCs w:val="21"/>
              </w:rPr>
              <w:t>~</w:t>
            </w:r>
            <w:r>
              <w:rPr>
                <w:rFonts w:ascii="宋体" w:hAnsi="宋体" w:cs="Arial"/>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jc w:val="center"/>
              <w:rPr>
                <w:rFonts w:ascii="宋体" w:hAnsi="宋体" w:cs="Arial"/>
                <w:sz w:val="18"/>
                <w:szCs w:val="18"/>
              </w:rPr>
            </w:pPr>
            <w:r>
              <w:rPr>
                <w:rFonts w:ascii="宋体" w:hAnsi="宋体" w:cs="Arial"/>
                <w:sz w:val="18"/>
                <w:szCs w:val="18"/>
              </w:rPr>
              <w:t>4</w:t>
            </w:r>
          </w:p>
        </w:tc>
        <w:tc>
          <w:tcPr>
            <w:tcW w:w="1701" w:type="dxa"/>
          </w:tcPr>
          <w:p>
            <w:pPr>
              <w:jc w:val="center"/>
              <w:rPr>
                <w:rFonts w:ascii="宋体" w:hAnsi="宋体" w:cs="Arial"/>
                <w:sz w:val="18"/>
                <w:szCs w:val="18"/>
              </w:rPr>
            </w:pPr>
            <w:r>
              <w:rPr>
                <w:rFonts w:ascii="宋体" w:hAnsi="宋体" w:cs="Arial"/>
                <w:sz w:val="18"/>
                <w:szCs w:val="18"/>
              </w:rPr>
              <w:t>400以上</w:t>
            </w:r>
          </w:p>
        </w:tc>
        <w:tc>
          <w:tcPr>
            <w:tcW w:w="1992" w:type="dxa"/>
          </w:tcPr>
          <w:p>
            <w:pPr>
              <w:jc w:val="center"/>
              <w:rPr>
                <w:rFonts w:ascii="宋体" w:hAnsi="宋体" w:cs="Arial"/>
                <w:sz w:val="18"/>
                <w:szCs w:val="18"/>
              </w:rPr>
            </w:pPr>
            <w:r>
              <w:rPr>
                <w:rFonts w:ascii="宋体" w:hAnsi="宋体" w:cs="Arial"/>
                <w:sz w:val="18"/>
                <w:szCs w:val="18"/>
              </w:rPr>
              <w:t>140以上</w:t>
            </w:r>
          </w:p>
        </w:tc>
        <w:tc>
          <w:tcPr>
            <w:tcW w:w="1993" w:type="dxa"/>
          </w:tcPr>
          <w:p>
            <w:pPr>
              <w:jc w:val="center"/>
              <w:rPr>
                <w:rFonts w:ascii="宋体" w:hAnsi="宋体" w:cs="Arial"/>
                <w:sz w:val="18"/>
                <w:szCs w:val="18"/>
              </w:rPr>
            </w:pPr>
            <w:r>
              <w:rPr>
                <w:rFonts w:ascii="宋体" w:hAnsi="宋体" w:cs="Arial"/>
                <w:sz w:val="18"/>
                <w:szCs w:val="18"/>
              </w:rPr>
              <w:t>120以上</w:t>
            </w:r>
          </w:p>
        </w:tc>
        <w:tc>
          <w:tcPr>
            <w:tcW w:w="1993" w:type="dxa"/>
          </w:tcPr>
          <w:p>
            <w:pPr>
              <w:jc w:val="center"/>
              <w:rPr>
                <w:rFonts w:ascii="宋体" w:hAnsi="宋体" w:cs="Arial"/>
                <w:sz w:val="18"/>
                <w:szCs w:val="18"/>
              </w:rPr>
            </w:pPr>
            <w:r>
              <w:rPr>
                <w:rFonts w:ascii="宋体" w:hAnsi="宋体" w:cs="Arial"/>
                <w:sz w:val="18"/>
                <w:szCs w:val="18"/>
              </w:rPr>
              <w:t>180以上</w:t>
            </w:r>
          </w:p>
        </w:tc>
      </w:tr>
    </w:tbl>
    <w:p>
      <w:pPr>
        <w:pStyle w:val="25"/>
      </w:pPr>
    </w:p>
    <w:p>
      <w:pPr>
        <w:pStyle w:val="128"/>
        <w:spacing w:before="156" w:after="156"/>
      </w:pPr>
      <w:r>
        <w:t>落叶乔木类种植穴规格</w:t>
      </w:r>
    </w:p>
    <w:p>
      <w:pPr>
        <w:pStyle w:val="25"/>
        <w:tabs>
          <w:tab w:val="right" w:leader="dot" w:pos="8647"/>
          <w:tab w:val="clear" w:pos="9298"/>
        </w:tabs>
        <w:ind w:right="1556" w:rightChars="741" w:firstLine="360"/>
        <w:jc w:val="right"/>
        <w:rPr>
          <w:sz w:val="18"/>
          <w:szCs w:val="18"/>
        </w:rPr>
      </w:pPr>
      <w:r>
        <w:rPr>
          <w:rFonts w:hint="eastAsia"/>
          <w:sz w:val="18"/>
          <w:szCs w:val="18"/>
        </w:rPr>
        <w:t>单位</w:t>
      </w:r>
      <w:r>
        <w:rPr>
          <w:sz w:val="18"/>
          <w:szCs w:val="18"/>
        </w:rPr>
        <w:t>为厘米</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7"/>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序号</w:t>
            </w:r>
          </w:p>
        </w:tc>
        <w:tc>
          <w:tcPr>
            <w:tcW w:w="1157" w:type="dxa"/>
          </w:tcPr>
          <w:p>
            <w:pPr>
              <w:jc w:val="center"/>
              <w:rPr>
                <w:rFonts w:ascii="宋体" w:hAnsi="宋体" w:cs="Arial"/>
                <w:sz w:val="18"/>
                <w:szCs w:val="18"/>
              </w:rPr>
            </w:pPr>
            <w:r>
              <w:rPr>
                <w:rFonts w:ascii="宋体" w:hAnsi="宋体" w:cs="Arial"/>
                <w:sz w:val="18"/>
                <w:szCs w:val="18"/>
              </w:rPr>
              <w:t>胸 径</w:t>
            </w:r>
          </w:p>
        </w:tc>
        <w:tc>
          <w:tcPr>
            <w:tcW w:w="1992" w:type="dxa"/>
          </w:tcPr>
          <w:p>
            <w:pPr>
              <w:jc w:val="center"/>
              <w:rPr>
                <w:rFonts w:ascii="宋体" w:hAnsi="宋体" w:cs="Arial"/>
                <w:sz w:val="18"/>
                <w:szCs w:val="18"/>
              </w:rPr>
            </w:pPr>
            <w:r>
              <w:rPr>
                <w:rFonts w:ascii="宋体" w:hAnsi="宋体" w:cs="Arial"/>
                <w:sz w:val="18"/>
                <w:szCs w:val="18"/>
              </w:rPr>
              <w:t>种植穴深度</w:t>
            </w:r>
          </w:p>
        </w:tc>
        <w:tc>
          <w:tcPr>
            <w:tcW w:w="1993" w:type="dxa"/>
          </w:tcPr>
          <w:p>
            <w:pPr>
              <w:jc w:val="center"/>
              <w:rPr>
                <w:rFonts w:ascii="宋体" w:hAnsi="宋体" w:cs="Arial"/>
                <w:sz w:val="18"/>
                <w:szCs w:val="18"/>
              </w:rPr>
            </w:pPr>
            <w:r>
              <w:rPr>
                <w:rFonts w:ascii="宋体" w:hAnsi="宋体" w:cs="Arial"/>
                <w:sz w:val="18"/>
                <w:szCs w:val="18"/>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1</w:t>
            </w:r>
          </w:p>
        </w:tc>
        <w:tc>
          <w:tcPr>
            <w:tcW w:w="1157" w:type="dxa"/>
          </w:tcPr>
          <w:p>
            <w:pPr>
              <w:jc w:val="center"/>
              <w:rPr>
                <w:rFonts w:ascii="宋体" w:hAnsi="宋体" w:cs="Arial"/>
                <w:sz w:val="18"/>
                <w:szCs w:val="18"/>
              </w:rPr>
            </w:pPr>
            <w:r>
              <w:rPr>
                <w:rFonts w:ascii="宋体" w:hAnsi="宋体" w:cs="Arial"/>
                <w:sz w:val="18"/>
                <w:szCs w:val="18"/>
              </w:rPr>
              <w:t>2</w:t>
            </w:r>
            <w:r>
              <w:rPr>
                <w:rFonts w:ascii="Arial" w:hAnsi="Arial" w:cs="Arial"/>
                <w:szCs w:val="21"/>
              </w:rPr>
              <w:t>~</w:t>
            </w:r>
            <w:r>
              <w:rPr>
                <w:rFonts w:ascii="宋体" w:hAnsi="宋体" w:cs="Arial"/>
                <w:sz w:val="18"/>
                <w:szCs w:val="18"/>
              </w:rPr>
              <w:t>3</w:t>
            </w:r>
          </w:p>
        </w:tc>
        <w:tc>
          <w:tcPr>
            <w:tcW w:w="1992" w:type="dxa"/>
          </w:tcPr>
          <w:p>
            <w:pPr>
              <w:jc w:val="center"/>
              <w:rPr>
                <w:rFonts w:ascii="宋体" w:hAnsi="宋体" w:cs="Arial"/>
                <w:sz w:val="18"/>
                <w:szCs w:val="18"/>
              </w:rPr>
            </w:pPr>
            <w:r>
              <w:rPr>
                <w:rFonts w:ascii="宋体" w:hAnsi="宋体" w:cs="Arial"/>
                <w:sz w:val="18"/>
                <w:szCs w:val="18"/>
              </w:rPr>
              <w:t>30</w:t>
            </w:r>
            <w:r>
              <w:rPr>
                <w:rFonts w:ascii="Arial" w:hAnsi="Arial" w:cs="Arial"/>
                <w:szCs w:val="21"/>
              </w:rPr>
              <w:t>~</w:t>
            </w:r>
            <w:r>
              <w:rPr>
                <w:rFonts w:ascii="宋体" w:hAnsi="宋体" w:cs="Arial"/>
                <w:sz w:val="18"/>
                <w:szCs w:val="18"/>
              </w:rPr>
              <w:t>40</w:t>
            </w:r>
          </w:p>
        </w:tc>
        <w:tc>
          <w:tcPr>
            <w:tcW w:w="1993" w:type="dxa"/>
            <w:vAlign w:val="center"/>
          </w:tcPr>
          <w:p>
            <w:pPr>
              <w:jc w:val="center"/>
              <w:rPr>
                <w:rFonts w:ascii="宋体" w:hAnsi="宋体" w:cs="Arial"/>
                <w:sz w:val="18"/>
                <w:szCs w:val="18"/>
              </w:rPr>
            </w:pPr>
            <w:r>
              <w:rPr>
                <w:rFonts w:ascii="宋体" w:hAnsi="宋体" w:cs="Arial"/>
                <w:sz w:val="18"/>
                <w:szCs w:val="18"/>
              </w:rPr>
              <w:t>40</w:t>
            </w:r>
            <w:r>
              <w:rPr>
                <w:rFonts w:ascii="Arial" w:hAnsi="Arial" w:cs="Arial"/>
                <w:szCs w:val="21"/>
              </w:rPr>
              <w:t>~</w:t>
            </w:r>
            <w:r>
              <w:rPr>
                <w:rFonts w:ascii="宋体" w:hAnsi="宋体" w:cs="Arial"/>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2</w:t>
            </w:r>
          </w:p>
        </w:tc>
        <w:tc>
          <w:tcPr>
            <w:tcW w:w="1157" w:type="dxa"/>
          </w:tcPr>
          <w:p>
            <w:pPr>
              <w:jc w:val="center"/>
              <w:rPr>
                <w:rFonts w:ascii="宋体" w:hAnsi="宋体" w:cs="Arial"/>
                <w:sz w:val="18"/>
                <w:szCs w:val="18"/>
              </w:rPr>
            </w:pPr>
            <w:r>
              <w:rPr>
                <w:rFonts w:ascii="宋体" w:hAnsi="宋体" w:cs="Arial"/>
                <w:sz w:val="18"/>
                <w:szCs w:val="18"/>
              </w:rPr>
              <w:t>3</w:t>
            </w:r>
            <w:r>
              <w:rPr>
                <w:rFonts w:ascii="Arial" w:hAnsi="Arial" w:cs="Arial"/>
                <w:szCs w:val="21"/>
              </w:rPr>
              <w:t>~</w:t>
            </w:r>
            <w:r>
              <w:rPr>
                <w:rFonts w:ascii="宋体" w:hAnsi="宋体" w:cs="Arial"/>
                <w:sz w:val="18"/>
                <w:szCs w:val="18"/>
              </w:rPr>
              <w:t>4</w:t>
            </w:r>
          </w:p>
        </w:tc>
        <w:tc>
          <w:tcPr>
            <w:tcW w:w="1992" w:type="dxa"/>
          </w:tcPr>
          <w:p>
            <w:pPr>
              <w:jc w:val="center"/>
              <w:rPr>
                <w:rFonts w:ascii="宋体" w:hAnsi="宋体" w:cs="Arial"/>
                <w:sz w:val="18"/>
                <w:szCs w:val="18"/>
              </w:rPr>
            </w:pPr>
            <w:r>
              <w:rPr>
                <w:rFonts w:ascii="宋体" w:hAnsi="宋体" w:cs="Arial"/>
                <w:sz w:val="18"/>
                <w:szCs w:val="18"/>
              </w:rPr>
              <w:t>40</w:t>
            </w:r>
            <w:r>
              <w:rPr>
                <w:rFonts w:ascii="Arial" w:hAnsi="Arial" w:cs="Arial"/>
                <w:szCs w:val="21"/>
              </w:rPr>
              <w:t>~</w:t>
            </w:r>
            <w:r>
              <w:rPr>
                <w:rFonts w:ascii="宋体" w:hAnsi="宋体" w:cs="Arial"/>
                <w:sz w:val="18"/>
                <w:szCs w:val="18"/>
              </w:rPr>
              <w:t>50</w:t>
            </w:r>
          </w:p>
        </w:tc>
        <w:tc>
          <w:tcPr>
            <w:tcW w:w="1993" w:type="dxa"/>
            <w:vAlign w:val="center"/>
          </w:tcPr>
          <w:p>
            <w:pPr>
              <w:jc w:val="center"/>
              <w:rPr>
                <w:rFonts w:ascii="宋体" w:hAnsi="宋体" w:cs="Arial"/>
                <w:sz w:val="18"/>
                <w:szCs w:val="18"/>
              </w:rPr>
            </w:pPr>
            <w:r>
              <w:rPr>
                <w:rFonts w:ascii="宋体" w:hAnsi="宋体" w:cs="Arial"/>
                <w:sz w:val="18"/>
                <w:szCs w:val="18"/>
              </w:rPr>
              <w:t>60</w:t>
            </w:r>
            <w:r>
              <w:rPr>
                <w:rFonts w:ascii="Arial" w:hAnsi="Arial" w:cs="Arial"/>
                <w:szCs w:val="21"/>
              </w:rPr>
              <w:t>~</w:t>
            </w:r>
            <w:r>
              <w:rPr>
                <w:rFonts w:ascii="宋体" w:hAnsi="宋体" w:cs="Arial"/>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3</w:t>
            </w:r>
          </w:p>
        </w:tc>
        <w:tc>
          <w:tcPr>
            <w:tcW w:w="1157" w:type="dxa"/>
          </w:tcPr>
          <w:p>
            <w:pPr>
              <w:jc w:val="center"/>
              <w:rPr>
                <w:rFonts w:ascii="宋体" w:hAnsi="宋体" w:cs="Arial"/>
                <w:sz w:val="18"/>
                <w:szCs w:val="18"/>
              </w:rPr>
            </w:pPr>
            <w:r>
              <w:rPr>
                <w:rFonts w:ascii="宋体" w:hAnsi="宋体" w:cs="Arial"/>
                <w:sz w:val="18"/>
                <w:szCs w:val="18"/>
              </w:rPr>
              <w:t>5</w:t>
            </w:r>
            <w:r>
              <w:rPr>
                <w:rFonts w:ascii="Arial" w:hAnsi="Arial" w:cs="Arial"/>
                <w:szCs w:val="21"/>
              </w:rPr>
              <w:t>~</w:t>
            </w:r>
            <w:r>
              <w:rPr>
                <w:rFonts w:ascii="宋体" w:hAnsi="宋体" w:cs="Arial"/>
                <w:sz w:val="18"/>
                <w:szCs w:val="18"/>
              </w:rPr>
              <w:t>6</w:t>
            </w:r>
          </w:p>
        </w:tc>
        <w:tc>
          <w:tcPr>
            <w:tcW w:w="1992" w:type="dxa"/>
          </w:tcPr>
          <w:p>
            <w:pPr>
              <w:jc w:val="center"/>
              <w:rPr>
                <w:rFonts w:ascii="宋体" w:hAnsi="宋体" w:cs="Arial"/>
                <w:sz w:val="18"/>
                <w:szCs w:val="18"/>
              </w:rPr>
            </w:pPr>
            <w:r>
              <w:rPr>
                <w:rFonts w:ascii="宋体" w:hAnsi="宋体" w:cs="Arial"/>
                <w:sz w:val="18"/>
                <w:szCs w:val="18"/>
              </w:rPr>
              <w:t>60</w:t>
            </w:r>
            <w:r>
              <w:rPr>
                <w:rFonts w:ascii="Arial" w:hAnsi="Arial" w:cs="Arial"/>
                <w:szCs w:val="21"/>
              </w:rPr>
              <w:t>~</w:t>
            </w:r>
            <w:r>
              <w:rPr>
                <w:rFonts w:ascii="宋体" w:hAnsi="宋体" w:cs="Arial"/>
                <w:sz w:val="18"/>
                <w:szCs w:val="18"/>
              </w:rPr>
              <w:t>70</w:t>
            </w:r>
          </w:p>
        </w:tc>
        <w:tc>
          <w:tcPr>
            <w:tcW w:w="1993" w:type="dxa"/>
            <w:vAlign w:val="center"/>
          </w:tcPr>
          <w:p>
            <w:pPr>
              <w:jc w:val="center"/>
              <w:rPr>
                <w:rFonts w:ascii="宋体" w:hAnsi="宋体" w:cs="Arial"/>
                <w:sz w:val="18"/>
                <w:szCs w:val="18"/>
              </w:rPr>
            </w:pPr>
            <w:r>
              <w:rPr>
                <w:rFonts w:ascii="宋体" w:hAnsi="宋体" w:cs="Arial"/>
                <w:sz w:val="18"/>
                <w:szCs w:val="18"/>
              </w:rPr>
              <w:t>80</w:t>
            </w:r>
            <w:r>
              <w:rPr>
                <w:rFonts w:ascii="Arial" w:hAnsi="Arial" w:cs="Arial"/>
                <w:szCs w:val="21"/>
              </w:rPr>
              <w:t>~</w:t>
            </w:r>
            <w:r>
              <w:rPr>
                <w:rFonts w:ascii="宋体" w:hAnsi="宋体" w:cs="Arial"/>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4</w:t>
            </w:r>
          </w:p>
        </w:tc>
        <w:tc>
          <w:tcPr>
            <w:tcW w:w="1157" w:type="dxa"/>
          </w:tcPr>
          <w:p>
            <w:pPr>
              <w:jc w:val="center"/>
              <w:rPr>
                <w:rFonts w:ascii="宋体" w:hAnsi="宋体" w:cs="Arial"/>
                <w:sz w:val="18"/>
                <w:szCs w:val="18"/>
              </w:rPr>
            </w:pPr>
            <w:r>
              <w:rPr>
                <w:rFonts w:ascii="宋体" w:hAnsi="宋体" w:cs="Arial"/>
                <w:sz w:val="18"/>
                <w:szCs w:val="18"/>
              </w:rPr>
              <w:t>4</w:t>
            </w:r>
            <w:r>
              <w:rPr>
                <w:rFonts w:ascii="Arial" w:hAnsi="Arial" w:cs="Arial"/>
                <w:szCs w:val="21"/>
              </w:rPr>
              <w:t>~</w:t>
            </w:r>
            <w:r>
              <w:rPr>
                <w:rFonts w:ascii="宋体" w:hAnsi="宋体" w:cs="Arial"/>
                <w:sz w:val="18"/>
                <w:szCs w:val="18"/>
              </w:rPr>
              <w:t>5</w:t>
            </w:r>
          </w:p>
        </w:tc>
        <w:tc>
          <w:tcPr>
            <w:tcW w:w="1992" w:type="dxa"/>
          </w:tcPr>
          <w:p>
            <w:pPr>
              <w:jc w:val="center"/>
              <w:rPr>
                <w:rFonts w:ascii="宋体" w:hAnsi="宋体" w:cs="Arial"/>
                <w:sz w:val="18"/>
                <w:szCs w:val="18"/>
              </w:rPr>
            </w:pPr>
            <w:r>
              <w:rPr>
                <w:rFonts w:ascii="宋体" w:hAnsi="宋体" w:cs="Arial"/>
                <w:sz w:val="18"/>
                <w:szCs w:val="18"/>
              </w:rPr>
              <w:t>50</w:t>
            </w:r>
            <w:r>
              <w:rPr>
                <w:rFonts w:ascii="Arial" w:hAnsi="Arial" w:cs="Arial"/>
                <w:szCs w:val="21"/>
              </w:rPr>
              <w:t>~</w:t>
            </w:r>
            <w:r>
              <w:rPr>
                <w:rFonts w:ascii="宋体" w:hAnsi="宋体" w:cs="Arial"/>
                <w:sz w:val="18"/>
                <w:szCs w:val="18"/>
              </w:rPr>
              <w:t>60</w:t>
            </w:r>
          </w:p>
        </w:tc>
        <w:tc>
          <w:tcPr>
            <w:tcW w:w="1993" w:type="dxa"/>
            <w:vAlign w:val="center"/>
          </w:tcPr>
          <w:p>
            <w:pPr>
              <w:jc w:val="center"/>
              <w:rPr>
                <w:rFonts w:ascii="宋体" w:hAnsi="宋体" w:cs="Arial"/>
                <w:sz w:val="18"/>
                <w:szCs w:val="18"/>
              </w:rPr>
            </w:pPr>
            <w:r>
              <w:rPr>
                <w:rFonts w:ascii="宋体" w:hAnsi="宋体" w:cs="Arial"/>
                <w:sz w:val="18"/>
                <w:szCs w:val="18"/>
              </w:rPr>
              <w:t>70</w:t>
            </w:r>
            <w:r>
              <w:rPr>
                <w:rFonts w:ascii="Arial" w:hAnsi="Arial" w:cs="Arial"/>
                <w:szCs w:val="21"/>
              </w:rPr>
              <w:t>~</w:t>
            </w:r>
            <w:r>
              <w:rPr>
                <w:rFonts w:ascii="宋体" w:hAnsi="宋体" w:cs="Arial"/>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5</w:t>
            </w:r>
          </w:p>
        </w:tc>
        <w:tc>
          <w:tcPr>
            <w:tcW w:w="1157" w:type="dxa"/>
          </w:tcPr>
          <w:p>
            <w:pPr>
              <w:jc w:val="center"/>
              <w:rPr>
                <w:rFonts w:ascii="宋体" w:hAnsi="宋体" w:cs="Arial"/>
                <w:sz w:val="18"/>
                <w:szCs w:val="18"/>
              </w:rPr>
            </w:pPr>
            <w:r>
              <w:rPr>
                <w:rFonts w:ascii="宋体" w:hAnsi="宋体" w:cs="Arial"/>
                <w:sz w:val="18"/>
                <w:szCs w:val="18"/>
              </w:rPr>
              <w:t>6</w:t>
            </w:r>
            <w:r>
              <w:rPr>
                <w:rFonts w:ascii="Arial" w:hAnsi="Arial" w:cs="Arial"/>
                <w:szCs w:val="21"/>
              </w:rPr>
              <w:t>~</w:t>
            </w:r>
            <w:r>
              <w:rPr>
                <w:rFonts w:ascii="宋体" w:hAnsi="宋体" w:cs="Arial"/>
                <w:sz w:val="18"/>
                <w:szCs w:val="18"/>
              </w:rPr>
              <w:t>8</w:t>
            </w:r>
          </w:p>
        </w:tc>
        <w:tc>
          <w:tcPr>
            <w:tcW w:w="1992" w:type="dxa"/>
          </w:tcPr>
          <w:p>
            <w:pPr>
              <w:jc w:val="center"/>
              <w:rPr>
                <w:rFonts w:ascii="宋体" w:hAnsi="宋体" w:cs="Arial"/>
                <w:sz w:val="18"/>
                <w:szCs w:val="18"/>
              </w:rPr>
            </w:pPr>
            <w:r>
              <w:rPr>
                <w:rFonts w:ascii="宋体" w:hAnsi="宋体" w:cs="Arial"/>
                <w:sz w:val="18"/>
                <w:szCs w:val="18"/>
              </w:rPr>
              <w:t>70</w:t>
            </w:r>
            <w:r>
              <w:rPr>
                <w:rFonts w:ascii="Arial" w:hAnsi="Arial" w:cs="Arial"/>
                <w:szCs w:val="21"/>
              </w:rPr>
              <w:t>~</w:t>
            </w:r>
            <w:r>
              <w:rPr>
                <w:rFonts w:ascii="宋体" w:hAnsi="宋体" w:cs="Arial"/>
                <w:sz w:val="18"/>
                <w:szCs w:val="18"/>
              </w:rPr>
              <w:t>80</w:t>
            </w:r>
          </w:p>
        </w:tc>
        <w:tc>
          <w:tcPr>
            <w:tcW w:w="1993" w:type="dxa"/>
            <w:vAlign w:val="center"/>
          </w:tcPr>
          <w:p>
            <w:pPr>
              <w:pStyle w:val="32"/>
              <w:shd w:val="clear" w:color="auto" w:fill="FFFFFF"/>
              <w:spacing w:before="0" w:beforeAutospacing="0" w:after="0" w:afterAutospacing="0"/>
              <w:jc w:val="center"/>
              <w:rPr>
                <w:rFonts w:cs="Arial"/>
                <w:kern w:val="2"/>
                <w:sz w:val="18"/>
                <w:szCs w:val="18"/>
              </w:rPr>
            </w:pPr>
            <w:r>
              <w:rPr>
                <w:rFonts w:cs="Arial"/>
                <w:kern w:val="2"/>
                <w:sz w:val="18"/>
                <w:szCs w:val="18"/>
              </w:rPr>
              <w:t>90</w:t>
            </w:r>
            <w:r>
              <w:rPr>
                <w:rFonts w:ascii="Arial" w:hAnsi="Arial" w:cs="Arial"/>
                <w:szCs w:val="21"/>
              </w:rPr>
              <w:t>~</w:t>
            </w:r>
            <w:r>
              <w:rPr>
                <w:rFonts w:cs="Arial"/>
                <w:kern w:val="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6</w:t>
            </w:r>
          </w:p>
        </w:tc>
        <w:tc>
          <w:tcPr>
            <w:tcW w:w="1157" w:type="dxa"/>
          </w:tcPr>
          <w:p>
            <w:pPr>
              <w:jc w:val="center"/>
              <w:rPr>
                <w:rFonts w:ascii="宋体" w:hAnsi="宋体" w:cs="Arial"/>
                <w:sz w:val="18"/>
                <w:szCs w:val="18"/>
              </w:rPr>
            </w:pPr>
            <w:r>
              <w:rPr>
                <w:rFonts w:ascii="宋体" w:hAnsi="宋体" w:cs="Arial"/>
                <w:sz w:val="18"/>
                <w:szCs w:val="18"/>
              </w:rPr>
              <w:t>8</w:t>
            </w:r>
            <w:r>
              <w:rPr>
                <w:rFonts w:ascii="Arial" w:hAnsi="Arial" w:cs="Arial"/>
                <w:szCs w:val="21"/>
              </w:rPr>
              <w:t>~</w:t>
            </w:r>
            <w:r>
              <w:rPr>
                <w:rFonts w:ascii="宋体" w:hAnsi="宋体" w:cs="Arial"/>
                <w:sz w:val="18"/>
                <w:szCs w:val="18"/>
              </w:rPr>
              <w:t>10</w:t>
            </w:r>
          </w:p>
        </w:tc>
        <w:tc>
          <w:tcPr>
            <w:tcW w:w="1992" w:type="dxa"/>
          </w:tcPr>
          <w:p>
            <w:pPr>
              <w:jc w:val="center"/>
              <w:rPr>
                <w:rFonts w:ascii="宋体" w:hAnsi="宋体" w:cs="Arial"/>
                <w:sz w:val="18"/>
                <w:szCs w:val="18"/>
              </w:rPr>
            </w:pPr>
            <w:r>
              <w:rPr>
                <w:rFonts w:ascii="宋体" w:hAnsi="宋体" w:cs="Arial"/>
                <w:sz w:val="18"/>
                <w:szCs w:val="18"/>
              </w:rPr>
              <w:t>80</w:t>
            </w:r>
            <w:r>
              <w:rPr>
                <w:rFonts w:ascii="Arial" w:hAnsi="Arial" w:cs="Arial"/>
                <w:szCs w:val="21"/>
              </w:rPr>
              <w:t>~</w:t>
            </w:r>
            <w:r>
              <w:rPr>
                <w:rFonts w:ascii="宋体" w:hAnsi="宋体" w:cs="Arial"/>
                <w:sz w:val="18"/>
                <w:szCs w:val="18"/>
              </w:rPr>
              <w:t>90</w:t>
            </w:r>
          </w:p>
        </w:tc>
        <w:tc>
          <w:tcPr>
            <w:tcW w:w="1993" w:type="dxa"/>
            <w:vAlign w:val="center"/>
          </w:tcPr>
          <w:p>
            <w:pPr>
              <w:pStyle w:val="32"/>
              <w:shd w:val="clear" w:color="auto" w:fill="FFFFFF"/>
              <w:spacing w:before="0" w:beforeAutospacing="0" w:after="0" w:afterAutospacing="0"/>
              <w:jc w:val="center"/>
              <w:rPr>
                <w:rFonts w:cs="Arial"/>
                <w:kern w:val="2"/>
                <w:sz w:val="18"/>
                <w:szCs w:val="18"/>
              </w:rPr>
            </w:pPr>
            <w:r>
              <w:rPr>
                <w:rFonts w:cs="Arial"/>
                <w:kern w:val="2"/>
                <w:sz w:val="18"/>
                <w:szCs w:val="18"/>
              </w:rPr>
              <w:t>100</w:t>
            </w:r>
            <w:r>
              <w:rPr>
                <w:rFonts w:ascii="Arial" w:hAnsi="Arial" w:cs="Arial"/>
                <w:szCs w:val="21"/>
              </w:rPr>
              <w:t>~</w:t>
            </w:r>
            <w:r>
              <w:rPr>
                <w:rFonts w:cs="Arial"/>
                <w:kern w:val="2"/>
                <w:sz w:val="18"/>
                <w:szCs w:val="18"/>
              </w:rPr>
              <w:t>110</w:t>
            </w:r>
          </w:p>
        </w:tc>
      </w:tr>
    </w:tbl>
    <w:p>
      <w:pPr>
        <w:pStyle w:val="128"/>
        <w:spacing w:before="156" w:after="156"/>
      </w:pPr>
      <w:r>
        <w:t>花灌木类种植穴规格</w:t>
      </w:r>
    </w:p>
    <w:p>
      <w:pPr>
        <w:pStyle w:val="25"/>
        <w:tabs>
          <w:tab w:val="right" w:leader="dot" w:pos="8364"/>
          <w:tab w:val="clear" w:pos="9298"/>
        </w:tabs>
        <w:ind w:right="1556" w:rightChars="741" w:firstLine="360"/>
        <w:jc w:val="right"/>
        <w:rPr>
          <w:sz w:val="18"/>
          <w:szCs w:val="18"/>
        </w:rPr>
      </w:pPr>
      <w:r>
        <w:rPr>
          <w:rFonts w:hint="eastAsia"/>
          <w:sz w:val="18"/>
          <w:szCs w:val="18"/>
        </w:rPr>
        <w:t>单位</w:t>
      </w:r>
      <w:r>
        <w:rPr>
          <w:sz w:val="18"/>
          <w:szCs w:val="18"/>
        </w:rPr>
        <w:t>为厘米</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7"/>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序号</w:t>
            </w:r>
          </w:p>
        </w:tc>
        <w:tc>
          <w:tcPr>
            <w:tcW w:w="1157" w:type="dxa"/>
          </w:tcPr>
          <w:p>
            <w:pPr>
              <w:jc w:val="center"/>
              <w:rPr>
                <w:rFonts w:ascii="宋体" w:hAnsi="宋体" w:cs="Arial"/>
                <w:sz w:val="18"/>
                <w:szCs w:val="18"/>
              </w:rPr>
            </w:pPr>
            <w:r>
              <w:rPr>
                <w:rFonts w:ascii="宋体" w:hAnsi="宋体" w:cs="Arial"/>
                <w:sz w:val="18"/>
                <w:szCs w:val="18"/>
              </w:rPr>
              <w:t>冠 径</w:t>
            </w:r>
          </w:p>
        </w:tc>
        <w:tc>
          <w:tcPr>
            <w:tcW w:w="1992" w:type="dxa"/>
          </w:tcPr>
          <w:p>
            <w:pPr>
              <w:jc w:val="center"/>
              <w:rPr>
                <w:rFonts w:ascii="宋体" w:hAnsi="宋体" w:cs="Arial"/>
                <w:sz w:val="18"/>
                <w:szCs w:val="18"/>
              </w:rPr>
            </w:pPr>
            <w:r>
              <w:rPr>
                <w:rFonts w:ascii="宋体" w:hAnsi="宋体" w:cs="Arial"/>
                <w:sz w:val="18"/>
                <w:szCs w:val="18"/>
              </w:rPr>
              <w:t>种植穴深度</w:t>
            </w:r>
          </w:p>
        </w:tc>
        <w:tc>
          <w:tcPr>
            <w:tcW w:w="1993" w:type="dxa"/>
          </w:tcPr>
          <w:p>
            <w:pPr>
              <w:pStyle w:val="32"/>
              <w:shd w:val="clear" w:color="auto" w:fill="FFFFFF"/>
              <w:spacing w:before="0" w:beforeAutospacing="0" w:after="0" w:afterAutospacing="0"/>
              <w:jc w:val="center"/>
              <w:rPr>
                <w:rFonts w:cs="Arial"/>
                <w:sz w:val="18"/>
                <w:szCs w:val="18"/>
              </w:rPr>
            </w:pPr>
            <w:r>
              <w:rPr>
                <w:rFonts w:cs="Arial"/>
                <w:sz w:val="18"/>
                <w:szCs w:val="18"/>
              </w:rPr>
              <w:t>种植穴直径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1</w:t>
            </w:r>
          </w:p>
        </w:tc>
        <w:tc>
          <w:tcPr>
            <w:tcW w:w="1157" w:type="dxa"/>
          </w:tcPr>
          <w:p>
            <w:pPr>
              <w:jc w:val="center"/>
              <w:rPr>
                <w:rFonts w:ascii="宋体" w:hAnsi="宋体" w:cs="Arial"/>
                <w:sz w:val="18"/>
                <w:szCs w:val="18"/>
              </w:rPr>
            </w:pPr>
            <w:r>
              <w:rPr>
                <w:rFonts w:ascii="宋体" w:hAnsi="宋体" w:cs="Arial"/>
                <w:sz w:val="18"/>
                <w:szCs w:val="18"/>
              </w:rPr>
              <w:t>200</w:t>
            </w:r>
          </w:p>
        </w:tc>
        <w:tc>
          <w:tcPr>
            <w:tcW w:w="1992" w:type="dxa"/>
          </w:tcPr>
          <w:p>
            <w:pPr>
              <w:jc w:val="center"/>
              <w:rPr>
                <w:rFonts w:ascii="宋体" w:hAnsi="宋体" w:cs="Arial"/>
                <w:sz w:val="18"/>
                <w:szCs w:val="18"/>
              </w:rPr>
            </w:pPr>
            <w:r>
              <w:rPr>
                <w:rFonts w:ascii="宋体" w:hAnsi="宋体" w:cs="Arial"/>
                <w:sz w:val="18"/>
                <w:szCs w:val="18"/>
              </w:rPr>
              <w:t>70</w:t>
            </w:r>
            <w:r>
              <w:rPr>
                <w:rFonts w:ascii="Arial" w:hAnsi="Arial" w:cs="Arial"/>
                <w:szCs w:val="21"/>
              </w:rPr>
              <w:t>~</w:t>
            </w:r>
            <w:r>
              <w:rPr>
                <w:rFonts w:ascii="宋体" w:hAnsi="宋体" w:cs="Arial"/>
                <w:sz w:val="18"/>
                <w:szCs w:val="18"/>
              </w:rPr>
              <w:t>90</w:t>
            </w:r>
          </w:p>
        </w:tc>
        <w:tc>
          <w:tcPr>
            <w:tcW w:w="1993" w:type="dxa"/>
            <w:vAlign w:val="center"/>
          </w:tcPr>
          <w:p>
            <w:pPr>
              <w:pStyle w:val="32"/>
              <w:shd w:val="clear" w:color="auto" w:fill="FFFFFF"/>
              <w:spacing w:before="0" w:beforeAutospacing="0" w:after="0" w:afterAutospacing="0"/>
              <w:jc w:val="center"/>
              <w:rPr>
                <w:rFonts w:cs="Arial"/>
                <w:sz w:val="18"/>
                <w:szCs w:val="18"/>
              </w:rPr>
            </w:pPr>
            <w:r>
              <w:rPr>
                <w:rFonts w:cs="Arial"/>
                <w:sz w:val="18"/>
                <w:szCs w:val="18"/>
              </w:rPr>
              <w:t>90</w:t>
            </w:r>
            <w:r>
              <w:rPr>
                <w:rFonts w:ascii="Arial" w:hAnsi="Arial" w:cs="Arial"/>
                <w:szCs w:val="21"/>
              </w:rPr>
              <w:t>~</w:t>
            </w:r>
            <w:r>
              <w:rPr>
                <w:rFonts w:cs="Arial"/>
                <w:sz w:val="18"/>
                <w:szCs w:val="18"/>
              </w:rPr>
              <w:t>110</w:t>
            </w:r>
          </w:p>
          <w:p>
            <w:pPr>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2</w:t>
            </w:r>
          </w:p>
        </w:tc>
        <w:tc>
          <w:tcPr>
            <w:tcW w:w="1157" w:type="dxa"/>
          </w:tcPr>
          <w:p>
            <w:pPr>
              <w:jc w:val="center"/>
              <w:rPr>
                <w:rFonts w:ascii="宋体" w:hAnsi="宋体" w:cs="Arial"/>
                <w:sz w:val="18"/>
                <w:szCs w:val="18"/>
              </w:rPr>
            </w:pPr>
            <w:r>
              <w:rPr>
                <w:rFonts w:ascii="宋体" w:hAnsi="宋体" w:cs="Arial"/>
                <w:sz w:val="18"/>
                <w:szCs w:val="18"/>
              </w:rPr>
              <w:t>100</w:t>
            </w:r>
          </w:p>
        </w:tc>
        <w:tc>
          <w:tcPr>
            <w:tcW w:w="1992" w:type="dxa"/>
          </w:tcPr>
          <w:p>
            <w:pPr>
              <w:jc w:val="center"/>
              <w:rPr>
                <w:rFonts w:ascii="宋体" w:hAnsi="宋体" w:cs="Arial"/>
                <w:sz w:val="18"/>
                <w:szCs w:val="18"/>
              </w:rPr>
            </w:pPr>
            <w:r>
              <w:rPr>
                <w:rFonts w:ascii="宋体" w:hAnsi="宋体" w:cs="Arial"/>
                <w:sz w:val="18"/>
                <w:szCs w:val="18"/>
              </w:rPr>
              <w:t>60</w:t>
            </w:r>
            <w:r>
              <w:rPr>
                <w:rFonts w:ascii="Arial" w:hAnsi="Arial" w:cs="Arial"/>
                <w:szCs w:val="21"/>
              </w:rPr>
              <w:t>~</w:t>
            </w:r>
            <w:r>
              <w:rPr>
                <w:rFonts w:ascii="宋体" w:hAnsi="宋体" w:cs="Arial"/>
                <w:sz w:val="18"/>
                <w:szCs w:val="18"/>
              </w:rPr>
              <w:t>70</w:t>
            </w:r>
          </w:p>
        </w:tc>
        <w:tc>
          <w:tcPr>
            <w:tcW w:w="1993" w:type="dxa"/>
            <w:vAlign w:val="center"/>
          </w:tcPr>
          <w:p>
            <w:pPr>
              <w:jc w:val="center"/>
              <w:rPr>
                <w:rFonts w:ascii="宋体" w:hAnsi="宋体" w:cs="Arial"/>
                <w:sz w:val="18"/>
                <w:szCs w:val="18"/>
              </w:rPr>
            </w:pPr>
            <w:r>
              <w:rPr>
                <w:rFonts w:ascii="宋体" w:hAnsi="宋体" w:cs="Arial"/>
                <w:sz w:val="18"/>
                <w:szCs w:val="18"/>
              </w:rPr>
              <w:t>70</w:t>
            </w:r>
            <w:r>
              <w:rPr>
                <w:rFonts w:ascii="Arial" w:hAnsi="Arial" w:cs="Arial"/>
                <w:szCs w:val="21"/>
              </w:rPr>
              <w:t>~</w:t>
            </w:r>
            <w:r>
              <w:rPr>
                <w:rFonts w:ascii="宋体" w:hAnsi="宋体" w:cs="Arial"/>
                <w:sz w:val="18"/>
                <w:szCs w:val="18"/>
              </w:rPr>
              <w:t>90</w:t>
            </w:r>
          </w:p>
        </w:tc>
      </w:tr>
    </w:tbl>
    <w:p>
      <w:pPr>
        <w:pStyle w:val="128"/>
        <w:spacing w:before="156" w:after="156"/>
      </w:pPr>
      <w:r>
        <w:t>绿篱类种植槽规格</w:t>
      </w:r>
    </w:p>
    <w:p>
      <w:pPr>
        <w:pStyle w:val="25"/>
        <w:tabs>
          <w:tab w:val="right" w:leader="dot" w:pos="8505"/>
          <w:tab w:val="clear" w:pos="9298"/>
        </w:tabs>
        <w:ind w:right="1556" w:rightChars="741" w:firstLine="360"/>
        <w:jc w:val="right"/>
        <w:rPr>
          <w:sz w:val="18"/>
          <w:szCs w:val="18"/>
        </w:rPr>
      </w:pPr>
      <w:r>
        <w:rPr>
          <w:rFonts w:hint="eastAsia"/>
          <w:sz w:val="18"/>
          <w:szCs w:val="18"/>
        </w:rPr>
        <w:t>单位为厘米</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7"/>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序号</w:t>
            </w:r>
          </w:p>
        </w:tc>
        <w:tc>
          <w:tcPr>
            <w:tcW w:w="1157" w:type="dxa"/>
          </w:tcPr>
          <w:p>
            <w:pPr>
              <w:jc w:val="center"/>
              <w:rPr>
                <w:rFonts w:ascii="宋体" w:hAnsi="宋体" w:cs="Arial"/>
                <w:sz w:val="18"/>
                <w:szCs w:val="18"/>
              </w:rPr>
            </w:pPr>
            <w:r>
              <w:rPr>
                <w:rFonts w:ascii="宋体" w:hAnsi="宋体" w:cs="Arial"/>
                <w:sz w:val="18"/>
                <w:szCs w:val="18"/>
              </w:rPr>
              <w:t>苗 高</w:t>
            </w:r>
          </w:p>
        </w:tc>
        <w:tc>
          <w:tcPr>
            <w:tcW w:w="1992" w:type="dxa"/>
          </w:tcPr>
          <w:p>
            <w:pPr>
              <w:jc w:val="center"/>
              <w:rPr>
                <w:rFonts w:ascii="宋体" w:hAnsi="宋体" w:cs="Arial"/>
                <w:sz w:val="18"/>
                <w:szCs w:val="18"/>
              </w:rPr>
            </w:pPr>
            <w:r>
              <w:rPr>
                <w:rFonts w:ascii="宋体" w:hAnsi="宋体" w:cs="Arial"/>
                <w:sz w:val="18"/>
                <w:szCs w:val="18"/>
              </w:rPr>
              <w:t>深×宽</w:t>
            </w:r>
          </w:p>
        </w:tc>
        <w:tc>
          <w:tcPr>
            <w:tcW w:w="1993" w:type="dxa"/>
            <w:vAlign w:val="center"/>
          </w:tcPr>
          <w:p>
            <w:pPr>
              <w:pStyle w:val="32"/>
              <w:shd w:val="clear" w:color="auto" w:fill="FFFFFF"/>
              <w:spacing w:before="0" w:beforeAutospacing="0" w:after="0" w:afterAutospacing="0"/>
              <w:jc w:val="center"/>
              <w:rPr>
                <w:rFonts w:cs="Arial"/>
                <w:sz w:val="18"/>
                <w:szCs w:val="18"/>
              </w:rPr>
            </w:pPr>
            <w:r>
              <w:rPr>
                <w:rFonts w:cs="Arial"/>
                <w:sz w:val="18"/>
                <w:szCs w:val="18"/>
              </w:rPr>
              <w:t>种植方式</w:t>
            </w:r>
          </w:p>
          <w:p>
            <w:pPr>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1</w:t>
            </w:r>
          </w:p>
        </w:tc>
        <w:tc>
          <w:tcPr>
            <w:tcW w:w="1157" w:type="dxa"/>
          </w:tcPr>
          <w:p>
            <w:pPr>
              <w:jc w:val="center"/>
              <w:rPr>
                <w:rFonts w:ascii="宋体" w:hAnsi="宋体" w:cs="Arial"/>
                <w:sz w:val="18"/>
                <w:szCs w:val="18"/>
              </w:rPr>
            </w:pPr>
            <w:r>
              <w:rPr>
                <w:rFonts w:ascii="宋体" w:hAnsi="宋体" w:cs="Arial"/>
                <w:sz w:val="18"/>
                <w:szCs w:val="18"/>
              </w:rPr>
              <w:t>50</w:t>
            </w:r>
            <w:r>
              <w:rPr>
                <w:rFonts w:ascii="Arial" w:hAnsi="Arial" w:cs="Arial"/>
                <w:szCs w:val="21"/>
              </w:rPr>
              <w:t>~</w:t>
            </w:r>
            <w:r>
              <w:rPr>
                <w:rFonts w:ascii="宋体" w:hAnsi="宋体" w:cs="Arial"/>
                <w:sz w:val="18"/>
                <w:szCs w:val="18"/>
              </w:rPr>
              <w:t>80</w:t>
            </w:r>
          </w:p>
        </w:tc>
        <w:tc>
          <w:tcPr>
            <w:tcW w:w="1992" w:type="dxa"/>
          </w:tcPr>
          <w:p>
            <w:pPr>
              <w:jc w:val="center"/>
              <w:rPr>
                <w:rFonts w:ascii="宋体" w:hAnsi="宋体" w:cs="Arial"/>
                <w:sz w:val="18"/>
                <w:szCs w:val="18"/>
              </w:rPr>
            </w:pPr>
            <w:r>
              <w:rPr>
                <w:rFonts w:ascii="宋体" w:hAnsi="宋体" w:cs="Arial"/>
                <w:sz w:val="18"/>
                <w:szCs w:val="18"/>
              </w:rPr>
              <w:t>40×40</w:t>
            </w:r>
          </w:p>
        </w:tc>
        <w:tc>
          <w:tcPr>
            <w:tcW w:w="1993" w:type="dxa"/>
            <w:vAlign w:val="center"/>
          </w:tcPr>
          <w:p>
            <w:pPr>
              <w:pStyle w:val="32"/>
              <w:shd w:val="clear" w:color="auto" w:fill="FFFFFF"/>
              <w:spacing w:before="0" w:beforeAutospacing="0" w:after="0" w:afterAutospacing="0"/>
              <w:jc w:val="center"/>
              <w:rPr>
                <w:rFonts w:cs="Arial"/>
                <w:sz w:val="18"/>
                <w:szCs w:val="18"/>
              </w:rPr>
            </w:pPr>
            <w:r>
              <w:rPr>
                <w:rFonts w:cs="Arial"/>
                <w:sz w:val="18"/>
                <w:szCs w:val="18"/>
              </w:rPr>
              <w:t>单行</w:t>
            </w:r>
          </w:p>
          <w:p>
            <w:pPr>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2</w:t>
            </w:r>
          </w:p>
        </w:tc>
        <w:tc>
          <w:tcPr>
            <w:tcW w:w="1157" w:type="dxa"/>
          </w:tcPr>
          <w:p>
            <w:pPr>
              <w:jc w:val="center"/>
              <w:rPr>
                <w:rFonts w:ascii="宋体" w:hAnsi="宋体" w:cs="Arial"/>
                <w:sz w:val="18"/>
                <w:szCs w:val="18"/>
              </w:rPr>
            </w:pPr>
            <w:r>
              <w:rPr>
                <w:rFonts w:ascii="宋体" w:hAnsi="宋体" w:cs="Arial"/>
                <w:sz w:val="18"/>
                <w:szCs w:val="18"/>
              </w:rPr>
              <w:t>50</w:t>
            </w:r>
            <w:r>
              <w:rPr>
                <w:rFonts w:ascii="Arial" w:hAnsi="Arial" w:cs="Arial"/>
                <w:szCs w:val="21"/>
              </w:rPr>
              <w:t>~</w:t>
            </w:r>
            <w:r>
              <w:rPr>
                <w:rFonts w:ascii="宋体" w:hAnsi="宋体" w:cs="Arial"/>
                <w:sz w:val="18"/>
                <w:szCs w:val="18"/>
              </w:rPr>
              <w:t>80</w:t>
            </w:r>
          </w:p>
        </w:tc>
        <w:tc>
          <w:tcPr>
            <w:tcW w:w="1992" w:type="dxa"/>
          </w:tcPr>
          <w:p>
            <w:pPr>
              <w:jc w:val="center"/>
              <w:rPr>
                <w:rFonts w:ascii="宋体" w:hAnsi="宋体" w:cs="Arial"/>
                <w:sz w:val="18"/>
                <w:szCs w:val="18"/>
              </w:rPr>
            </w:pPr>
            <w:r>
              <w:rPr>
                <w:rFonts w:ascii="宋体" w:hAnsi="宋体" w:cs="Arial"/>
                <w:sz w:val="18"/>
                <w:szCs w:val="18"/>
              </w:rPr>
              <w:t>40×60</w:t>
            </w:r>
          </w:p>
        </w:tc>
        <w:tc>
          <w:tcPr>
            <w:tcW w:w="1993" w:type="dxa"/>
            <w:vAlign w:val="center"/>
          </w:tcPr>
          <w:p>
            <w:pPr>
              <w:jc w:val="center"/>
              <w:rPr>
                <w:rFonts w:ascii="宋体" w:hAnsi="宋体" w:cs="Arial"/>
                <w:sz w:val="18"/>
                <w:szCs w:val="18"/>
              </w:rPr>
            </w:pPr>
            <w:r>
              <w:rPr>
                <w:rFonts w:ascii="宋体" w:hAnsi="宋体" w:cs="Arial"/>
                <w:sz w:val="18"/>
                <w:szCs w:val="18"/>
              </w:rPr>
              <w:t>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3</w:t>
            </w:r>
          </w:p>
        </w:tc>
        <w:tc>
          <w:tcPr>
            <w:tcW w:w="1157" w:type="dxa"/>
          </w:tcPr>
          <w:p>
            <w:pPr>
              <w:jc w:val="center"/>
              <w:rPr>
                <w:rFonts w:ascii="宋体" w:hAnsi="宋体" w:cs="Arial"/>
                <w:sz w:val="18"/>
                <w:szCs w:val="18"/>
              </w:rPr>
            </w:pPr>
            <w:r>
              <w:rPr>
                <w:rFonts w:ascii="宋体" w:hAnsi="宋体" w:cs="Arial"/>
                <w:sz w:val="18"/>
                <w:szCs w:val="18"/>
              </w:rPr>
              <w:t>100</w:t>
            </w:r>
            <w:r>
              <w:rPr>
                <w:rFonts w:ascii="Arial" w:hAnsi="Arial" w:cs="Arial"/>
                <w:szCs w:val="21"/>
              </w:rPr>
              <w:t>~</w:t>
            </w:r>
            <w:r>
              <w:rPr>
                <w:rFonts w:ascii="宋体" w:hAnsi="宋体" w:cs="Arial"/>
                <w:sz w:val="18"/>
                <w:szCs w:val="18"/>
              </w:rPr>
              <w:t>120</w:t>
            </w:r>
          </w:p>
        </w:tc>
        <w:tc>
          <w:tcPr>
            <w:tcW w:w="1992" w:type="dxa"/>
          </w:tcPr>
          <w:p>
            <w:pPr>
              <w:jc w:val="center"/>
              <w:rPr>
                <w:rFonts w:ascii="宋体" w:hAnsi="宋体" w:cs="Arial"/>
                <w:sz w:val="18"/>
                <w:szCs w:val="18"/>
              </w:rPr>
            </w:pPr>
            <w:r>
              <w:rPr>
                <w:rFonts w:ascii="宋体" w:hAnsi="宋体" w:cs="Arial"/>
                <w:sz w:val="18"/>
                <w:szCs w:val="18"/>
              </w:rPr>
              <w:t>50×50</w:t>
            </w:r>
          </w:p>
        </w:tc>
        <w:tc>
          <w:tcPr>
            <w:tcW w:w="1993" w:type="dxa"/>
            <w:vAlign w:val="center"/>
          </w:tcPr>
          <w:p>
            <w:pPr>
              <w:pStyle w:val="32"/>
              <w:shd w:val="clear" w:color="auto" w:fill="FFFFFF"/>
              <w:spacing w:before="0" w:beforeAutospacing="0" w:after="0" w:afterAutospacing="0"/>
              <w:jc w:val="center"/>
              <w:rPr>
                <w:rFonts w:cs="Arial"/>
                <w:sz w:val="18"/>
                <w:szCs w:val="18"/>
              </w:rPr>
            </w:pPr>
            <w:r>
              <w:rPr>
                <w:rFonts w:cs="Arial"/>
                <w:sz w:val="18"/>
                <w:szCs w:val="18"/>
              </w:rPr>
              <w:t>单行</w:t>
            </w:r>
          </w:p>
          <w:p>
            <w:pPr>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4</w:t>
            </w:r>
          </w:p>
        </w:tc>
        <w:tc>
          <w:tcPr>
            <w:tcW w:w="1157" w:type="dxa"/>
          </w:tcPr>
          <w:p>
            <w:pPr>
              <w:jc w:val="center"/>
              <w:rPr>
                <w:rFonts w:ascii="宋体" w:hAnsi="宋体" w:cs="Arial"/>
                <w:sz w:val="18"/>
                <w:szCs w:val="18"/>
              </w:rPr>
            </w:pPr>
            <w:r>
              <w:rPr>
                <w:rFonts w:hint="eastAsia" w:ascii="宋体" w:hAnsi="宋体" w:cs="Arial"/>
                <w:sz w:val="18"/>
                <w:szCs w:val="18"/>
              </w:rPr>
              <w:t>1</w:t>
            </w:r>
            <w:r>
              <w:rPr>
                <w:rFonts w:ascii="宋体" w:hAnsi="宋体" w:cs="Arial"/>
                <w:sz w:val="18"/>
                <w:szCs w:val="18"/>
              </w:rPr>
              <w:t>00</w:t>
            </w:r>
            <w:r>
              <w:rPr>
                <w:rFonts w:ascii="Arial" w:hAnsi="Arial" w:cs="Arial"/>
                <w:szCs w:val="21"/>
              </w:rPr>
              <w:t>~</w:t>
            </w:r>
            <w:r>
              <w:rPr>
                <w:rFonts w:ascii="宋体" w:hAnsi="宋体" w:cs="Arial"/>
                <w:sz w:val="18"/>
                <w:szCs w:val="18"/>
              </w:rPr>
              <w:t>120</w:t>
            </w:r>
          </w:p>
        </w:tc>
        <w:tc>
          <w:tcPr>
            <w:tcW w:w="1992" w:type="dxa"/>
          </w:tcPr>
          <w:p>
            <w:pPr>
              <w:jc w:val="center"/>
              <w:rPr>
                <w:rFonts w:ascii="宋体" w:hAnsi="宋体" w:cs="Arial"/>
                <w:sz w:val="18"/>
                <w:szCs w:val="18"/>
              </w:rPr>
            </w:pPr>
            <w:r>
              <w:rPr>
                <w:rFonts w:ascii="宋体" w:hAnsi="宋体" w:cs="Arial"/>
                <w:sz w:val="18"/>
                <w:szCs w:val="18"/>
              </w:rPr>
              <w:t>50×70</w:t>
            </w:r>
          </w:p>
        </w:tc>
        <w:tc>
          <w:tcPr>
            <w:tcW w:w="1993" w:type="dxa"/>
            <w:vAlign w:val="center"/>
          </w:tcPr>
          <w:p>
            <w:pPr>
              <w:jc w:val="center"/>
              <w:rPr>
                <w:rFonts w:ascii="宋体" w:hAnsi="宋体" w:cs="Arial"/>
                <w:sz w:val="18"/>
                <w:szCs w:val="18"/>
              </w:rPr>
            </w:pPr>
            <w:r>
              <w:rPr>
                <w:rFonts w:ascii="宋体" w:hAnsi="宋体" w:cs="Arial"/>
                <w:sz w:val="18"/>
                <w:szCs w:val="18"/>
              </w:rPr>
              <w:t>双行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5</w:t>
            </w:r>
          </w:p>
        </w:tc>
        <w:tc>
          <w:tcPr>
            <w:tcW w:w="1157" w:type="dxa"/>
          </w:tcPr>
          <w:p>
            <w:pPr>
              <w:jc w:val="center"/>
              <w:rPr>
                <w:rFonts w:ascii="宋体" w:hAnsi="宋体" w:cs="Arial"/>
                <w:sz w:val="18"/>
                <w:szCs w:val="18"/>
              </w:rPr>
            </w:pPr>
            <w:r>
              <w:rPr>
                <w:rFonts w:ascii="宋体" w:hAnsi="宋体" w:cs="Arial"/>
                <w:sz w:val="18"/>
                <w:szCs w:val="18"/>
              </w:rPr>
              <w:t>120</w:t>
            </w:r>
            <w:r>
              <w:rPr>
                <w:rFonts w:ascii="Arial" w:hAnsi="Arial" w:cs="Arial"/>
                <w:szCs w:val="21"/>
              </w:rPr>
              <w:t>~</w:t>
            </w:r>
            <w:r>
              <w:rPr>
                <w:rFonts w:ascii="宋体" w:hAnsi="宋体" w:cs="Arial"/>
                <w:sz w:val="18"/>
                <w:szCs w:val="18"/>
              </w:rPr>
              <w:t>150</w:t>
            </w:r>
          </w:p>
        </w:tc>
        <w:tc>
          <w:tcPr>
            <w:tcW w:w="1992" w:type="dxa"/>
          </w:tcPr>
          <w:p>
            <w:pPr>
              <w:jc w:val="center"/>
              <w:rPr>
                <w:rFonts w:ascii="宋体" w:hAnsi="宋体" w:cs="Arial"/>
                <w:sz w:val="18"/>
                <w:szCs w:val="18"/>
              </w:rPr>
            </w:pPr>
            <w:r>
              <w:rPr>
                <w:rFonts w:ascii="宋体" w:hAnsi="宋体" w:cs="Arial"/>
                <w:sz w:val="18"/>
                <w:szCs w:val="18"/>
              </w:rPr>
              <w:t>60×60</w:t>
            </w:r>
          </w:p>
        </w:tc>
        <w:tc>
          <w:tcPr>
            <w:tcW w:w="1993" w:type="dxa"/>
            <w:vAlign w:val="center"/>
          </w:tcPr>
          <w:p>
            <w:pPr>
              <w:pStyle w:val="32"/>
              <w:shd w:val="clear" w:color="auto" w:fill="FFFFFF"/>
              <w:spacing w:before="0" w:beforeAutospacing="0" w:after="0" w:afterAutospacing="0"/>
              <w:jc w:val="center"/>
              <w:rPr>
                <w:rFonts w:cs="Arial"/>
                <w:kern w:val="2"/>
                <w:sz w:val="18"/>
                <w:szCs w:val="18"/>
              </w:rPr>
            </w:pPr>
            <w:r>
              <w:rPr>
                <w:rFonts w:cs="Arial"/>
                <w:sz w:val="18"/>
                <w:szCs w:val="18"/>
              </w:rPr>
              <w:t>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57" w:type="dxa"/>
          </w:tcPr>
          <w:p>
            <w:pPr>
              <w:jc w:val="center"/>
              <w:rPr>
                <w:rFonts w:ascii="宋体" w:hAnsi="宋体" w:cs="Arial"/>
                <w:sz w:val="18"/>
                <w:szCs w:val="18"/>
              </w:rPr>
            </w:pPr>
            <w:r>
              <w:rPr>
                <w:rFonts w:ascii="宋体" w:hAnsi="宋体" w:cs="Arial"/>
                <w:sz w:val="18"/>
                <w:szCs w:val="18"/>
              </w:rPr>
              <w:t>6</w:t>
            </w:r>
          </w:p>
        </w:tc>
        <w:tc>
          <w:tcPr>
            <w:tcW w:w="1157" w:type="dxa"/>
          </w:tcPr>
          <w:p>
            <w:pPr>
              <w:jc w:val="center"/>
              <w:rPr>
                <w:rFonts w:ascii="宋体" w:hAnsi="宋体" w:cs="Arial"/>
                <w:sz w:val="18"/>
                <w:szCs w:val="18"/>
              </w:rPr>
            </w:pPr>
            <w:r>
              <w:rPr>
                <w:rFonts w:ascii="宋体" w:hAnsi="宋体" w:cs="Arial"/>
                <w:sz w:val="18"/>
                <w:szCs w:val="18"/>
              </w:rPr>
              <w:t>120</w:t>
            </w:r>
            <w:r>
              <w:rPr>
                <w:rFonts w:ascii="Arial" w:hAnsi="Arial" w:cs="Arial"/>
                <w:szCs w:val="21"/>
              </w:rPr>
              <w:t>~</w:t>
            </w:r>
            <w:r>
              <w:rPr>
                <w:rFonts w:ascii="宋体" w:hAnsi="宋体" w:cs="Arial"/>
                <w:sz w:val="18"/>
                <w:szCs w:val="18"/>
              </w:rPr>
              <w:t>150</w:t>
            </w:r>
          </w:p>
        </w:tc>
        <w:tc>
          <w:tcPr>
            <w:tcW w:w="1992" w:type="dxa"/>
          </w:tcPr>
          <w:p>
            <w:pPr>
              <w:jc w:val="center"/>
              <w:rPr>
                <w:rFonts w:ascii="宋体" w:hAnsi="宋体" w:cs="Arial"/>
                <w:sz w:val="18"/>
                <w:szCs w:val="18"/>
              </w:rPr>
            </w:pPr>
            <w:r>
              <w:rPr>
                <w:rFonts w:ascii="宋体" w:hAnsi="宋体" w:cs="Arial"/>
                <w:sz w:val="18"/>
                <w:szCs w:val="18"/>
              </w:rPr>
              <w:t>60×80</w:t>
            </w:r>
          </w:p>
        </w:tc>
        <w:tc>
          <w:tcPr>
            <w:tcW w:w="1993" w:type="dxa"/>
            <w:vAlign w:val="center"/>
          </w:tcPr>
          <w:p>
            <w:pPr>
              <w:pStyle w:val="32"/>
              <w:shd w:val="clear" w:color="auto" w:fill="FFFFFF"/>
              <w:spacing w:before="0" w:beforeAutospacing="0" w:after="0" w:afterAutospacing="0"/>
              <w:jc w:val="center"/>
              <w:rPr>
                <w:rFonts w:cs="Arial"/>
                <w:sz w:val="18"/>
                <w:szCs w:val="18"/>
              </w:rPr>
            </w:pPr>
            <w:r>
              <w:rPr>
                <w:rFonts w:cs="Arial"/>
                <w:sz w:val="18"/>
                <w:szCs w:val="18"/>
              </w:rPr>
              <w:t>双行</w:t>
            </w:r>
          </w:p>
          <w:p>
            <w:pPr>
              <w:pStyle w:val="32"/>
              <w:shd w:val="clear" w:color="auto" w:fill="FFFFFF"/>
              <w:spacing w:before="0" w:beforeAutospacing="0" w:after="0" w:afterAutospacing="0"/>
              <w:jc w:val="center"/>
              <w:rPr>
                <w:rFonts w:cs="Arial"/>
                <w:kern w:val="2"/>
                <w:sz w:val="18"/>
                <w:szCs w:val="18"/>
              </w:rPr>
            </w:pPr>
          </w:p>
        </w:tc>
      </w:tr>
    </w:tbl>
    <w:p>
      <w:pPr>
        <w:pStyle w:val="146"/>
        <w:spacing w:before="156" w:beforeLines="50"/>
      </w:pPr>
      <w:r>
        <w:t>竹类种植穴规格</w:t>
      </w:r>
      <w:r>
        <w:rPr>
          <w:rFonts w:hint="eastAsia"/>
        </w:rPr>
        <w:t>：</w:t>
      </w:r>
      <w:r>
        <w:t>竹类种植穴深度比盘根或土球深20</w:t>
      </w:r>
      <w:r>
        <w:rPr>
          <w:rFonts w:ascii="Arial" w:hAnsi="Arial" w:cs="Arial"/>
          <w:color w:val="333333"/>
        </w:rPr>
        <w:t>~</w:t>
      </w:r>
      <w:r>
        <w:t>40cm，种植穴直径比盘根或土球宽40</w:t>
      </w:r>
      <w:r>
        <w:rPr>
          <w:rFonts w:ascii="Arial" w:hAnsi="Arial" w:cs="Arial"/>
          <w:color w:val="333333"/>
        </w:rPr>
        <w:t>~</w:t>
      </w:r>
      <w:r>
        <w:t>60cm。</w:t>
      </w:r>
    </w:p>
    <w:p>
      <w:pPr>
        <w:pStyle w:val="146"/>
      </w:pPr>
      <w:r>
        <w:t>在土层干燥地区应于种植前浸穴。</w:t>
      </w:r>
    </w:p>
    <w:p>
      <w:pPr>
        <w:pStyle w:val="146"/>
      </w:pPr>
      <w:r>
        <w:t>挖穴、槽后，应施入腐熟的有机肥作为基肥或者是无污染的各类肥料。</w:t>
      </w:r>
    </w:p>
    <w:p>
      <w:pPr>
        <w:pStyle w:val="46"/>
      </w:pPr>
      <w:bookmarkStart w:id="42" w:name="_Toc47020167"/>
      <w:bookmarkStart w:id="43" w:name="_Toc49332326"/>
      <w:bookmarkStart w:id="44" w:name="_Toc119010856"/>
      <w:r>
        <w:t>苗木种植前的修剪</w:t>
      </w:r>
      <w:bookmarkEnd w:id="42"/>
      <w:bookmarkEnd w:id="43"/>
      <w:bookmarkEnd w:id="44"/>
    </w:p>
    <w:p>
      <w:pPr>
        <w:pStyle w:val="146"/>
        <w:jc w:val="both"/>
      </w:pPr>
      <w:r>
        <w:t>种植前应进行苗木根系修剪，宜将劈裂根、病虫根、过长根剪除，并对树冠进行修剪，保待地上地下平衡。</w:t>
      </w:r>
    </w:p>
    <w:p>
      <w:pPr>
        <w:pStyle w:val="146"/>
        <w:jc w:val="both"/>
      </w:pPr>
      <w:r>
        <w:t>乔木类修剪应符合下列规定</w:t>
      </w:r>
      <w:r>
        <w:rPr>
          <w:rFonts w:hint="eastAsia"/>
        </w:rPr>
        <w:t>：</w:t>
      </w:r>
    </w:p>
    <w:p>
      <w:pPr>
        <w:pStyle w:val="49"/>
      </w:pPr>
      <w:r>
        <w:t>具有明显主干的高大落叶乔木应保持原有树形，适当疏枝，对保留的主侧枝应在健壮芽上短截，可剪去枝条1/5</w:t>
      </w:r>
      <w:r>
        <w:rPr>
          <w:rFonts w:ascii="Arial" w:hAnsi="Arial" w:cs="Arial"/>
          <w:color w:val="333333"/>
          <w:szCs w:val="21"/>
        </w:rPr>
        <w:t>~</w:t>
      </w:r>
      <w:r>
        <w:t>1/3</w:t>
      </w:r>
      <w:r>
        <w:rPr>
          <w:rFonts w:hint="eastAsia"/>
        </w:rPr>
        <w:t>；</w:t>
      </w:r>
    </w:p>
    <w:p>
      <w:pPr>
        <w:pStyle w:val="49"/>
      </w:pPr>
      <w:r>
        <w:t>无明显主干、枝条茂密的落叶乔木，对干径10cm以上树木，可疏枝保待原树形</w:t>
      </w:r>
      <w:r>
        <w:rPr>
          <w:rFonts w:hint="eastAsia"/>
        </w:rPr>
        <w:t>；</w:t>
      </w:r>
      <w:r>
        <w:t>对干径为5</w:t>
      </w:r>
      <w:r>
        <w:rPr>
          <w:rFonts w:ascii="Arial" w:hAnsi="Arial" w:cs="Arial"/>
          <w:color w:val="333333"/>
          <w:szCs w:val="21"/>
        </w:rPr>
        <w:t>~</w:t>
      </w:r>
      <w:r>
        <w:t>10cm的苗木，可选留主干上的几个侧枝，保持原有树形进行短截</w:t>
      </w:r>
      <w:r>
        <w:rPr>
          <w:rFonts w:hint="eastAsia"/>
        </w:rPr>
        <w:t>；</w:t>
      </w:r>
    </w:p>
    <w:p>
      <w:pPr>
        <w:pStyle w:val="49"/>
      </w:pPr>
      <w:r>
        <w:t>常绿乔木可适量疏枝。枝叶集生树干顶部的苗木可不修剪。具轮生侧枝的常绿乔木用作行道树时，可剪除基部2</w:t>
      </w:r>
      <w:r>
        <w:rPr>
          <w:rFonts w:ascii="Arial" w:hAnsi="Arial" w:cs="Arial"/>
          <w:color w:val="333333"/>
          <w:szCs w:val="21"/>
        </w:rPr>
        <w:t>~</w:t>
      </w:r>
      <w:r>
        <w:t>3层轮生侧枝</w:t>
      </w:r>
      <w:r>
        <w:rPr>
          <w:rFonts w:hint="eastAsia"/>
        </w:rPr>
        <w:t>；</w:t>
      </w:r>
    </w:p>
    <w:p>
      <w:pPr>
        <w:pStyle w:val="49"/>
      </w:pPr>
      <w:r>
        <w:t>常绿针叶树，不宜修剪，只剪除病虫枝、枯死枝、生长衰弱枝、过密的轮生枝和下垂枝</w:t>
      </w:r>
      <w:r>
        <w:rPr>
          <w:rFonts w:hint="eastAsia"/>
        </w:rPr>
        <w:t>；</w:t>
      </w:r>
    </w:p>
    <w:p>
      <w:pPr>
        <w:pStyle w:val="49"/>
      </w:pPr>
      <w:r>
        <w:t>用作行道树的乔木，定干高度宜大于3m，第一分枝点以下枝条应全部剪除，分枝点以上枝条酌情疏剪或短截，并应保持树冠原型</w:t>
      </w:r>
      <w:r>
        <w:rPr>
          <w:rFonts w:hint="eastAsia"/>
        </w:rPr>
        <w:t>；</w:t>
      </w:r>
    </w:p>
    <w:p>
      <w:pPr>
        <w:pStyle w:val="49"/>
      </w:pPr>
      <w:r>
        <w:t>珍贵树种的树冠宜作少量疏剪。</w:t>
      </w:r>
    </w:p>
    <w:p>
      <w:pPr>
        <w:pStyle w:val="146"/>
        <w:jc w:val="both"/>
      </w:pPr>
      <w:r>
        <w:t>灌木及藤蔓类修剪应符合下列规定</w:t>
      </w:r>
      <w:r>
        <w:rPr>
          <w:rFonts w:hint="eastAsia"/>
        </w:rPr>
        <w:t>：</w:t>
      </w:r>
    </w:p>
    <w:p>
      <w:pPr>
        <w:pStyle w:val="49"/>
      </w:pPr>
      <w:r>
        <w:t>带土球或湿润地区带宿土裸根苗木及上年花芽分化的开花灌木不宜作修剪，当有枯枝、病虫枝时应予剪除</w:t>
      </w:r>
      <w:r>
        <w:rPr>
          <w:rFonts w:hint="eastAsia"/>
        </w:rPr>
        <w:t>；</w:t>
      </w:r>
    </w:p>
    <w:p>
      <w:pPr>
        <w:pStyle w:val="49"/>
      </w:pPr>
      <w:r>
        <w:t>枝条茂密的大灌木，可适量疏枝</w:t>
      </w:r>
      <w:r>
        <w:rPr>
          <w:rFonts w:hint="eastAsia"/>
        </w:rPr>
        <w:t>；</w:t>
      </w:r>
    </w:p>
    <w:p>
      <w:pPr>
        <w:pStyle w:val="49"/>
      </w:pPr>
      <w:r>
        <w:t>对嫁接灌木，应将接口以下砧木萌生枝条剪除</w:t>
      </w:r>
      <w:r>
        <w:rPr>
          <w:rFonts w:hint="eastAsia"/>
        </w:rPr>
        <w:t>；</w:t>
      </w:r>
    </w:p>
    <w:p>
      <w:pPr>
        <w:pStyle w:val="49"/>
      </w:pPr>
      <w:r>
        <w:t>分枝明显、新枝着生花芽的小灌木，应顺其树势适当强剪，促生新枝，更新老枝</w:t>
      </w:r>
      <w:r>
        <w:rPr>
          <w:rFonts w:hint="eastAsia"/>
        </w:rPr>
        <w:t>；</w:t>
      </w:r>
    </w:p>
    <w:p>
      <w:pPr>
        <w:pStyle w:val="49"/>
      </w:pPr>
      <w:r>
        <w:t>用作绿篱的乔灌木，可在种植后按设计要求整形修剪。苗圃培育成型的绿篱，种植后应加以整修</w:t>
      </w:r>
      <w:r>
        <w:rPr>
          <w:rFonts w:hint="eastAsia"/>
        </w:rPr>
        <w:t>；</w:t>
      </w:r>
    </w:p>
    <w:p>
      <w:pPr>
        <w:pStyle w:val="49"/>
      </w:pPr>
      <w:r>
        <w:t>攀援类和蔓性苗木可剪除过长部分。攀援上架苗木可剪除交错枝、横向生长枝。</w:t>
      </w:r>
    </w:p>
    <w:p>
      <w:pPr>
        <w:pStyle w:val="146"/>
        <w:jc w:val="both"/>
      </w:pPr>
      <w:r>
        <w:t>苗木修剪质量应符合下列规定</w:t>
      </w:r>
      <w:r>
        <w:rPr>
          <w:rFonts w:hint="eastAsia"/>
        </w:rPr>
        <w:t>：</w:t>
      </w:r>
    </w:p>
    <w:p>
      <w:pPr>
        <w:pStyle w:val="49"/>
      </w:pPr>
      <w:r>
        <w:t>剪口应平滑，不得劈裂</w:t>
      </w:r>
      <w:r>
        <w:rPr>
          <w:rFonts w:hint="eastAsia"/>
        </w:rPr>
        <w:t>；</w:t>
      </w:r>
    </w:p>
    <w:p>
      <w:pPr>
        <w:pStyle w:val="49"/>
      </w:pPr>
      <w:r>
        <w:t>枝条短截时应留外芽，剪口应距留芽位置以上1cm</w:t>
      </w:r>
      <w:r>
        <w:rPr>
          <w:rFonts w:hint="eastAsia"/>
        </w:rPr>
        <w:t>；</w:t>
      </w:r>
    </w:p>
    <w:p>
      <w:pPr>
        <w:pStyle w:val="49"/>
      </w:pPr>
      <w:r>
        <w:t>修剪直径2cm以上大枝及粗根时，截口必须削平并涂防腐剂。</w:t>
      </w:r>
    </w:p>
    <w:p>
      <w:pPr>
        <w:pStyle w:val="46"/>
      </w:pPr>
      <w:bookmarkStart w:id="45" w:name="_Toc119010857"/>
      <w:bookmarkStart w:id="46" w:name="_Toc49332327"/>
      <w:r>
        <w:rPr>
          <w:rFonts w:hint="eastAsia"/>
        </w:rPr>
        <w:t>树木种植</w:t>
      </w:r>
      <w:bookmarkEnd w:id="45"/>
      <w:bookmarkEnd w:id="46"/>
    </w:p>
    <w:p>
      <w:pPr>
        <w:pStyle w:val="43"/>
        <w:spacing w:before="156" w:after="156"/>
        <w:jc w:val="both"/>
      </w:pPr>
      <w:bookmarkStart w:id="47" w:name="_Toc49332328"/>
      <w:bookmarkStart w:id="48" w:name="_Toc119010858"/>
      <w:r>
        <w:rPr>
          <w:rFonts w:hint="eastAsia"/>
        </w:rPr>
        <w:t>种植要求</w:t>
      </w:r>
      <w:bookmarkEnd w:id="47"/>
      <w:bookmarkEnd w:id="48"/>
    </w:p>
    <w:p>
      <w:pPr>
        <w:pStyle w:val="147"/>
        <w:jc w:val="both"/>
      </w:pPr>
      <w:r>
        <w:rPr>
          <w:rFonts w:hint="eastAsia"/>
        </w:rPr>
        <w:t>本规范适用于种植干径15cm以下的乔木，高4m或土球直径1.3m以下常绿乔木质量技术标准。</w:t>
      </w:r>
    </w:p>
    <w:p>
      <w:pPr>
        <w:pStyle w:val="147"/>
        <w:jc w:val="both"/>
      </w:pPr>
      <w:r>
        <w:rPr>
          <w:rFonts w:hint="eastAsia"/>
        </w:rPr>
        <w:t>树木种植前应根据树木的习性和当地的气候条件，选择最适宜的种植时期进行种植。</w:t>
      </w:r>
    </w:p>
    <w:p>
      <w:pPr>
        <w:pStyle w:val="43"/>
        <w:spacing w:before="156" w:after="156"/>
        <w:jc w:val="both"/>
      </w:pPr>
      <w:bookmarkStart w:id="49" w:name="_Toc49332329"/>
      <w:bookmarkStart w:id="50" w:name="_Toc119010859"/>
      <w:r>
        <w:rPr>
          <w:rFonts w:hint="eastAsia"/>
        </w:rPr>
        <w:t>种植</w:t>
      </w:r>
      <w:bookmarkEnd w:id="49"/>
      <w:bookmarkEnd w:id="50"/>
    </w:p>
    <w:p>
      <w:pPr>
        <w:pStyle w:val="147"/>
        <w:jc w:val="both"/>
      </w:pPr>
      <w:r>
        <w:rPr>
          <w:rFonts w:hint="eastAsia"/>
        </w:rPr>
        <w:t>定点放线应符合设计图纸要求，位置要准确，标记要明显。定点放线后应由设计或有关人员验点，合格后方可施工。</w:t>
      </w:r>
    </w:p>
    <w:p>
      <w:pPr>
        <w:pStyle w:val="147"/>
        <w:jc w:val="both"/>
      </w:pPr>
      <w:r>
        <w:rPr>
          <w:rFonts w:hint="eastAsia"/>
        </w:rPr>
        <w:t>规则式种植，树穴位置必须排列整齐，横平竖直。行道树定点，行位必须准确。树位中心可用镐刨坑后放白灰。</w:t>
      </w:r>
    </w:p>
    <w:p>
      <w:pPr>
        <w:pStyle w:val="147"/>
        <w:jc w:val="both"/>
      </w:pPr>
      <w:r>
        <w:rPr>
          <w:rFonts w:hint="eastAsia"/>
        </w:rPr>
        <w:t>孤植树定点时，应用木桩标志树穴的中心位置，木桩上写明树种和树穴的规格。</w:t>
      </w:r>
    </w:p>
    <w:p>
      <w:pPr>
        <w:pStyle w:val="147"/>
        <w:jc w:val="both"/>
      </w:pPr>
      <w:r>
        <w:rPr>
          <w:rFonts w:hint="eastAsia"/>
        </w:rPr>
        <w:t>自然式种植，定点放线应按设计意图保持自然，自然式树丛用白灰线标明范围，其位置和形状应符合设计要求。树丛内的树木分布应有疏有密，不得成规则状，三点不得成行，不得成等腰三角形。</w:t>
      </w:r>
    </w:p>
    <w:p>
      <w:pPr>
        <w:pStyle w:val="147"/>
        <w:jc w:val="both"/>
      </w:pPr>
      <w:r>
        <w:rPr>
          <w:rFonts w:hint="eastAsia"/>
        </w:rPr>
        <w:t>挖种植穴、槽的位置应准确，严格以定点放线的标记为依据，规格符合要求。挖植树穴、槽时遇障碍物，如市政设施、电讯、电缆等应先停止操作，请示有关部门解决。</w:t>
      </w:r>
    </w:p>
    <w:p>
      <w:pPr>
        <w:pStyle w:val="147"/>
        <w:jc w:val="both"/>
      </w:pPr>
      <w:r>
        <w:rPr>
          <w:rFonts w:hint="eastAsia"/>
        </w:rPr>
        <w:t>对不宜树木生长的建筑弃土，或含有害成份的土壤，必须进行客土，换上适宜树木生长的种植土。</w:t>
      </w:r>
    </w:p>
    <w:p>
      <w:pPr>
        <w:pStyle w:val="147"/>
        <w:jc w:val="both"/>
      </w:pPr>
      <w:r>
        <w:rPr>
          <w:rFonts w:hint="eastAsia"/>
        </w:rPr>
        <w:t>为供给树木养分，促进发育生长，可采取施肥措施，施肥品种和量应根据树木规格、土壤肥力、有机肥效高低等因素而定。</w:t>
      </w:r>
    </w:p>
    <w:p>
      <w:pPr>
        <w:pStyle w:val="43"/>
        <w:spacing w:before="156" w:after="156"/>
        <w:jc w:val="both"/>
      </w:pPr>
      <w:bookmarkStart w:id="51" w:name="_Toc49332330"/>
      <w:bookmarkStart w:id="52" w:name="_Toc119010860"/>
      <w:r>
        <w:rPr>
          <w:rFonts w:hint="eastAsia"/>
        </w:rPr>
        <w:t>种植的程序和方法</w:t>
      </w:r>
      <w:bookmarkEnd w:id="51"/>
      <w:bookmarkEnd w:id="52"/>
    </w:p>
    <w:p>
      <w:pPr>
        <w:pStyle w:val="147"/>
        <w:jc w:val="both"/>
      </w:pPr>
      <w:r>
        <w:rPr>
          <w:rFonts w:hint="eastAsia"/>
        </w:rPr>
        <w:t>将苗木放至穴内或穴边，与设计图核对，无误后方可进行下道工序。</w:t>
      </w:r>
    </w:p>
    <w:p>
      <w:pPr>
        <w:pStyle w:val="147"/>
        <w:jc w:val="both"/>
      </w:pPr>
      <w:r>
        <w:rPr>
          <w:rFonts w:hint="eastAsia"/>
        </w:rPr>
        <w:t>核对根系、土球与种植穴的规格是否符合规范的标准，合格后向种植穴内还土至合适的高度并踏实。</w:t>
      </w:r>
    </w:p>
    <w:p>
      <w:pPr>
        <w:pStyle w:val="147"/>
        <w:jc w:val="both"/>
      </w:pPr>
      <w:r>
        <w:rPr>
          <w:rFonts w:hint="eastAsia"/>
        </w:rPr>
        <w:t>裸根树木种植时，应将根部舒展、铺平，不得窝根，随后填土至1/2时，将树干向上提动，但不得错位，使根与土壤密接，沿穴壁踏实，再将土填至地平。</w:t>
      </w:r>
    </w:p>
    <w:p>
      <w:pPr>
        <w:pStyle w:val="147"/>
        <w:jc w:val="both"/>
      </w:pPr>
      <w:r>
        <w:rPr>
          <w:rFonts w:hint="eastAsia"/>
        </w:rPr>
        <w:t>种植带土球苗木、树木入穴后，土球放稳，树干直立，随后拆除并取出包装物，随填土随踏实。种植绿篱时，土球完好的应在入槽前拆除包装物，再置于槽内。</w:t>
      </w:r>
    </w:p>
    <w:p>
      <w:pPr>
        <w:pStyle w:val="147"/>
        <w:jc w:val="both"/>
      </w:pPr>
      <w:r>
        <w:rPr>
          <w:rFonts w:hint="eastAsia"/>
        </w:rPr>
        <w:t>植后应在树木四周筑成高15cm</w:t>
      </w:r>
      <w:r>
        <w:rPr>
          <w:rFonts w:ascii="Arial" w:hAnsi="Arial" w:cs="Arial"/>
          <w:color w:val="333333"/>
        </w:rPr>
        <w:t>~</w:t>
      </w:r>
      <w:r>
        <w:rPr>
          <w:rFonts w:hint="eastAsia"/>
        </w:rPr>
        <w:t>20cm的灌水土堰，土堰内边应略大于树穴、槽10cm左右。筑堰应用细土筑实，不得漏水。</w:t>
      </w:r>
    </w:p>
    <w:p>
      <w:pPr>
        <w:pStyle w:val="147"/>
        <w:jc w:val="both"/>
      </w:pPr>
      <w:r>
        <w:rPr>
          <w:rFonts w:hint="eastAsia"/>
        </w:rPr>
        <w:t>立支柱：种植后需要支撑的树木，可采取单支柱法、双支柱法、三支柱法，支撑应牢固，一般支柱立于土堰以外，深埋30cm以上，将土夯实，支柱的方向一般应迎风。树木绑扎处应垫软物，严禁支柱与树干直接接触，以免磨坏树皮。支柱立好后树木必须保持直立。</w:t>
      </w:r>
    </w:p>
    <w:p>
      <w:pPr>
        <w:pStyle w:val="147"/>
        <w:jc w:val="both"/>
      </w:pPr>
      <w:r>
        <w:rPr>
          <w:rFonts w:hint="eastAsia"/>
        </w:rPr>
        <w:t>新植树木栽后4小时内浇第一遍水，三日内浇第二遍水，十日内浇第三遍水，浇水水量要大，应浇透，之后转入后期养护。每次浇水后均应整堰、堵漏、培土、扶直树干。</w:t>
      </w:r>
    </w:p>
    <w:p>
      <w:pPr>
        <w:pStyle w:val="43"/>
        <w:spacing w:before="156" w:after="156"/>
        <w:jc w:val="both"/>
      </w:pPr>
      <w:bookmarkStart w:id="53" w:name="_Toc49332331"/>
      <w:bookmarkStart w:id="54" w:name="_Toc119010861"/>
      <w:r>
        <w:rPr>
          <w:rFonts w:hint="eastAsia"/>
        </w:rPr>
        <w:t>后期养护</w:t>
      </w:r>
      <w:bookmarkEnd w:id="53"/>
      <w:bookmarkEnd w:id="54"/>
    </w:p>
    <w:p>
      <w:pPr>
        <w:pStyle w:val="25"/>
      </w:pPr>
      <w:r>
        <w:rPr>
          <w:rFonts w:hint="eastAsia"/>
        </w:rPr>
        <w:t>按规定时间为一年，即新植三遍水后转入后期养护，应固定专人负责。主要项目包括浇水、中耕、修剪、防治病虫、施肥、防寒和看管维护。</w:t>
      </w:r>
    </w:p>
    <w:p>
      <w:pPr>
        <w:pStyle w:val="149"/>
        <w:numPr>
          <w:ilvl w:val="0"/>
          <w:numId w:val="0"/>
        </w:numPr>
        <w:rPr>
          <w:rFonts w:hint="eastAsia"/>
        </w:rPr>
      </w:pPr>
    </w:p>
    <w:p>
      <w:pPr>
        <w:pStyle w:val="149"/>
        <w:numPr>
          <w:ilvl w:val="0"/>
          <w:numId w:val="0"/>
        </w:numPr>
        <w:ind w:firstLine="420"/>
      </w:pPr>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109220</wp:posOffset>
                </wp:positionV>
                <wp:extent cx="2314575" cy="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05pt;margin-top:8.6pt;height:0pt;width:182.25pt;z-index:251660288;mso-width-relative:page;mso-height-relative:page;" filled="f" stroked="t" coordsize="21600,21600" o:gfxdata="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msfsjVAAAACQEAAA8AAAAA&#10;AAAAAQAgAAAAOAAAAGRycy9kb3ducmV2LnhtbFBLAQIUABQAAAAIAIdO4kCtknAlyAEAAGMDAAAO&#10;AAAAAAAAAAEAIAAAADoBAABkcnMvZTJvRG9jLnhtbFBLBQYAAAAABgAGAFkBAAB0BQAAAAA=&#10;">
                <v:fill on="f" focussize="0,0"/>
                <v:stroke weight="0.5pt" color="#000000 [3200]"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49"/>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009—2022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1D28"/>
    <w:rsid w:val="00B636A8"/>
    <w:rsid w:val="00B64094"/>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7DFB3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9</Pages>
  <Words>958</Words>
  <Characters>5462</Characters>
  <Lines>45</Lines>
  <Paragraphs>12</Paragraphs>
  <TotalTime>1</TotalTime>
  <ScaleCrop>false</ScaleCrop>
  <LinksUpToDate>false</LinksUpToDate>
  <CharactersWithSpaces>6408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2022-11-10T22:10:00Z</dcterms:created>
  <dc:creator>董世涛</dc:creator>
  <cp:lastModifiedBy>kylin</cp:lastModifiedBy>
  <cp:lastPrinted>2020-10-13T15:25:00Z</cp:lastPrinted>
  <dcterms:modified xsi:type="dcterms:W3CDTF">2023-03-18T20:07:50Z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