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016—2022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房屋公共部位维护规范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9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2123958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hAnsi="黑体" w:cs="黑体"/>
          <w:szCs w:val="52"/>
        </w:rPr>
        <w:t>房屋公共部位维护规范</w:t>
      </w:r>
    </w:p>
    <w:p>
      <w:pPr>
        <w:pStyle w:val="46"/>
      </w:pPr>
      <w:bookmarkStart w:id="6" w:name="_Toc121239588"/>
      <w:r>
        <w:rPr>
          <w:rFonts w:hint="eastAsia"/>
        </w:rPr>
        <w:t>范围</w:t>
      </w:r>
      <w:bookmarkEnd w:id="6"/>
    </w:p>
    <w:p>
      <w:pPr>
        <w:pStyle w:val="25"/>
      </w:pPr>
      <w:r>
        <w:rPr>
          <w:rFonts w:hint="eastAsia"/>
        </w:rPr>
        <w:t>本文件规定了房屋公共部位的装饰、结构建筑巡查和报损的要求。</w:t>
      </w:r>
    </w:p>
    <w:p>
      <w:pPr>
        <w:pStyle w:val="25"/>
      </w:pPr>
      <w:r>
        <w:rPr>
          <w:rFonts w:hint="eastAsia"/>
        </w:rPr>
        <w:t>本文件适用于房屋公共部位的维护。</w:t>
      </w:r>
    </w:p>
    <w:p>
      <w:pPr>
        <w:pStyle w:val="46"/>
      </w:pPr>
      <w:bookmarkStart w:id="7" w:name="_Toc12123958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 2894 安全标志及其使用导则</w:t>
      </w:r>
    </w:p>
    <w:p>
      <w:pPr>
        <w:pStyle w:val="25"/>
      </w:pPr>
      <w:r>
        <w:rPr>
          <w:rFonts w:hint="eastAsia"/>
        </w:rPr>
        <w:t>GB/T 10001.1 公共信息图形符号 第1部分：通用符号</w:t>
      </w:r>
    </w:p>
    <w:p>
      <w:pPr>
        <w:pStyle w:val="25"/>
      </w:pPr>
      <w:r>
        <w:rPr>
          <w:rFonts w:hint="eastAsia"/>
        </w:rPr>
        <w:t xml:space="preserve">GB </w:t>
      </w:r>
      <w:r>
        <w:t>13495.1</w:t>
      </w:r>
      <w:r>
        <w:rPr>
          <w:rFonts w:hint="eastAsia"/>
        </w:rPr>
        <w:t xml:space="preserve"> 消防安全标志 第1部分</w:t>
      </w:r>
      <w:r>
        <w:t>：标</w:t>
      </w:r>
      <w:r>
        <w:rPr>
          <w:rFonts w:hint="eastAsia"/>
        </w:rPr>
        <w:t>志</w:t>
      </w:r>
    </w:p>
    <w:p>
      <w:pPr>
        <w:pStyle w:val="46"/>
      </w:pPr>
      <w:bookmarkStart w:id="8" w:name="_Toc31235"/>
      <w:bookmarkStart w:id="9" w:name="_Toc121239590"/>
      <w:r>
        <w:rPr>
          <w:rFonts w:hint="eastAsia"/>
        </w:rPr>
        <w:t>术语和定义</w:t>
      </w:r>
      <w:bookmarkEnd w:id="8"/>
      <w:bookmarkEnd w:id="9"/>
    </w:p>
    <w:p>
      <w:pPr>
        <w:pStyle w:val="25"/>
        <w:rPr>
          <w:color w:val="000000"/>
        </w:rPr>
      </w:pPr>
      <w:r>
        <w:rPr>
          <w:rFonts w:hint="eastAsia"/>
          <w:color w:val="000000"/>
        </w:rPr>
        <w:t>下列术语和定义适用于本文件。</w:t>
      </w:r>
    </w:p>
    <w:p>
      <w:pPr>
        <w:pStyle w:val="43"/>
        <w:spacing w:before="156" w:after="156"/>
      </w:pPr>
      <w:bookmarkStart w:id="10" w:name="_Toc121239591"/>
      <w:bookmarkEnd w:id="10"/>
    </w:p>
    <w:p>
      <w:pPr>
        <w:pStyle w:val="148"/>
      </w:pPr>
      <w:r>
        <w:rPr>
          <w:rFonts w:hint="eastAsia"/>
        </w:rPr>
        <w:t>房屋公共部位</w:t>
      </w:r>
    </w:p>
    <w:p>
      <w:pPr>
        <w:pStyle w:val="25"/>
        <w:rPr>
          <w:rFonts w:ascii="Tahoma" w:hAnsi="Tahoma" w:cs="Tahoma"/>
          <w:color w:val="000000"/>
          <w:szCs w:val="21"/>
          <w:shd w:val="clear" w:color="auto" w:fill="FFFFFF"/>
        </w:rPr>
      </w:pPr>
      <w:r>
        <w:rPr>
          <w:rFonts w:hint="eastAsia"/>
          <w:color w:val="000000"/>
          <w:szCs w:val="22"/>
        </w:rPr>
        <w:t>住宅主体承重结构部位、屋面、户外墙面、门厅、楼梯间、走廊通道等</w:t>
      </w:r>
      <w:r>
        <w:rPr>
          <w:rFonts w:hint="eastAsia" w:ascii="Tahoma" w:hAnsi="Tahoma" w:cs="Tahoma"/>
          <w:color w:val="000000"/>
          <w:szCs w:val="21"/>
          <w:shd w:val="clear" w:color="auto" w:fill="FFFFFF"/>
        </w:rPr>
        <w:t>。</w:t>
      </w:r>
    </w:p>
    <w:p>
      <w:pPr>
        <w:pStyle w:val="43"/>
        <w:spacing w:before="156" w:after="156"/>
      </w:pPr>
      <w:bookmarkStart w:id="11" w:name="_Toc121239592"/>
      <w:bookmarkEnd w:id="11"/>
    </w:p>
    <w:p>
      <w:pPr>
        <w:pStyle w:val="148"/>
        <w:rPr>
          <w:szCs w:val="22"/>
        </w:rPr>
      </w:pPr>
      <w:r>
        <w:rPr>
          <w:rFonts w:hint="eastAsia"/>
          <w:szCs w:val="22"/>
        </w:rPr>
        <w:t>房屋建筑结构部件</w:t>
      </w:r>
    </w:p>
    <w:p>
      <w:pPr>
        <w:pStyle w:val="25"/>
        <w:rPr>
          <w:rFonts w:ascii="Tahoma" w:hAnsi="Tahoma" w:cs="Tahoma"/>
          <w:color w:val="000000"/>
          <w:szCs w:val="21"/>
          <w:shd w:val="clear" w:color="auto" w:fill="FFFFFF"/>
        </w:rPr>
      </w:pPr>
      <w:r>
        <w:rPr>
          <w:rFonts w:hint="eastAsia"/>
          <w:color w:val="000000"/>
          <w:szCs w:val="22"/>
        </w:rPr>
        <w:t>包括基础、内外承重墙体、柱、梁、楼板、屋顶等</w:t>
      </w:r>
      <w:r>
        <w:rPr>
          <w:rFonts w:hint="eastAsia" w:ascii="PingFang SC" w:hAnsi="PingFang SC" w:cs="PingFang SC"/>
          <w:color w:val="333333"/>
          <w:szCs w:val="21"/>
          <w:shd w:val="clear" w:color="auto" w:fill="FFFFFF"/>
        </w:rPr>
        <w:t>。</w:t>
      </w:r>
    </w:p>
    <w:p>
      <w:pPr>
        <w:pStyle w:val="46"/>
      </w:pPr>
      <w:bookmarkStart w:id="12" w:name="_Toc121239593"/>
      <w:r>
        <w:rPr>
          <w:rFonts w:hint="eastAsia"/>
        </w:rPr>
        <w:t>装饰装修及标识标牌</w:t>
      </w:r>
      <w:bookmarkEnd w:id="12"/>
    </w:p>
    <w:p>
      <w:pPr>
        <w:pStyle w:val="146"/>
        <w:rPr>
          <w:rFonts w:hAnsi="宋体"/>
        </w:rPr>
      </w:pPr>
      <w:r>
        <w:rPr>
          <w:rFonts w:hint="eastAsia"/>
        </w:rPr>
        <w:t>装饰装修前，管理科告知装修人或装修人委托的装修企业装饰装修须知，并对装饰装修过程进行监督；装修人不得对承重墙体、分户墙拆打、抠。</w:t>
      </w:r>
    </w:p>
    <w:p>
      <w:pPr>
        <w:pStyle w:val="146"/>
      </w:pPr>
      <w:r>
        <w:rPr>
          <w:rFonts w:hint="eastAsia"/>
        </w:rPr>
        <w:t>装修垃圾在指定地点临时堆放，采取围挡、遮盖等措施；装修人或装修人委托的装修企业在规定时间内清运。</w:t>
      </w:r>
    </w:p>
    <w:p>
      <w:pPr>
        <w:pStyle w:val="146"/>
        <w:rPr>
          <w:rFonts w:hAnsi="宋体"/>
        </w:rPr>
      </w:pPr>
      <w:r>
        <w:rPr>
          <w:rFonts w:hint="eastAsia"/>
        </w:rPr>
        <w:t>标识标牌符合 GB/T 10001.1 的要求，</w:t>
      </w:r>
      <w:bookmarkStart w:id="13" w:name="OLE_LINK7"/>
      <w:r>
        <w:rPr>
          <w:rFonts w:hint="eastAsia"/>
        </w:rPr>
        <w:t>消防与</w:t>
      </w:r>
      <w:bookmarkStart w:id="17" w:name="_GoBack"/>
      <w:bookmarkEnd w:id="17"/>
      <w:r>
        <w:rPr>
          <w:rFonts w:hint="eastAsia"/>
        </w:rPr>
        <w:t xml:space="preserve">安全标识符合 GB 2894、GB </w:t>
      </w:r>
      <w:r>
        <w:t>13495.1</w:t>
      </w:r>
      <w:bookmarkEnd w:id="13"/>
      <w:r>
        <w:rPr>
          <w:rFonts w:hint="eastAsia"/>
        </w:rPr>
        <w:t>的要求</w:t>
      </w:r>
      <w:r>
        <w:rPr>
          <w:rFonts w:hint="eastAsia" w:hAnsi="宋体"/>
        </w:rPr>
        <w:t>。</w:t>
      </w:r>
    </w:p>
    <w:p>
      <w:pPr>
        <w:pStyle w:val="146"/>
      </w:pPr>
      <w:r>
        <w:rPr>
          <w:rFonts w:hint="eastAsia"/>
        </w:rPr>
        <w:t>定期检查供配电系统、主要供水阀门、电气开关状态标识、主要管线流向标识、交通标识等，确保标志标牌规范清晰，安装稳固。</w:t>
      </w:r>
    </w:p>
    <w:p>
      <w:pPr>
        <w:pStyle w:val="46"/>
      </w:pPr>
      <w:bookmarkStart w:id="14" w:name="_Toc121239594"/>
      <w:r>
        <w:rPr>
          <w:rFonts w:hint="eastAsia"/>
        </w:rPr>
        <w:t>房屋结构建筑部件巡查</w:t>
      </w:r>
      <w:bookmarkEnd w:id="14"/>
    </w:p>
    <w:p>
      <w:pPr>
        <w:pStyle w:val="146"/>
      </w:pPr>
      <w:r>
        <w:rPr>
          <w:rFonts w:hint="eastAsia"/>
        </w:rPr>
        <w:t>对房屋进行日常巡查，</w:t>
      </w:r>
      <w:bookmarkStart w:id="15" w:name="OLE_LINK6"/>
      <w:r>
        <w:rPr>
          <w:rFonts w:hint="eastAsia"/>
        </w:rPr>
        <w:t>包括房屋结构建筑部件巡查根据房屋实际使用年限，定期检查房屋的使用状况；大风、暴雨等极端天气之前进行应急检查</w:t>
      </w:r>
      <w:bookmarkEnd w:id="15"/>
      <w:r>
        <w:rPr>
          <w:rFonts w:hint="eastAsia"/>
        </w:rPr>
        <w:t>。</w:t>
      </w:r>
    </w:p>
    <w:p>
      <w:pPr>
        <w:pStyle w:val="146"/>
      </w:pPr>
      <w:r>
        <w:rPr>
          <w:rFonts w:hint="eastAsia"/>
        </w:rPr>
        <w:t>每半月巡查1次共用部位的门、窗、玻璃、楼梯、通风道等。</w:t>
      </w:r>
    </w:p>
    <w:p>
      <w:pPr>
        <w:pStyle w:val="146"/>
      </w:pPr>
      <w:r>
        <w:rPr>
          <w:rFonts w:hint="eastAsia"/>
        </w:rPr>
        <w:t>每2个月检查1次共用部位的室内地面、墙面、天棚和室外屋面等。</w:t>
      </w:r>
    </w:p>
    <w:p>
      <w:pPr>
        <w:pStyle w:val="146"/>
      </w:pPr>
      <w:r>
        <w:rPr>
          <w:rFonts w:hint="eastAsia"/>
        </w:rPr>
        <w:t>每年汛期前和强降雨天气后检查屋面防水和雨落管等。</w:t>
      </w:r>
    </w:p>
    <w:p>
      <w:pPr>
        <w:pStyle w:val="146"/>
      </w:pPr>
      <w:r>
        <w:rPr>
          <w:rFonts w:hint="eastAsia"/>
        </w:rPr>
        <w:t>每年检测1次防雷设施。</w:t>
      </w:r>
    </w:p>
    <w:p>
      <w:pPr>
        <w:pStyle w:val="146"/>
      </w:pPr>
      <w:r>
        <w:rPr>
          <w:rFonts w:hint="eastAsia"/>
        </w:rPr>
        <w:t>每季度检查1次外墙贴饰面和雨篷、空调室外机支撑构件等。</w:t>
      </w:r>
    </w:p>
    <w:p>
      <w:pPr>
        <w:pStyle w:val="146"/>
      </w:pPr>
      <w:r>
        <w:rPr>
          <w:rFonts w:hint="eastAsia"/>
        </w:rPr>
        <w:t>每季度巡视1次屋架、梁、柱、板、梯、池、承重墙、地基等结构构件，发现外观有变形、开裂等现象时，及时申请房屋安全鉴定，并采取必要的避险和防护措施。</w:t>
      </w:r>
    </w:p>
    <w:p>
      <w:pPr>
        <w:pStyle w:val="46"/>
      </w:pPr>
      <w:bookmarkStart w:id="16" w:name="_Toc121239595"/>
      <w:r>
        <w:rPr>
          <w:rFonts w:hint="eastAsia"/>
        </w:rPr>
        <w:t>损坏部位报损</w:t>
      </w:r>
      <w:bookmarkEnd w:id="16"/>
    </w:p>
    <w:p>
      <w:pPr>
        <w:pStyle w:val="25"/>
      </w:pPr>
      <w:r>
        <w:rPr>
          <w:rFonts w:hint="eastAsia"/>
        </w:rPr>
        <w:t>巡查中发现损坏需要维修时，做好记录及时上报中心机关申请进行维修。</w:t>
      </w:r>
      <w:r>
        <w:rPr>
          <w:rFonts w:hint="eastAsia"/>
        </w:rPr>
        <mc:AlternateContent>
          <mc:Choice Requires="wps">
            <w:drawing>
              <wp:anchor distT="0" distB="0" distL="114300" distR="114300" simplePos="0" relativeHeight="251660288" behindDoc="0" locked="0" layoutInCell="1" allowOverlap="1">
                <wp:simplePos x="0" y="0"/>
                <wp:positionH relativeFrom="column">
                  <wp:posOffset>1632585</wp:posOffset>
                </wp:positionH>
                <wp:positionV relativeFrom="paragraph">
                  <wp:posOffset>1155065</wp:posOffset>
                </wp:positionV>
                <wp:extent cx="250507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8.55pt;margin-top:90.95pt;height:0pt;width:197.25pt;z-index:251660288;mso-width-relative:page;mso-height-relative:page;" filled="f" stroked="t" coordsize="21600,21600" o:gfxdata="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lMpXH1gAAAAsBAAAPAAAA&#10;AAAAAAEAIAAAADgAAABkcnMvZG93bnJldi54bWxQSwECFAAUAAAACACHTuJAVHUr38gBAABjAwAA&#10;DgAAAAAAAAABACAAAAA7AQAAZHJzL2Uyb0RvYy54bWxQSwUGAAAAAAYABgBZAQAAdQU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9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PingFang SC">
    <w:altName w:val="华文仿宋"/>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8C8"/>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1A47"/>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D767D"/>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47169"/>
    <w:rsid w:val="00453F9A"/>
    <w:rsid w:val="0045477C"/>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32BB"/>
    <w:rsid w:val="004C5C89"/>
    <w:rsid w:val="004C711D"/>
    <w:rsid w:val="004D0CE2"/>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A5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3DFA"/>
    <w:rsid w:val="0075415C"/>
    <w:rsid w:val="007549D1"/>
    <w:rsid w:val="00756A6C"/>
    <w:rsid w:val="00762B7C"/>
    <w:rsid w:val="00763502"/>
    <w:rsid w:val="00766ABD"/>
    <w:rsid w:val="00774FCA"/>
    <w:rsid w:val="00781AB5"/>
    <w:rsid w:val="007823C1"/>
    <w:rsid w:val="007913AB"/>
    <w:rsid w:val="007914F7"/>
    <w:rsid w:val="00792E09"/>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2F27"/>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0240"/>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16FF"/>
    <w:rsid w:val="009F31C5"/>
    <w:rsid w:val="00A020A7"/>
    <w:rsid w:val="00A02E43"/>
    <w:rsid w:val="00A04340"/>
    <w:rsid w:val="00A04913"/>
    <w:rsid w:val="00A05ACB"/>
    <w:rsid w:val="00A065F9"/>
    <w:rsid w:val="00A07F34"/>
    <w:rsid w:val="00A16306"/>
    <w:rsid w:val="00A21C1E"/>
    <w:rsid w:val="00A22154"/>
    <w:rsid w:val="00A24CA6"/>
    <w:rsid w:val="00A25C38"/>
    <w:rsid w:val="00A264C8"/>
    <w:rsid w:val="00A27CA2"/>
    <w:rsid w:val="00A311A5"/>
    <w:rsid w:val="00A31896"/>
    <w:rsid w:val="00A31C69"/>
    <w:rsid w:val="00A3328C"/>
    <w:rsid w:val="00A3618A"/>
    <w:rsid w:val="00A36B07"/>
    <w:rsid w:val="00A36BBE"/>
    <w:rsid w:val="00A40DA4"/>
    <w:rsid w:val="00A42188"/>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7240"/>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4094"/>
    <w:rsid w:val="00B665C6"/>
    <w:rsid w:val="00B70804"/>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4C09"/>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15DF8"/>
    <w:rsid w:val="00E214BC"/>
    <w:rsid w:val="00E24B93"/>
    <w:rsid w:val="00E24EB4"/>
    <w:rsid w:val="00E26AB3"/>
    <w:rsid w:val="00E320ED"/>
    <w:rsid w:val="00E32C33"/>
    <w:rsid w:val="00E33AFB"/>
    <w:rsid w:val="00E34218"/>
    <w:rsid w:val="00E34361"/>
    <w:rsid w:val="00E36530"/>
    <w:rsid w:val="00E40A14"/>
    <w:rsid w:val="00E43CE0"/>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34C8"/>
    <w:rsid w:val="00F95B00"/>
    <w:rsid w:val="00FA190C"/>
    <w:rsid w:val="00FA2BE5"/>
    <w:rsid w:val="00FA43DA"/>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F7FBF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0"/>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294</Words>
  <Characters>1678</Characters>
  <Lines>13</Lines>
  <Paragraphs>3</Paragraphs>
  <TotalTime>1</TotalTime>
  <ScaleCrop>false</ScaleCrop>
  <LinksUpToDate>false</LinksUpToDate>
  <CharactersWithSpaces>1969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2022-12-06T17:01:00Z</dcterms:created>
  <dc:creator>董世涛</dc:creator>
  <cp:lastModifiedBy>kylin</cp:lastModifiedBy>
  <cp:lastPrinted>2020-10-13T15:25:00Z</cp:lastPrinted>
  <dcterms:modified xsi:type="dcterms:W3CDTF">2023-03-18T20:22:38Z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