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：AB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：规范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53120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ascii="Times New Roman"/>
        </w:rPr>
        <w:t>AB</w:t>
      </w:r>
      <w:r>
        <w:rPr>
          <w:rFonts w:hAnsi="黑体"/>
        </w:rPr>
        <w:t>.</w:t>
      </w:r>
      <w:r>
        <w:rPr>
          <w:rFonts w:hint="eastAsia" w:hAnsi="黑体"/>
          <w:lang w:val="en-US" w:eastAsia="zh-CN"/>
        </w:rPr>
        <w:t>320.</w:t>
      </w:r>
      <w:r>
        <w:rPr>
          <w:rFonts w:hAnsi="黑体"/>
        </w:rPr>
        <w:t>002—2022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56192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  <w:ind w:firstLine="1050"/>
      </w:pPr>
      <w:r>
        <w:rPr>
          <w:rFonts w:hint="eastAsia"/>
        </w:rPr>
        <w:t>安防系统运行维护规范</w:t>
      </w:r>
      <w:r>
        <w:br w:type="textWrapping"/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54144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55168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footerReference r:id="rId3" w:type="default"/>
          <w:pgSz w:w="11906" w:h="16838"/>
          <w:pgMar w:top="567" w:right="850" w:bottom="1134" w:left="1418" w:header="0" w:footer="0" w:gutter="0"/>
          <w:pgNumType w:fmt="decimal" w:start="11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65408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59264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75694823"/>
      <w:bookmarkStart w:id="3" w:name="_Toc49518022"/>
      <w:bookmarkStart w:id="4" w:name="_Toc118440912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安全保卫科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安全保卫科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杜海军、王瑞东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路根雪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 xml:space="preserve">2022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93"/>
        <w:gridCol w:w="108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085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pStyle w:val="51"/>
      </w:pPr>
      <w:r>
        <w:rPr>
          <w:rFonts w:hint="eastAsia"/>
        </w:rPr>
        <w:t>安防系统运行维护规范</w:t>
      </w:r>
    </w:p>
    <w:p>
      <w:pPr>
        <w:pStyle w:val="46"/>
      </w:pPr>
      <w:bookmarkStart w:id="6" w:name="_Toc118440913"/>
      <w:r>
        <w:rPr>
          <w:rFonts w:hint="eastAsia"/>
        </w:rPr>
        <w:t>范围</w:t>
      </w:r>
      <w:bookmarkEnd w:id="6"/>
    </w:p>
    <w:p>
      <w:pPr>
        <w:pStyle w:val="25"/>
        <w:tabs>
          <w:tab w:val="clear" w:pos="4201"/>
          <w:tab w:val="clear" w:pos="9298"/>
        </w:tabs>
      </w:pPr>
      <w:r>
        <w:rPr>
          <w:rFonts w:hint="eastAsia"/>
        </w:rPr>
        <w:t>本文件规定了安防系统运行维护的基本要求、运行要求和维护要求。</w:t>
      </w:r>
    </w:p>
    <w:p>
      <w:pPr>
        <w:pStyle w:val="25"/>
      </w:pPr>
      <w:r>
        <w:rPr>
          <w:rFonts w:hint="eastAsia"/>
        </w:rPr>
        <w:t>本文件适用于安防系统运行维护工作。</w:t>
      </w:r>
    </w:p>
    <w:p>
      <w:pPr>
        <w:pStyle w:val="46"/>
      </w:pPr>
      <w:bookmarkStart w:id="7" w:name="_Toc118440914"/>
      <w:r>
        <w:rPr>
          <w:rFonts w:hint="eastAsia"/>
        </w:rPr>
        <w:t>规范性引用文件</w:t>
      </w:r>
      <w:bookmarkEnd w:id="7"/>
    </w:p>
    <w:p>
      <w:pPr>
        <w:pStyle w:val="25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18440915"/>
      <w:r>
        <w:rPr>
          <w:rFonts w:hint="eastAsia"/>
        </w:rPr>
        <w:t>术语和定义</w:t>
      </w:r>
      <w:bookmarkEnd w:id="8"/>
    </w:p>
    <w:p>
      <w:pPr>
        <w:pStyle w:val="25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146"/>
      </w:pPr>
    </w:p>
    <w:p>
      <w:pPr>
        <w:pStyle w:val="148"/>
      </w:pPr>
      <w:r>
        <w:rPr>
          <w:rFonts w:hint="eastAsia"/>
        </w:rPr>
        <w:t>安防系统</w:t>
      </w:r>
    </w:p>
    <w:p>
      <w:pPr>
        <w:pStyle w:val="25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</w:rPr>
        <w:t>以运用安全防范产品和其它相关产品所构成的视频监控等系统。</w:t>
      </w:r>
    </w:p>
    <w:p>
      <w:pPr>
        <w:pStyle w:val="46"/>
      </w:pPr>
      <w:bookmarkStart w:id="9" w:name="_Toc118440916"/>
      <w:r>
        <w:rPr>
          <w:rFonts w:hint="eastAsia"/>
        </w:rPr>
        <w:t>基本要求</w:t>
      </w:r>
      <w:bookmarkEnd w:id="9"/>
    </w:p>
    <w:p>
      <w:pPr>
        <w:pStyle w:val="25"/>
      </w:pPr>
      <w:r>
        <w:rPr>
          <w:rFonts w:hint="eastAsia"/>
        </w:rPr>
        <w:t>保障现有的安防系统运行良好，发现警报及时处理，发生故障及时排除，硬盘记录保存完好。</w:t>
      </w:r>
    </w:p>
    <w:p>
      <w:pPr>
        <w:pStyle w:val="46"/>
      </w:pPr>
      <w:bookmarkStart w:id="10" w:name="_Toc118440917"/>
      <w:r>
        <w:rPr>
          <w:rFonts w:hint="eastAsia"/>
        </w:rPr>
        <w:t>运行</w:t>
      </w:r>
      <w:bookmarkEnd w:id="10"/>
    </w:p>
    <w:p>
      <w:pPr>
        <w:pStyle w:val="146"/>
      </w:pPr>
      <w:r>
        <w:rPr>
          <w:rFonts w:hint="eastAsia"/>
        </w:rPr>
        <w:t>有专人负责安防系统运行，相关密码不得外泄。</w:t>
      </w:r>
    </w:p>
    <w:p>
      <w:pPr>
        <w:pStyle w:val="146"/>
      </w:pPr>
      <w:r>
        <w:t>安防系统</w:t>
      </w:r>
      <w:r>
        <w:rPr>
          <w:rFonts w:hint="eastAsia"/>
        </w:rPr>
        <w:t>2</w:t>
      </w:r>
      <w:r>
        <w:t>4 h不间断运行。</w:t>
      </w:r>
    </w:p>
    <w:p>
      <w:pPr>
        <w:pStyle w:val="146"/>
      </w:pPr>
      <w:r>
        <w:t>有专人值守监视显示器，并做好值班记录。</w:t>
      </w:r>
    </w:p>
    <w:p>
      <w:pPr>
        <w:pStyle w:val="146"/>
      </w:pPr>
      <w:r>
        <w:t>值班人员一旦发现系统故障，应立即通知安全保卫处进行故障处理。</w:t>
      </w:r>
    </w:p>
    <w:p>
      <w:pPr>
        <w:pStyle w:val="146"/>
      </w:pPr>
      <w:r>
        <w:t>当停电是，系统应由</w:t>
      </w:r>
      <w:r>
        <w:rPr>
          <w:rFonts w:hint="eastAsia"/>
        </w:rPr>
        <w:t>U</w:t>
      </w:r>
      <w:r>
        <w:t>PS维持其继续工作，值班人员应加强对显示器的监视，并记录好停电和来电时间。</w:t>
      </w:r>
    </w:p>
    <w:p>
      <w:pPr>
        <w:pStyle w:val="46"/>
      </w:pPr>
      <w:bookmarkStart w:id="11" w:name="_Toc118440918"/>
      <w:r>
        <w:rPr>
          <w:rFonts w:hint="eastAsia"/>
        </w:rPr>
        <w:t>维护</w:t>
      </w:r>
      <w:bookmarkEnd w:id="11"/>
    </w:p>
    <w:p>
      <w:pPr>
        <w:pStyle w:val="43"/>
        <w:spacing w:before="156" w:after="156"/>
      </w:pPr>
      <w:bookmarkStart w:id="12" w:name="_Toc118440919"/>
      <w:r>
        <w:rPr>
          <w:rFonts w:hint="eastAsia"/>
        </w:rPr>
        <w:t>日常维护</w:t>
      </w:r>
      <w:bookmarkEnd w:id="12"/>
    </w:p>
    <w:p>
      <w:pPr>
        <w:pStyle w:val="147"/>
      </w:pPr>
      <w:r>
        <w:rPr>
          <w:rFonts w:hint="eastAsia"/>
        </w:rPr>
        <w:t>维护好安防系统的电源系统，做好日常巡查。</w:t>
      </w:r>
    </w:p>
    <w:p>
      <w:pPr>
        <w:pStyle w:val="147"/>
      </w:pPr>
      <w:r>
        <w:rPr>
          <w:rFonts w:hint="eastAsia"/>
        </w:rPr>
        <w:t>每季度扫净监控设备尘土，用无水酒精棉擦净监控镜头，确保正常运行。</w:t>
      </w:r>
    </w:p>
    <w:p>
      <w:pPr>
        <w:pStyle w:val="147"/>
      </w:pPr>
      <w:r>
        <w:rPr>
          <w:rFonts w:hint="eastAsia"/>
        </w:rPr>
        <w:t>定期检查主机、监视器等设备的接头是否松动。</w:t>
      </w:r>
    </w:p>
    <w:p>
      <w:pPr>
        <w:pStyle w:val="147"/>
      </w:pPr>
      <w:r>
        <w:rPr>
          <w:rFonts w:hint="eastAsia"/>
        </w:rPr>
        <w:t>定期检查设备指示灯是否工作正常。</w:t>
      </w:r>
    </w:p>
    <w:p>
      <w:pPr>
        <w:pStyle w:val="147"/>
      </w:pPr>
      <w:r>
        <w:rPr>
          <w:rFonts w:hint="eastAsia"/>
        </w:rPr>
        <w:t>定期对安防系统和设备进行优化，保障安防系统运转正常。</w:t>
      </w:r>
    </w:p>
    <w:p>
      <w:pPr>
        <w:pStyle w:val="43"/>
        <w:spacing w:before="156" w:after="156"/>
      </w:pPr>
      <w:bookmarkStart w:id="13" w:name="_Toc118440920"/>
      <w:r>
        <w:rPr>
          <w:rFonts w:hint="eastAsia"/>
        </w:rPr>
        <w:t>维保维护</w:t>
      </w:r>
      <w:bookmarkEnd w:id="13"/>
    </w:p>
    <w:p>
      <w:pPr>
        <w:pStyle w:val="147"/>
      </w:pPr>
      <w:r>
        <w:rPr>
          <w:rFonts w:hint="eastAsia"/>
        </w:rPr>
        <w:t>应与有资质的维保单位签订安防系统维保合同。</w:t>
      </w:r>
    </w:p>
    <w:p>
      <w:pPr>
        <w:pStyle w:val="147"/>
      </w:pPr>
      <w:r>
        <w:t>全系统的维保每年至少进行</w:t>
      </w:r>
      <w:r>
        <w:rPr>
          <w:rFonts w:hint="eastAsia"/>
        </w:rPr>
        <w:t>2次以上，并出具检查报告。</w:t>
      </w:r>
    </w:p>
    <w:p>
      <w:pPr>
        <w:pStyle w:val="147"/>
      </w:pPr>
      <w:r>
        <w:t>维保单位在巡检设备时，发现异常情</w:t>
      </w:r>
      <w:bookmarkStart w:id="14" w:name="_GoBack"/>
      <w:bookmarkEnd w:id="14"/>
      <w:r>
        <w:t>况应及时向安全保卫科报告。</w:t>
      </w:r>
    </w:p>
    <w:p>
      <w:pPr>
        <w:pStyle w:val="147"/>
      </w:pPr>
      <w:r>
        <w:t>维保单位在进行断电维修和保养前，应征得安全保卫科同意后进行操作。</w:t>
      </w:r>
    </w:p>
    <w:p>
      <w:pPr>
        <w:pStyle w:val="147"/>
      </w:pPr>
      <w:r>
        <w:t>维保工作应每次记录，并应有现场维修人员签字和安全保卫科科长签字确认。</w:t>
      </w:r>
    </w:p>
    <w:p>
      <w:pPr>
        <w:pStyle w:val="25"/>
      </w:pPr>
    </w:p>
    <w:p>
      <w:pPr>
        <w:pStyle w:val="149"/>
        <w:numPr>
          <w:ilvl w:val="0"/>
          <w:numId w:val="0"/>
        </w:numPr>
        <w:ind w:firstLine="420"/>
      </w:pPr>
    </w:p>
    <w:p>
      <w:pPr>
        <w:pStyle w:val="131"/>
        <w:framePr w:y="1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317500</wp:posOffset>
                </wp:positionV>
                <wp:extent cx="24193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35pt;margin-top:25pt;height:0pt;width:190.5pt;z-index:251666432;mso-width-relative:page;mso-height-relative:page;" filled="f" stroked="t" coordsize="21600,21600" o:gfxdata="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K5ycdUAAAAJAQAADwAAAAAA&#10;AAABACAAAAA4AAAAZHJzL2Rvd25yZXYueG1sUEsBAhQAFAAAAAgAh07iQHGkqC7HAQAAZQ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 w:y="1"/>
      </w:pPr>
    </w:p>
    <w:p>
      <w:pPr>
        <w:pStyle w:val="149"/>
        <w:numPr>
          <w:ilvl w:val="0"/>
          <w:numId w:val="0"/>
        </w:numPr>
        <w:ind w:firstLine="420"/>
      </w:pP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fmt="decimal" w:start="112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24825795"/>
        <w:docPartObj>
          <w:docPartGallery w:val="autotext"/>
        </w:docPartObj>
      </w:sdtPr>
      <w:sdtContent/>
    </w:sdt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6105754"/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86105754"/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t>AB</w:t>
    </w:r>
    <w:r>
      <w:rPr>
        <w:rFonts w:hint="eastAsia"/>
      </w:rPr>
      <w:t>.</w:t>
    </w:r>
    <w:r>
      <w:rPr>
        <w:rFonts w:hint="eastAsia"/>
        <w:lang w:val="en-US" w:eastAsia="zh-CN"/>
      </w:rPr>
      <w:t>320.</w:t>
    </w:r>
    <w:r>
      <w:t>002</w:t>
    </w:r>
    <w:r>
      <w:rPr>
        <w:rFonts w:hint="eastAsia"/>
      </w:rPr>
      <w:t>—202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jllNmI0NzAxMDNjNzUyZjVjYzcwOGNkMWU0ZWYifQ=="/>
  </w:docVars>
  <w:rsids>
    <w:rsidRoot w:val="61542A7B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56E4"/>
    <w:rsid w:val="00050549"/>
    <w:rsid w:val="00053025"/>
    <w:rsid w:val="00055016"/>
    <w:rsid w:val="0005676A"/>
    <w:rsid w:val="00056891"/>
    <w:rsid w:val="00060186"/>
    <w:rsid w:val="00060320"/>
    <w:rsid w:val="000604D3"/>
    <w:rsid w:val="00061BD7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3966"/>
    <w:rsid w:val="000E5DF5"/>
    <w:rsid w:val="000E78FD"/>
    <w:rsid w:val="000F030C"/>
    <w:rsid w:val="000F129C"/>
    <w:rsid w:val="00100680"/>
    <w:rsid w:val="00104D5A"/>
    <w:rsid w:val="00104F16"/>
    <w:rsid w:val="001056DE"/>
    <w:rsid w:val="001124C0"/>
    <w:rsid w:val="00117DED"/>
    <w:rsid w:val="001230FD"/>
    <w:rsid w:val="00125A8B"/>
    <w:rsid w:val="0013175F"/>
    <w:rsid w:val="0013332E"/>
    <w:rsid w:val="0013554D"/>
    <w:rsid w:val="00136390"/>
    <w:rsid w:val="00137A49"/>
    <w:rsid w:val="00142131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9BC"/>
    <w:rsid w:val="00164E53"/>
    <w:rsid w:val="001668AD"/>
    <w:rsid w:val="0016699D"/>
    <w:rsid w:val="00171B84"/>
    <w:rsid w:val="00175159"/>
    <w:rsid w:val="00175AE2"/>
    <w:rsid w:val="00176208"/>
    <w:rsid w:val="00176AA8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46D4"/>
    <w:rsid w:val="00215F0E"/>
    <w:rsid w:val="00215F95"/>
    <w:rsid w:val="002245D5"/>
    <w:rsid w:val="00225C8E"/>
    <w:rsid w:val="00226814"/>
    <w:rsid w:val="00232766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C72D8"/>
    <w:rsid w:val="002C7823"/>
    <w:rsid w:val="002D11FA"/>
    <w:rsid w:val="002D54CA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6DED"/>
    <w:rsid w:val="003912E7"/>
    <w:rsid w:val="00393947"/>
    <w:rsid w:val="003A170B"/>
    <w:rsid w:val="003A1C6A"/>
    <w:rsid w:val="003A2275"/>
    <w:rsid w:val="003A2A45"/>
    <w:rsid w:val="003A6A4F"/>
    <w:rsid w:val="003A7088"/>
    <w:rsid w:val="003B00DF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FC1"/>
    <w:rsid w:val="004035C7"/>
    <w:rsid w:val="004046C4"/>
    <w:rsid w:val="004046EE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53F9A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5C89"/>
    <w:rsid w:val="004C711D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C20"/>
    <w:rsid w:val="005174E5"/>
    <w:rsid w:val="005175E7"/>
    <w:rsid w:val="00522393"/>
    <w:rsid w:val="00522620"/>
    <w:rsid w:val="00525656"/>
    <w:rsid w:val="0053046D"/>
    <w:rsid w:val="00532043"/>
    <w:rsid w:val="00532518"/>
    <w:rsid w:val="00534C02"/>
    <w:rsid w:val="00535E75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464E"/>
    <w:rsid w:val="0058610C"/>
    <w:rsid w:val="005864BC"/>
    <w:rsid w:val="0059030D"/>
    <w:rsid w:val="00593A0B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415C"/>
    <w:rsid w:val="007549D1"/>
    <w:rsid w:val="00756A6C"/>
    <w:rsid w:val="00762B7C"/>
    <w:rsid w:val="00763502"/>
    <w:rsid w:val="00766ABD"/>
    <w:rsid w:val="00774FCA"/>
    <w:rsid w:val="00781AB5"/>
    <w:rsid w:val="007823C1"/>
    <w:rsid w:val="007913AB"/>
    <w:rsid w:val="007914F7"/>
    <w:rsid w:val="007972CC"/>
    <w:rsid w:val="00797409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1A9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31C5"/>
    <w:rsid w:val="009F4E99"/>
    <w:rsid w:val="00A020A7"/>
    <w:rsid w:val="00A02E43"/>
    <w:rsid w:val="00A04340"/>
    <w:rsid w:val="00A04913"/>
    <w:rsid w:val="00A05ACB"/>
    <w:rsid w:val="00A065F9"/>
    <w:rsid w:val="00A07F34"/>
    <w:rsid w:val="00A16306"/>
    <w:rsid w:val="00A22154"/>
    <w:rsid w:val="00A24CA6"/>
    <w:rsid w:val="00A25C38"/>
    <w:rsid w:val="00A27CA2"/>
    <w:rsid w:val="00A311A5"/>
    <w:rsid w:val="00A31896"/>
    <w:rsid w:val="00A31C69"/>
    <w:rsid w:val="00A3328C"/>
    <w:rsid w:val="00A3618A"/>
    <w:rsid w:val="00A36B07"/>
    <w:rsid w:val="00A36BBE"/>
    <w:rsid w:val="00A40DA4"/>
    <w:rsid w:val="00A4307A"/>
    <w:rsid w:val="00A44F15"/>
    <w:rsid w:val="00A45884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65C6"/>
    <w:rsid w:val="00B71E88"/>
    <w:rsid w:val="00B7732A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2DF7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8340D"/>
    <w:rsid w:val="00C83950"/>
    <w:rsid w:val="00C85A67"/>
    <w:rsid w:val="00C8691C"/>
    <w:rsid w:val="00C8772C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58AB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A29"/>
    <w:rsid w:val="00DD5D9D"/>
    <w:rsid w:val="00DD6CAC"/>
    <w:rsid w:val="00DD7BD3"/>
    <w:rsid w:val="00DE2724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4E1F"/>
    <w:rsid w:val="00E46282"/>
    <w:rsid w:val="00E5216E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26CA"/>
    <w:rsid w:val="00E84626"/>
    <w:rsid w:val="00E84C82"/>
    <w:rsid w:val="00E84D64"/>
    <w:rsid w:val="00E86E3C"/>
    <w:rsid w:val="00E87408"/>
    <w:rsid w:val="00E914C4"/>
    <w:rsid w:val="00E91577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5B00"/>
    <w:rsid w:val="00FA190C"/>
    <w:rsid w:val="00FA2BE5"/>
    <w:rsid w:val="00FA46F4"/>
    <w:rsid w:val="00FA489D"/>
    <w:rsid w:val="00FA5F83"/>
    <w:rsid w:val="00FA6684"/>
    <w:rsid w:val="00FA731E"/>
    <w:rsid w:val="00FB0F2B"/>
    <w:rsid w:val="00FB2B38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138B447A"/>
    <w:rsid w:val="2EA8435B"/>
    <w:rsid w:val="33251C93"/>
    <w:rsid w:val="4590011C"/>
    <w:rsid w:val="52331739"/>
    <w:rsid w:val="61542A7B"/>
    <w:rsid w:val="F5FD3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Char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Char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Char"/>
    <w:basedOn w:val="36"/>
    <w:link w:val="19"/>
    <w:qFormat/>
    <w:uiPriority w:val="99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/home/kylin/C:/Users/lenovo/Desktop/&#37026;&#21488;&#26426;&#20851;&#20107;&#21153;&#31649;&#29702;&#23616;/&#37026;&#21488;&#24066;&#26426;&#20851;&#21518;&#21220;&#26381;&#21153;&#26631;&#20934;&#27169;&#26495;1008(1)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邢台市机关后勤服务标准模板1008(1)</Template>
  <Pages>5</Pages>
  <Words>273</Words>
  <Characters>1558</Characters>
  <Lines>12</Lines>
  <Paragraphs>3</Paragraphs>
  <TotalTime>1</TotalTime>
  <ScaleCrop>false</ScaleCrop>
  <LinksUpToDate>false</LinksUpToDate>
  <CharactersWithSpaces>1828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2022-11-04T07:55:00Z</dcterms:created>
  <dc:creator>lenovo</dc:creator>
  <cp:lastModifiedBy>kylin</cp:lastModifiedBy>
  <dcterms:modified xsi:type="dcterms:W3CDTF">2023-03-18T20:38:11Z</dcterms:modified>
  <cp:revision>2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5DE3BE878A5C49F5B464B72F360901ED</vt:lpwstr>
  </property>
</Properties>
</file>