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：BG</w:t>
      </w:r>
    </w:p>
    <w:p>
      <w:pPr>
        <w:pStyle w:val="124"/>
        <w:framePr/>
        <w:rPr>
          <w:rFonts w:hint="eastAsia"/>
        </w:rPr>
      </w:pPr>
      <w:r>
        <w:rPr>
          <w:rFonts w:hint="eastAsia"/>
        </w:rPr>
        <w:t>文件</w:t>
      </w:r>
      <w:r>
        <w:t>类型</w:t>
      </w:r>
      <w:r>
        <w:rPr>
          <w:rFonts w:hint="eastAsia"/>
        </w:rPr>
        <w:t>：</w:t>
      </w:r>
      <w:r>
        <w:t>规定</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2096;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BG.</w:t>
      </w:r>
      <w:r>
        <w:rPr>
          <w:rFonts w:hint="eastAsia" w:hAnsi="黑体"/>
          <w:lang w:val="en-US" w:eastAsia="zh-CN"/>
        </w:rPr>
        <w:t>410.</w:t>
      </w:r>
      <w:r>
        <w:rPr>
          <w:rFonts w:hAnsi="黑体"/>
        </w:rPr>
        <w:t>002—2022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5168;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党政机关公文处理工作规定</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3120;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4144;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5"/>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60288;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208970"/>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薛绍鹏、李丹</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bookmarkStart w:id="31" w:name="_GoBack"/>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党政机关公文处理工作规定</w:t>
      </w:r>
    </w:p>
    <w:p>
      <w:pPr>
        <w:pStyle w:val="46"/>
      </w:pPr>
      <w:bookmarkStart w:id="6" w:name="_Toc118208971"/>
      <w:r>
        <w:rPr>
          <w:rFonts w:hint="eastAsia"/>
        </w:rPr>
        <w:t>范围</w:t>
      </w:r>
      <w:bookmarkEnd w:id="6"/>
    </w:p>
    <w:p>
      <w:pPr>
        <w:pStyle w:val="25"/>
        <w:tabs>
          <w:tab w:val="clear" w:pos="4201"/>
          <w:tab w:val="clear" w:pos="9298"/>
        </w:tabs>
      </w:pPr>
      <w:r>
        <w:rPr>
          <w:rFonts w:hint="eastAsia"/>
        </w:rPr>
        <w:t>本文件规定了党政机关公文处理工作的总体要求、公文种类、公文格式、行文规则、公文拟制、公文办理、公文管理和相关记录的要求。</w:t>
      </w:r>
    </w:p>
    <w:p>
      <w:pPr>
        <w:pStyle w:val="25"/>
      </w:pPr>
      <w:r>
        <w:rPr>
          <w:rFonts w:hint="eastAsia"/>
        </w:rPr>
        <w:t>本文件适用于邢台市机关后勤服务中心公文处理工作。</w:t>
      </w:r>
    </w:p>
    <w:p>
      <w:pPr>
        <w:pStyle w:val="46"/>
      </w:pPr>
      <w:bookmarkStart w:id="7" w:name="_Toc118208972"/>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GB/T 9704 党政机关公文格式</w:t>
      </w:r>
    </w:p>
    <w:p>
      <w:pPr>
        <w:pStyle w:val="25"/>
        <w:rPr>
          <w:color w:val="0070C0"/>
        </w:rPr>
      </w:pPr>
      <w:r>
        <w:rPr>
          <w:rFonts w:hint="eastAsia"/>
        </w:rPr>
        <w:t>党政机关公文处理工作条例</w:t>
      </w:r>
    </w:p>
    <w:p>
      <w:pPr>
        <w:pStyle w:val="46"/>
      </w:pPr>
      <w:bookmarkStart w:id="8" w:name="_Toc118208973"/>
      <w:r>
        <w:rPr>
          <w:rFonts w:hint="eastAsia"/>
        </w:rPr>
        <w:t>术语和定义</w:t>
      </w:r>
      <w:bookmarkEnd w:id="8"/>
    </w:p>
    <w:p>
      <w:pPr>
        <w:pStyle w:val="25"/>
        <w:rPr>
          <w:color w:val="000000"/>
        </w:rPr>
      </w:pPr>
      <w:r>
        <w:rPr>
          <w:rFonts w:hint="eastAsia"/>
          <w:color w:val="000000"/>
        </w:rPr>
        <w:t>下列术语和定义适用于本文件。</w:t>
      </w:r>
    </w:p>
    <w:p>
      <w:pPr>
        <w:pStyle w:val="146"/>
        <w:spacing w:before="156" w:beforeLines="50" w:after="156" w:afterLines="50"/>
      </w:pPr>
    </w:p>
    <w:p>
      <w:pPr>
        <w:pStyle w:val="148"/>
      </w:pPr>
      <w:r>
        <w:rPr>
          <w:rFonts w:hint="eastAsia"/>
        </w:rPr>
        <w:t>党政机关公文</w:t>
      </w:r>
    </w:p>
    <w:p>
      <w:pPr>
        <w:pStyle w:val="25"/>
        <w:rPr>
          <w:rFonts w:ascii="Tahoma" w:hAnsi="Tahoma" w:cs="Tahoma"/>
          <w:color w:val="000000"/>
          <w:szCs w:val="21"/>
          <w:shd w:val="clear" w:color="auto" w:fill="FFFFFF"/>
        </w:rPr>
      </w:pPr>
      <w:r>
        <w:rPr>
          <w:rFonts w:hint="eastAsia"/>
        </w:rPr>
        <w:t>党政机关实施领导、履行职能、处理公务的具有特定效力和规范体式的文书，是传达贯彻党和国家的方针政策，公布法规和规章，指导、布置和商洽工作，请示和答复问题，报告、通报和交流情况等的重要工具。</w:t>
      </w:r>
    </w:p>
    <w:p>
      <w:pPr>
        <w:pStyle w:val="146"/>
        <w:spacing w:before="156" w:beforeLines="50" w:after="156" w:afterLines="50"/>
      </w:pPr>
    </w:p>
    <w:p>
      <w:pPr>
        <w:pStyle w:val="148"/>
      </w:pPr>
      <w:r>
        <w:rPr>
          <w:rFonts w:hint="eastAsia"/>
        </w:rPr>
        <w:t>公文处理工作</w:t>
      </w:r>
    </w:p>
    <w:p>
      <w:pPr>
        <w:pStyle w:val="25"/>
        <w:rPr>
          <w:rFonts w:ascii="Tahoma" w:hAnsi="Tahoma" w:cs="Tahoma"/>
          <w:color w:val="000000"/>
          <w:szCs w:val="21"/>
          <w:shd w:val="clear" w:color="auto" w:fill="FFFFFF"/>
        </w:rPr>
      </w:pPr>
      <w:r>
        <w:rPr>
          <w:rFonts w:hint="eastAsia"/>
        </w:rPr>
        <w:t>公文拟制、办理、管理等一系列相互关联、衔接有序的工作。</w:t>
      </w:r>
    </w:p>
    <w:p>
      <w:pPr>
        <w:pStyle w:val="46"/>
      </w:pPr>
      <w:bookmarkStart w:id="9" w:name="_Toc118208974"/>
      <w:r>
        <w:rPr>
          <w:rFonts w:hint="eastAsia"/>
        </w:rPr>
        <w:t>总体要求</w:t>
      </w:r>
      <w:bookmarkEnd w:id="9"/>
    </w:p>
    <w:p>
      <w:pPr>
        <w:pStyle w:val="146"/>
      </w:pPr>
      <w:r>
        <w:rPr>
          <w:rFonts w:hint="eastAsia"/>
        </w:rPr>
        <w:t>公文处理工作应当坚持实事求是、准确规范、精简高效、安全保密的原则。</w:t>
      </w:r>
    </w:p>
    <w:p>
      <w:pPr>
        <w:pStyle w:val="146"/>
      </w:pPr>
      <w:r>
        <w:rPr>
          <w:rFonts w:hint="eastAsia"/>
        </w:rPr>
        <w:t>明确专人负责。各科室都要确定一名同志负责文件的收发、运转和保管工作，做到存放整齐、查用方便。各种公文都应按规定及时立卷归档或清退、销毁，并严格按有关保密规定办理。</w:t>
      </w:r>
    </w:p>
    <w:p>
      <w:pPr>
        <w:pStyle w:val="146"/>
      </w:pPr>
      <w:r>
        <w:rPr>
          <w:rFonts w:hint="eastAsia"/>
        </w:rPr>
        <w:t>认真履行职责。各科室主要负责同志作为第一责任人，要严格执行有关制度和规定，认真履行好工作职责。要紧密公文运转衔接，随时掌握公文运行和办理情况，做到不误事、不压件、不漏办。</w:t>
      </w:r>
    </w:p>
    <w:p>
      <w:pPr>
        <w:pStyle w:val="146"/>
      </w:pPr>
      <w:r>
        <w:rPr>
          <w:rFonts w:hint="eastAsia"/>
        </w:rPr>
        <w:t>严格报文程序。凡报送中心领导审批的公文，由主办科室按照有关规定程序传递运行。</w:t>
      </w:r>
    </w:p>
    <w:p>
      <w:pPr>
        <w:pStyle w:val="146"/>
      </w:pPr>
      <w:r>
        <w:rPr>
          <w:rFonts w:hint="eastAsia"/>
        </w:rPr>
        <w:t>严把公文审核关。加强细节管理，严格工作标准，对经手的每一件公文，要认真审核，严格把关，确保拟办意见具体明确、切实可行，核发文稿符合政策、准确规范。</w:t>
      </w:r>
    </w:p>
    <w:p>
      <w:pPr>
        <w:pStyle w:val="146"/>
      </w:pPr>
      <w:r>
        <w:rPr>
          <w:rFonts w:hint="eastAsia"/>
        </w:rPr>
        <w:t>确保公文高效运转。严格遵循“来文即办、日清日结”的原则，当日件当日毕，文电运转不过夜，紧急公文立接立办，确保公文快速传递、高效运转。</w:t>
      </w:r>
    </w:p>
    <w:p>
      <w:pPr>
        <w:pStyle w:val="146"/>
      </w:pPr>
      <w:r>
        <w:rPr>
          <w:rFonts w:hint="eastAsia"/>
        </w:rPr>
        <w:t>强化督办落实。对上级、中心领导批办事项和党组会议、主任</w:t>
      </w:r>
      <w:r>
        <w:rPr>
          <w:rFonts w:hint="eastAsia"/>
          <w:lang w:eastAsia="zh-CN"/>
        </w:rPr>
        <w:t>双周例</w:t>
      </w:r>
      <w:r>
        <w:rPr>
          <w:rFonts w:hint="eastAsia"/>
        </w:rPr>
        <w:t>会、专题会议议定事项，要及时催办，按时反馈，确保事事有着落、件件有结果。</w:t>
      </w:r>
    </w:p>
    <w:p>
      <w:pPr>
        <w:pStyle w:val="46"/>
      </w:pPr>
      <w:bookmarkStart w:id="10" w:name="_Toc118208975"/>
      <w:r>
        <w:rPr>
          <w:rFonts w:hint="eastAsia"/>
        </w:rPr>
        <w:t>公文种类</w:t>
      </w:r>
      <w:bookmarkEnd w:id="10"/>
    </w:p>
    <w:p>
      <w:pPr>
        <w:pStyle w:val="25"/>
      </w:pPr>
      <w:r>
        <w:rPr>
          <w:rFonts w:hint="eastAsia"/>
        </w:rPr>
        <w:t>公文种类包括以下几种：</w:t>
      </w:r>
    </w:p>
    <w:p>
      <w:pPr>
        <w:pStyle w:val="25"/>
      </w:pPr>
      <w:r>
        <w:rPr>
          <w:rFonts w:hint="eastAsia"/>
        </w:rPr>
        <w:t>——</w:t>
      </w:r>
      <w:r>
        <w:t>决议</w:t>
      </w:r>
      <w:r>
        <w:rPr>
          <w:rFonts w:hint="eastAsia"/>
        </w:rPr>
        <w:t>：</w:t>
      </w:r>
      <w:r>
        <w:t>适用于会议讨论通过的重大决策事项</w:t>
      </w:r>
      <w:r>
        <w:rPr>
          <w:rFonts w:hint="eastAsia"/>
        </w:rPr>
        <w:t>；</w:t>
      </w:r>
    </w:p>
    <w:p>
      <w:pPr>
        <w:pStyle w:val="25"/>
      </w:pPr>
      <w:r>
        <w:rPr>
          <w:rFonts w:hint="eastAsia"/>
        </w:rPr>
        <w:t>——</w:t>
      </w:r>
      <w:r>
        <w:t>决定</w:t>
      </w:r>
      <w:r>
        <w:rPr>
          <w:rFonts w:hint="eastAsia"/>
        </w:rPr>
        <w:t>：</w:t>
      </w:r>
      <w:r>
        <w:t>适用于对重要事项作出决策和部署、奖惩有关单位和人员、变更或者撤销下级机关不适当的决定事项</w:t>
      </w:r>
      <w:r>
        <w:rPr>
          <w:rFonts w:hint="eastAsia"/>
        </w:rPr>
        <w:t>；</w:t>
      </w:r>
    </w:p>
    <w:p>
      <w:pPr>
        <w:pStyle w:val="25"/>
      </w:pPr>
      <w:r>
        <w:rPr>
          <w:rFonts w:hint="eastAsia"/>
        </w:rPr>
        <w:t>——</w:t>
      </w:r>
      <w:r>
        <w:t>命令（令）</w:t>
      </w:r>
      <w:r>
        <w:rPr>
          <w:rFonts w:hint="eastAsia"/>
        </w:rPr>
        <w:t>：</w:t>
      </w:r>
      <w:r>
        <w:t>适用于公布行政法规和规章、宣布施行重大强制性措施、批准授予和晋升衔级、嘉奖有关单位和人员</w:t>
      </w:r>
      <w:r>
        <w:rPr>
          <w:rFonts w:hint="eastAsia"/>
        </w:rPr>
        <w:t>；</w:t>
      </w:r>
    </w:p>
    <w:p>
      <w:pPr>
        <w:pStyle w:val="25"/>
      </w:pPr>
      <w:r>
        <w:rPr>
          <w:rFonts w:hint="eastAsia"/>
        </w:rPr>
        <w:t>——</w:t>
      </w:r>
      <w:r>
        <w:t>公报</w:t>
      </w:r>
      <w:r>
        <w:rPr>
          <w:rFonts w:hint="eastAsia"/>
        </w:rPr>
        <w:t>：</w:t>
      </w:r>
      <w:r>
        <w:t>适用于公布重要决定或者重大事项</w:t>
      </w:r>
      <w:r>
        <w:rPr>
          <w:rFonts w:hint="eastAsia"/>
        </w:rPr>
        <w:t>；</w:t>
      </w:r>
    </w:p>
    <w:p>
      <w:pPr>
        <w:pStyle w:val="25"/>
      </w:pPr>
      <w:r>
        <w:rPr>
          <w:rFonts w:hint="eastAsia"/>
        </w:rPr>
        <w:t>——</w:t>
      </w:r>
      <w:r>
        <w:t>公告</w:t>
      </w:r>
      <w:r>
        <w:rPr>
          <w:rFonts w:hint="eastAsia"/>
        </w:rPr>
        <w:t>：</w:t>
      </w:r>
      <w:r>
        <w:t>适用于向国内外宣布重要事项或者法定事项</w:t>
      </w:r>
      <w:r>
        <w:rPr>
          <w:rFonts w:hint="eastAsia"/>
        </w:rPr>
        <w:t>；</w:t>
      </w:r>
    </w:p>
    <w:p>
      <w:pPr>
        <w:pStyle w:val="25"/>
      </w:pPr>
      <w:r>
        <w:rPr>
          <w:rFonts w:hint="eastAsia"/>
        </w:rPr>
        <w:t>——</w:t>
      </w:r>
      <w:r>
        <w:t>通告</w:t>
      </w:r>
      <w:r>
        <w:rPr>
          <w:rFonts w:hint="eastAsia"/>
        </w:rPr>
        <w:t>：</w:t>
      </w:r>
      <w:r>
        <w:t>适用于在一定范围内公布应当遵守或者周知的事项</w:t>
      </w:r>
      <w:r>
        <w:rPr>
          <w:rFonts w:hint="eastAsia"/>
        </w:rPr>
        <w:t>；</w:t>
      </w:r>
    </w:p>
    <w:p>
      <w:pPr>
        <w:pStyle w:val="25"/>
      </w:pPr>
      <w:r>
        <w:rPr>
          <w:rFonts w:hint="eastAsia"/>
        </w:rPr>
        <w:t>——</w:t>
      </w:r>
      <w:r>
        <w:t>意见</w:t>
      </w:r>
      <w:r>
        <w:rPr>
          <w:rFonts w:hint="eastAsia"/>
        </w:rPr>
        <w:t>：</w:t>
      </w:r>
      <w:r>
        <w:t>适用于对重要问题提出见解和处理办法</w:t>
      </w:r>
      <w:r>
        <w:rPr>
          <w:rFonts w:hint="eastAsia"/>
        </w:rPr>
        <w:t>；</w:t>
      </w:r>
    </w:p>
    <w:p>
      <w:pPr>
        <w:pStyle w:val="25"/>
      </w:pPr>
      <w:r>
        <w:rPr>
          <w:rFonts w:hint="eastAsia"/>
        </w:rPr>
        <w:t>——</w:t>
      </w:r>
      <w:r>
        <w:t>通知</w:t>
      </w:r>
      <w:r>
        <w:rPr>
          <w:rFonts w:hint="eastAsia"/>
        </w:rPr>
        <w:t>：</w:t>
      </w:r>
      <w:r>
        <w:t>适用于发布、传达要求下级机关执行和有关单位周知或者执行的事项，批转、转发公文</w:t>
      </w:r>
      <w:r>
        <w:rPr>
          <w:rFonts w:hint="eastAsia"/>
        </w:rPr>
        <w:t>；</w:t>
      </w:r>
    </w:p>
    <w:p>
      <w:pPr>
        <w:pStyle w:val="25"/>
      </w:pPr>
      <w:r>
        <w:rPr>
          <w:rFonts w:hint="eastAsia"/>
        </w:rPr>
        <w:t>——</w:t>
      </w:r>
      <w:r>
        <w:t>通报</w:t>
      </w:r>
      <w:r>
        <w:rPr>
          <w:rFonts w:hint="eastAsia"/>
        </w:rPr>
        <w:t>：</w:t>
      </w:r>
      <w:r>
        <w:t>适用于表彰先进、批评错误、传达重要精神和告知重要情况</w:t>
      </w:r>
      <w:r>
        <w:rPr>
          <w:rFonts w:hint="eastAsia"/>
        </w:rPr>
        <w:t>；</w:t>
      </w:r>
    </w:p>
    <w:p>
      <w:pPr>
        <w:pStyle w:val="25"/>
      </w:pPr>
      <w:r>
        <w:rPr>
          <w:rFonts w:hint="eastAsia"/>
        </w:rPr>
        <w:t>——</w:t>
      </w:r>
      <w:r>
        <w:t>报告</w:t>
      </w:r>
      <w:r>
        <w:rPr>
          <w:rFonts w:hint="eastAsia"/>
        </w:rPr>
        <w:t>：</w:t>
      </w:r>
      <w:r>
        <w:t>适用于向上级机关汇报工作、反映情况，回复上级机关的询问</w:t>
      </w:r>
      <w:r>
        <w:rPr>
          <w:rFonts w:hint="eastAsia"/>
        </w:rPr>
        <w:t>；</w:t>
      </w:r>
    </w:p>
    <w:p>
      <w:pPr>
        <w:pStyle w:val="25"/>
      </w:pPr>
      <w:r>
        <w:rPr>
          <w:rFonts w:hint="eastAsia"/>
        </w:rPr>
        <w:t>——</w:t>
      </w:r>
      <w:r>
        <w:t>请示</w:t>
      </w:r>
      <w:r>
        <w:rPr>
          <w:rFonts w:hint="eastAsia"/>
        </w:rPr>
        <w:t>：</w:t>
      </w:r>
      <w:r>
        <w:t>适用于向上级机关请求指示、批准</w:t>
      </w:r>
      <w:r>
        <w:rPr>
          <w:rFonts w:hint="eastAsia"/>
        </w:rPr>
        <w:t>；</w:t>
      </w:r>
    </w:p>
    <w:p>
      <w:pPr>
        <w:pStyle w:val="25"/>
      </w:pPr>
      <w:r>
        <w:rPr>
          <w:rFonts w:hint="eastAsia"/>
        </w:rPr>
        <w:t>——</w:t>
      </w:r>
      <w:r>
        <w:t>批复</w:t>
      </w:r>
      <w:r>
        <w:rPr>
          <w:rFonts w:hint="eastAsia"/>
        </w:rPr>
        <w:t>：</w:t>
      </w:r>
      <w:r>
        <w:t>适用于答复下级机关请示事项</w:t>
      </w:r>
      <w:r>
        <w:rPr>
          <w:rFonts w:hint="eastAsia"/>
        </w:rPr>
        <w:t>；</w:t>
      </w:r>
    </w:p>
    <w:p>
      <w:pPr>
        <w:pStyle w:val="25"/>
      </w:pPr>
      <w:r>
        <w:rPr>
          <w:rFonts w:hint="eastAsia"/>
        </w:rPr>
        <w:t>——</w:t>
      </w:r>
      <w:r>
        <w:t>议案</w:t>
      </w:r>
      <w:r>
        <w:rPr>
          <w:rFonts w:hint="eastAsia"/>
        </w:rPr>
        <w:t>：</w:t>
      </w:r>
      <w:r>
        <w:t>适用于各级人民政府按照法律程序向同级人民代表大会或者人民代表大会常务委员会提请审议事项</w:t>
      </w:r>
      <w:r>
        <w:rPr>
          <w:rFonts w:hint="eastAsia"/>
        </w:rPr>
        <w:t>；</w:t>
      </w:r>
    </w:p>
    <w:p>
      <w:pPr>
        <w:pStyle w:val="25"/>
      </w:pPr>
      <w:r>
        <w:rPr>
          <w:rFonts w:hint="eastAsia"/>
        </w:rPr>
        <w:t>——</w:t>
      </w:r>
      <w:r>
        <w:t>函</w:t>
      </w:r>
      <w:r>
        <w:rPr>
          <w:rFonts w:hint="eastAsia"/>
        </w:rPr>
        <w:t>：</w:t>
      </w:r>
      <w:r>
        <w:t>适用于不相隶属机关之间商洽工作、询问和答复问题、请求批准和答复审批事项</w:t>
      </w:r>
      <w:r>
        <w:rPr>
          <w:rFonts w:hint="eastAsia"/>
        </w:rPr>
        <w:t>；</w:t>
      </w:r>
    </w:p>
    <w:p>
      <w:pPr>
        <w:pStyle w:val="25"/>
      </w:pPr>
      <w:r>
        <w:rPr>
          <w:rFonts w:hint="eastAsia"/>
        </w:rPr>
        <w:t>——</w:t>
      </w:r>
      <w:r>
        <w:t>纪要</w:t>
      </w:r>
      <w:r>
        <w:rPr>
          <w:rFonts w:hint="eastAsia"/>
        </w:rPr>
        <w:t>：</w:t>
      </w:r>
      <w:r>
        <w:t>适用于记载会议主要情况和议定事项。</w:t>
      </w:r>
    </w:p>
    <w:p>
      <w:pPr>
        <w:pStyle w:val="46"/>
      </w:pPr>
      <w:bookmarkStart w:id="11" w:name="_Toc118208976"/>
      <w:r>
        <w:rPr>
          <w:rFonts w:hint="eastAsia"/>
        </w:rPr>
        <w:t>公文格式</w:t>
      </w:r>
      <w:bookmarkEnd w:id="11"/>
    </w:p>
    <w:p>
      <w:pPr>
        <w:pStyle w:val="43"/>
        <w:spacing w:before="156" w:after="156"/>
      </w:pPr>
      <w:bookmarkStart w:id="12" w:name="_Toc118208977"/>
      <w:r>
        <w:rPr>
          <w:rFonts w:hint="eastAsia"/>
        </w:rPr>
        <w:t>组成</w:t>
      </w:r>
      <w:bookmarkEnd w:id="12"/>
    </w:p>
    <w:p>
      <w:pPr>
        <w:pStyle w:val="25"/>
      </w:pPr>
      <w:r>
        <w:rPr>
          <w:rFonts w:hint="eastAsia"/>
        </w:rPr>
        <w:t>公文一般由下列内容组成：</w:t>
      </w:r>
    </w:p>
    <w:p>
      <w:pPr>
        <w:pStyle w:val="25"/>
      </w:pPr>
      <w:r>
        <w:rPr>
          <w:rFonts w:hint="eastAsia"/>
        </w:rPr>
        <w:t>——份号：公文印制份数的顺序号。涉密公文应标注份号；</w:t>
      </w:r>
    </w:p>
    <w:p>
      <w:pPr>
        <w:pStyle w:val="25"/>
      </w:pPr>
      <w:r>
        <w:rPr>
          <w:rFonts w:hint="eastAsia"/>
        </w:rPr>
        <w:t>——密级和保密期限：公文的秘密等级和保密的期限。涉密公文应当根据涉密程度分别标注“绝密”“机密”“秘密”和保密期限；</w:t>
      </w:r>
    </w:p>
    <w:p>
      <w:pPr>
        <w:pStyle w:val="25"/>
      </w:pPr>
      <w:r>
        <w:rPr>
          <w:rFonts w:hint="eastAsia"/>
        </w:rPr>
        <w:t>——紧急程度：公文送达和办理的时限要求。根据紧急程度，紧急公文应当分别标注“特急”“加急”，电报应当分别标注“特提”“特急”“加急”“平急”；</w:t>
      </w:r>
    </w:p>
    <w:p>
      <w:pPr>
        <w:pStyle w:val="25"/>
      </w:pPr>
      <w:r>
        <w:rPr>
          <w:rFonts w:hint="eastAsia"/>
        </w:rPr>
        <w:t>——发文机关标志：由发文机关全称或者规范化简称加“文件”二字组成，也可以使用发文机关全称或者规范化简称。联合行文时，发文机关标志可以并用联合发文机关名称，也可以单独用主办机关名称；</w:t>
      </w:r>
    </w:p>
    <w:p>
      <w:pPr>
        <w:pStyle w:val="25"/>
      </w:pPr>
      <w:r>
        <w:rPr>
          <w:rFonts w:hint="eastAsia"/>
        </w:rPr>
        <w:t>——发文字号：由发文机关代字、年份、发文顺序号组成。联合行文时，使用主办机关的发文字号；</w:t>
      </w:r>
    </w:p>
    <w:p>
      <w:pPr>
        <w:pStyle w:val="25"/>
      </w:pPr>
      <w:r>
        <w:rPr>
          <w:rFonts w:hint="eastAsia"/>
        </w:rPr>
        <w:t>——签发人：上行文应当标注签发人姓名；</w:t>
      </w:r>
    </w:p>
    <w:p>
      <w:pPr>
        <w:pStyle w:val="25"/>
      </w:pPr>
      <w:r>
        <w:rPr>
          <w:rFonts w:hint="eastAsia"/>
        </w:rPr>
        <w:t>——标题：由发文机关名称、事由和文种组成；</w:t>
      </w:r>
    </w:p>
    <w:p>
      <w:pPr>
        <w:pStyle w:val="25"/>
      </w:pPr>
      <w:r>
        <w:rPr>
          <w:rFonts w:hint="eastAsia"/>
        </w:rPr>
        <w:t>——主送机关：公文的主要受理机关，应当使用机关全称、规范化简称或者同类型机关统称；</w:t>
      </w:r>
    </w:p>
    <w:p>
      <w:pPr>
        <w:pStyle w:val="25"/>
      </w:pPr>
      <w:r>
        <w:rPr>
          <w:rFonts w:hint="eastAsia"/>
        </w:rPr>
        <w:t>——正文：公文的主体，用来表述公文的内容；</w:t>
      </w:r>
    </w:p>
    <w:p>
      <w:pPr>
        <w:pStyle w:val="25"/>
      </w:pPr>
      <w:r>
        <w:rPr>
          <w:rFonts w:hint="eastAsia"/>
        </w:rPr>
        <w:t>——附件说明：公文附件的顺序号和名称；</w:t>
      </w:r>
    </w:p>
    <w:p>
      <w:pPr>
        <w:pStyle w:val="25"/>
      </w:pPr>
      <w:r>
        <w:rPr>
          <w:rFonts w:hint="eastAsia"/>
        </w:rPr>
        <w:t>——发文机关署名：署发文机关全称或者规范化简称；</w:t>
      </w:r>
    </w:p>
    <w:p>
      <w:pPr>
        <w:pStyle w:val="25"/>
      </w:pPr>
      <w:r>
        <w:rPr>
          <w:rFonts w:hint="eastAsia"/>
        </w:rPr>
        <w:t>——成文日期：署会议通过或者发文机关负责人签发的日期。联合行文时，署最后签发机关负责人签发的日期；</w:t>
      </w:r>
    </w:p>
    <w:p>
      <w:pPr>
        <w:pStyle w:val="25"/>
      </w:pPr>
      <w:r>
        <w:rPr>
          <w:rFonts w:hint="eastAsia"/>
        </w:rPr>
        <w:t>——印章：公文中有发文机关署名的，应当加盖发文机关印章，并与署名机关相符。有特定发文机关标志的普发性公文和电报可以不加盖印章；</w:t>
      </w:r>
    </w:p>
    <w:p>
      <w:pPr>
        <w:pStyle w:val="25"/>
      </w:pPr>
      <w:r>
        <w:rPr>
          <w:rFonts w:hint="eastAsia"/>
        </w:rPr>
        <w:t>——附注：公文印发传达范围等需要说明的事项；</w:t>
      </w:r>
    </w:p>
    <w:p>
      <w:pPr>
        <w:pStyle w:val="25"/>
      </w:pPr>
      <w:r>
        <w:rPr>
          <w:rFonts w:hint="eastAsia"/>
        </w:rPr>
        <w:t>——附件：公文正文的说明、补充或者参考资料；</w:t>
      </w:r>
    </w:p>
    <w:p>
      <w:pPr>
        <w:pStyle w:val="25"/>
      </w:pPr>
      <w:r>
        <w:rPr>
          <w:rFonts w:hint="eastAsia"/>
        </w:rPr>
        <w:t>——抄送机关：除主送机关外需要执行或者知晓公文内容的其他机关，应当使用机关全称、规范化简称或者同类型机关统称；</w:t>
      </w:r>
    </w:p>
    <w:p>
      <w:pPr>
        <w:pStyle w:val="25"/>
      </w:pPr>
      <w:r>
        <w:rPr>
          <w:rFonts w:hint="eastAsia"/>
        </w:rPr>
        <w:t>——印发机关和印发日期：公文的送印机关和送印日期；</w:t>
      </w:r>
    </w:p>
    <w:p>
      <w:pPr>
        <w:pStyle w:val="25"/>
      </w:pPr>
      <w:r>
        <w:rPr>
          <w:rFonts w:hint="eastAsia"/>
        </w:rPr>
        <w:t>——页码：公文页数顺序号。</w:t>
      </w:r>
    </w:p>
    <w:p>
      <w:pPr>
        <w:pStyle w:val="43"/>
        <w:spacing w:before="156" w:after="156"/>
      </w:pPr>
      <w:bookmarkStart w:id="13" w:name="_Toc118208978"/>
      <w:r>
        <w:rPr>
          <w:rFonts w:hint="eastAsia"/>
        </w:rPr>
        <w:t>板式</w:t>
      </w:r>
      <w:bookmarkEnd w:id="13"/>
      <w:r>
        <w:rPr>
          <w:rFonts w:hint="eastAsia"/>
        </w:rPr>
        <w:t>　　</w:t>
      </w:r>
    </w:p>
    <w:p>
      <w:pPr>
        <w:pStyle w:val="25"/>
      </w:pPr>
      <w:r>
        <w:rPr>
          <w:rFonts w:hint="eastAsia"/>
        </w:rPr>
        <w:t>公文的版式应按照GB/T 9704执行。</w:t>
      </w:r>
    </w:p>
    <w:p>
      <w:pPr>
        <w:pStyle w:val="43"/>
        <w:spacing w:before="156" w:after="156"/>
      </w:pPr>
      <w:bookmarkStart w:id="14" w:name="_Toc118208979"/>
      <w:r>
        <w:rPr>
          <w:rFonts w:hint="eastAsia"/>
        </w:rPr>
        <w:t>其他要求</w:t>
      </w:r>
      <w:bookmarkEnd w:id="14"/>
      <w:r>
        <w:rPr>
          <w:rFonts w:hint="eastAsia"/>
        </w:rPr>
        <w:t>　　</w:t>
      </w:r>
    </w:p>
    <w:p>
      <w:pPr>
        <w:pStyle w:val="147"/>
      </w:pPr>
      <w:r>
        <w:rPr>
          <w:rFonts w:hint="eastAsia"/>
        </w:rPr>
        <w:t>公文使用的汉字、数字、外文字符、计量单位和标点符号等，按照有关国家标准和规定执行。民族自治地方的公文，可以并用汉字和当地通用的少数民族文字。</w:t>
      </w:r>
    </w:p>
    <w:p>
      <w:pPr>
        <w:pStyle w:val="147"/>
      </w:pPr>
      <w:r>
        <w:rPr>
          <w:rFonts w:hint="eastAsia"/>
        </w:rPr>
        <w:t>公文用纸幅面采用国际标准A4型。特殊形式的公文用纸幅面，根据实际需要确定。</w:t>
      </w:r>
    </w:p>
    <w:p>
      <w:pPr>
        <w:pStyle w:val="46"/>
      </w:pPr>
      <w:bookmarkStart w:id="15" w:name="_Toc118208980"/>
      <w:r>
        <w:rPr>
          <w:rFonts w:hint="eastAsia"/>
        </w:rPr>
        <w:t>行文规则</w:t>
      </w:r>
      <w:bookmarkEnd w:id="15"/>
    </w:p>
    <w:p>
      <w:pPr>
        <w:pStyle w:val="43"/>
        <w:spacing w:before="156" w:after="156"/>
      </w:pPr>
      <w:bookmarkStart w:id="16" w:name="_Toc118208981"/>
      <w:r>
        <w:rPr>
          <w:rFonts w:hint="eastAsia"/>
        </w:rPr>
        <w:t>概述</w:t>
      </w:r>
      <w:bookmarkEnd w:id="16"/>
    </w:p>
    <w:p>
      <w:pPr>
        <w:pStyle w:val="147"/>
      </w:pPr>
      <w:r>
        <w:rPr>
          <w:rFonts w:hint="eastAsia"/>
        </w:rPr>
        <w:t>行文应当确有必要，讲求实效，注重针对性和可操作性。</w:t>
      </w:r>
    </w:p>
    <w:p>
      <w:pPr>
        <w:pStyle w:val="147"/>
      </w:pPr>
      <w:r>
        <w:rPr>
          <w:rFonts w:hint="eastAsia"/>
        </w:rPr>
        <w:t>行文关系根据隶属关系和职权范围确定。一般不得越级行文，特殊情况需要越级行文的，应当同时抄送被越过的机关。</w:t>
      </w:r>
    </w:p>
    <w:p>
      <w:pPr>
        <w:pStyle w:val="147"/>
      </w:pPr>
      <w:r>
        <w:rPr>
          <w:rFonts w:hint="eastAsia"/>
        </w:rPr>
        <w:t>同级党政机关、党政机关与其他同级机关必要时可以联合行文。属于党委、政府各自职权范围内的工作，不应联合行文。</w:t>
      </w:r>
    </w:p>
    <w:p>
      <w:pPr>
        <w:pStyle w:val="147"/>
      </w:pPr>
      <w:r>
        <w:rPr>
          <w:rFonts w:hint="eastAsia"/>
        </w:rPr>
        <w:t>党委、政府的部门依据职权可以相互行文。</w:t>
      </w:r>
    </w:p>
    <w:p>
      <w:pPr>
        <w:pStyle w:val="147"/>
      </w:pPr>
      <w:r>
        <w:rPr>
          <w:rFonts w:hint="eastAsia"/>
        </w:rPr>
        <w:t>部门内设机构除办公厅（室）外不应对外正式行文。</w:t>
      </w:r>
    </w:p>
    <w:p>
      <w:pPr>
        <w:pStyle w:val="43"/>
        <w:spacing w:before="156" w:after="156"/>
      </w:pPr>
      <w:bookmarkStart w:id="17" w:name="_Toc118208982"/>
      <w:r>
        <w:rPr>
          <w:rFonts w:hint="eastAsia"/>
        </w:rPr>
        <w:t>向上级机关行文</w:t>
      </w:r>
      <w:bookmarkEnd w:id="17"/>
    </w:p>
    <w:p>
      <w:pPr>
        <w:pStyle w:val="25"/>
      </w:pPr>
      <w:r>
        <w:rPr>
          <w:rFonts w:hint="eastAsia"/>
        </w:rPr>
        <w:t>应遵循以下规则：</w:t>
      </w:r>
    </w:p>
    <w:p>
      <w:pPr>
        <w:pStyle w:val="25"/>
      </w:pPr>
      <w:r>
        <w:rPr>
          <w:rFonts w:hint="eastAsia"/>
        </w:rPr>
        <w:t>——原则上主送一个上级机关，根据需要同时抄送相关上级机关和同级机关，不抄送下级机关；</w:t>
      </w:r>
    </w:p>
    <w:p>
      <w:pPr>
        <w:pStyle w:val="25"/>
      </w:pPr>
      <w:r>
        <w:rPr>
          <w:rFonts w:hint="eastAsia"/>
        </w:rPr>
        <w:t>——党委、政府的部门向上级主管部门请示、报告重大事项，应当经本级党委、政府同意或者授权；属于部门职权范围内的事项应当直接报送上级主管部门；</w:t>
      </w:r>
    </w:p>
    <w:p>
      <w:pPr>
        <w:pStyle w:val="25"/>
      </w:pPr>
      <w:r>
        <w:rPr>
          <w:rFonts w:hint="eastAsia"/>
        </w:rPr>
        <w:t>——下级机关的请示事项，如需以本机关名义向上级机关请示，应当提出倾向性意见后上报，不得原文转报上级机关；</w:t>
      </w:r>
    </w:p>
    <w:p>
      <w:pPr>
        <w:pStyle w:val="25"/>
      </w:pPr>
      <w:r>
        <w:rPr>
          <w:rFonts w:hint="eastAsia"/>
        </w:rPr>
        <w:t>——请示应当一文一事。不得在报告等非请示性公文中夹带请示事项；</w:t>
      </w:r>
    </w:p>
    <w:p>
      <w:pPr>
        <w:pStyle w:val="25"/>
      </w:pPr>
      <w:r>
        <w:rPr>
          <w:rFonts w:hint="eastAsia"/>
        </w:rPr>
        <w:t>——除上级机关负责人直接交办事项外，不得以本机关名义向上级机关负责人报送公文，不得以本机关负责人名义向上级机关报送公文；</w:t>
      </w:r>
    </w:p>
    <w:p>
      <w:pPr>
        <w:pStyle w:val="25"/>
      </w:pPr>
      <w:r>
        <w:rPr>
          <w:rFonts w:hint="eastAsia"/>
        </w:rPr>
        <w:t>——受双重领导的机关向一个上级机关行文，必要时抄送另一个上级机关。</w:t>
      </w:r>
    </w:p>
    <w:p>
      <w:pPr>
        <w:pStyle w:val="43"/>
        <w:spacing w:before="156" w:after="156"/>
      </w:pPr>
      <w:bookmarkStart w:id="18" w:name="_Toc118208983"/>
      <w:r>
        <w:rPr>
          <w:rFonts w:hint="eastAsia"/>
        </w:rPr>
        <w:t>向下级机关行文</w:t>
      </w:r>
      <w:bookmarkEnd w:id="18"/>
    </w:p>
    <w:p>
      <w:pPr>
        <w:pStyle w:val="25"/>
      </w:pPr>
      <w:r>
        <w:rPr>
          <w:rFonts w:hint="eastAsia"/>
        </w:rPr>
        <w:t>应遵循以下规则：</w:t>
      </w:r>
    </w:p>
    <w:p>
      <w:pPr>
        <w:pStyle w:val="25"/>
      </w:pPr>
      <w:r>
        <w:rPr>
          <w:rFonts w:hint="eastAsia"/>
        </w:rPr>
        <w:t>——主送受理机关，根据需要抄送相关机关。重要行文应当同时抄送发文机关的直接上级机关；</w:t>
      </w:r>
    </w:p>
    <w:p>
      <w:pPr>
        <w:pStyle w:val="25"/>
      </w:pPr>
      <w:r>
        <w:rPr>
          <w:rFonts w:hint="eastAsia"/>
        </w:rPr>
        <w:t>　——党委、政府的办公厅（室）根据本级党委、政府授权，可以向下级党委、政府行文，其他部门和单位不得向下级党委、政府发布指令性公文或者在公文中向下级党委、政府提出指令性要求。需经政府审批的具体事项，经政府同意后可以由政府职能部门行文，文中须注明已经政府同意；</w:t>
      </w:r>
    </w:p>
    <w:p>
      <w:pPr>
        <w:pStyle w:val="25"/>
      </w:pPr>
      <w:r>
        <w:rPr>
          <w:rFonts w:hint="eastAsia"/>
        </w:rPr>
        <w:t>　——党委、政府的部门在各自职权范围内可以向下级党委、政府的相关部门行文；</w:t>
      </w:r>
    </w:p>
    <w:p>
      <w:pPr>
        <w:pStyle w:val="25"/>
      </w:pPr>
      <w:r>
        <w:rPr>
          <w:rFonts w:hint="eastAsia"/>
        </w:rPr>
        <w:t>　——涉及多个部门职权范围内的事务，部门之间未协商一致的，不得向下行文；擅自行文的，上级机关应当责令其纠正或者撤销；</w:t>
      </w:r>
    </w:p>
    <w:p>
      <w:pPr>
        <w:pStyle w:val="25"/>
      </w:pPr>
      <w:r>
        <w:rPr>
          <w:rFonts w:hint="eastAsia"/>
        </w:rPr>
        <w:t>　——上级机关向受双重领导的下级机关行文，必要时抄送该下级机关的另一个上级机关。</w:t>
      </w:r>
    </w:p>
    <w:p>
      <w:pPr>
        <w:pStyle w:val="46"/>
      </w:pPr>
      <w:bookmarkStart w:id="19" w:name="_Toc118208984"/>
      <w:r>
        <w:rPr>
          <w:rFonts w:hint="eastAsia"/>
        </w:rPr>
        <w:t>公文拟制</w:t>
      </w:r>
      <w:bookmarkEnd w:id="19"/>
    </w:p>
    <w:p>
      <w:pPr>
        <w:pStyle w:val="43"/>
        <w:spacing w:before="156" w:after="156"/>
      </w:pPr>
      <w:bookmarkStart w:id="20" w:name="_Toc118208985"/>
      <w:r>
        <w:rPr>
          <w:rFonts w:hint="eastAsia"/>
        </w:rPr>
        <w:t>起草</w:t>
      </w:r>
      <w:bookmarkEnd w:id="20"/>
    </w:p>
    <w:p>
      <w:pPr>
        <w:pStyle w:val="147"/>
      </w:pPr>
      <w:r>
        <w:rPr>
          <w:rFonts w:hint="eastAsia"/>
        </w:rPr>
        <w:t>符合党的理论路线方针政策和国家法律法规，完整准确体现发文机关意图，并同现行有关公文相衔接。</w:t>
      </w:r>
    </w:p>
    <w:p>
      <w:pPr>
        <w:pStyle w:val="147"/>
      </w:pPr>
      <w:r>
        <w:rPr>
          <w:rFonts w:hint="eastAsia"/>
        </w:rPr>
        <w:t>一切从实际出发，分析问题实事求是，所提政策措施和办法切实可行。</w:t>
      </w:r>
    </w:p>
    <w:p>
      <w:pPr>
        <w:pStyle w:val="147"/>
      </w:pPr>
      <w:r>
        <w:rPr>
          <w:rFonts w:hint="eastAsia"/>
        </w:rPr>
        <w:t>内容简洁，主题突出，观点鲜明，结构严谨，表述准确，文字精练。</w:t>
      </w:r>
    </w:p>
    <w:p>
      <w:pPr>
        <w:pStyle w:val="147"/>
      </w:pPr>
      <w:r>
        <w:rPr>
          <w:rFonts w:hint="eastAsia"/>
        </w:rPr>
        <w:t>文种正确，格式规范。</w:t>
      </w:r>
    </w:p>
    <w:p>
      <w:pPr>
        <w:pStyle w:val="147"/>
      </w:pPr>
      <w:r>
        <w:rPr>
          <w:rFonts w:hint="eastAsia"/>
        </w:rPr>
        <w:t>深入调查研究，充分进行论证，广泛听取意见。</w:t>
      </w:r>
    </w:p>
    <w:p>
      <w:pPr>
        <w:pStyle w:val="147"/>
      </w:pPr>
      <w:r>
        <w:rPr>
          <w:rFonts w:hint="eastAsia"/>
        </w:rPr>
        <w:t>公文涉及其他地区或者部门职权范围内的事项，起草单位必须征求相关地区或者部门意见，力求达成一致。</w:t>
      </w:r>
    </w:p>
    <w:p>
      <w:pPr>
        <w:pStyle w:val="147"/>
      </w:pPr>
      <w:r>
        <w:rPr>
          <w:rFonts w:hint="eastAsia"/>
        </w:rPr>
        <w:t>机关负责人应当主持、指导重要公文起草工作。</w:t>
      </w:r>
    </w:p>
    <w:p>
      <w:pPr>
        <w:pStyle w:val="43"/>
        <w:spacing w:before="156" w:after="156"/>
      </w:pPr>
      <w:bookmarkStart w:id="21" w:name="_Toc118208986"/>
      <w:r>
        <w:rPr>
          <w:rFonts w:hint="eastAsia"/>
        </w:rPr>
        <w:t>审核</w:t>
      </w:r>
      <w:bookmarkEnd w:id="21"/>
    </w:p>
    <w:p>
      <w:pPr>
        <w:pStyle w:val="147"/>
      </w:pPr>
      <w:r>
        <w:rPr>
          <w:rFonts w:hint="eastAsia"/>
        </w:rPr>
        <w:t>需要发文机关审议的重要公文文稿，审议前由发文机关办公室进行初核。</w:t>
      </w:r>
    </w:p>
    <w:p>
      <w:pPr>
        <w:pStyle w:val="147"/>
      </w:pPr>
      <w:r>
        <w:rPr>
          <w:rFonts w:hint="eastAsia"/>
        </w:rPr>
        <w:t>经审核不宜发文的公文文稿，应当退回起草单位并说明理由；符合发文条件但内容需作进一步研究和修改的，由起草单位修改后重新报送。</w:t>
      </w:r>
    </w:p>
    <w:p>
      <w:pPr>
        <w:pStyle w:val="147"/>
      </w:pPr>
      <w:r>
        <w:rPr>
          <w:rFonts w:hint="eastAsia"/>
        </w:rPr>
        <w:t>公文文稿签发前，应当由发文机关办公室进行审核。审核的重点是：</w:t>
      </w:r>
    </w:p>
    <w:p>
      <w:pPr>
        <w:pStyle w:val="25"/>
      </w:pPr>
      <w:r>
        <w:rPr>
          <w:rFonts w:hint="eastAsia"/>
        </w:rPr>
        <w:t>——行文理由是否充分，行文依据是否准确；</w:t>
      </w:r>
    </w:p>
    <w:p>
      <w:pPr>
        <w:pStyle w:val="25"/>
      </w:pPr>
      <w:r>
        <w:rPr>
          <w:rFonts w:hint="eastAsia"/>
        </w:rPr>
        <w:t>——内容是否符合党的理论路线方针政策和国家法律法规；是否完整准确体现发文机关意图；是否同现行有关公文相衔接；所提政策措施和办法是否切实可行；</w:t>
      </w:r>
    </w:p>
    <w:p>
      <w:pPr>
        <w:pStyle w:val="25"/>
      </w:pPr>
      <w:r>
        <w:rPr>
          <w:rFonts w:hint="eastAsia"/>
        </w:rPr>
        <w:t>——涉及有关地区或者部门职权范围内的事项是否经过充分协商并达成一致意见；</w:t>
      </w:r>
    </w:p>
    <w:p>
      <w:pPr>
        <w:pStyle w:val="25"/>
      </w:pPr>
      <w:r>
        <w:rPr>
          <w:rFonts w:hint="eastAsia"/>
        </w:rPr>
        <w:t>——文种是否正确，格式是否规范；人名、地名、时间、数字、段落顺序、引文等是否准确；文字、数字、计量单位和标点符号等用法是否规范；</w:t>
      </w:r>
    </w:p>
    <w:p>
      <w:pPr>
        <w:pStyle w:val="25"/>
      </w:pPr>
      <w:r>
        <w:rPr>
          <w:rFonts w:hint="eastAsia"/>
        </w:rPr>
        <w:t>——其他内容是否符合公文起草的有关要求。</w:t>
      </w:r>
    </w:p>
    <w:p>
      <w:pPr>
        <w:pStyle w:val="43"/>
        <w:spacing w:before="156" w:after="156"/>
      </w:pPr>
      <w:bookmarkStart w:id="22" w:name="_Toc118208987"/>
      <w:r>
        <w:rPr>
          <w:rFonts w:hint="eastAsia"/>
        </w:rPr>
        <w:t>签发</w:t>
      </w:r>
      <w:bookmarkEnd w:id="22"/>
    </w:p>
    <w:p>
      <w:pPr>
        <w:pStyle w:val="147"/>
      </w:pPr>
      <w:r>
        <w:rPr>
          <w:rFonts w:hint="eastAsia"/>
        </w:rPr>
        <w:t>公文要按照中心领导分工原则办理。属于重大问题，由主任审批，必要时经党组会议讨论决定。属于日常性工作问题，按照中心领导分工或主任委托，由主管主任处理。紧急事项，分管领导处理后应及时向主任报告。</w:t>
      </w:r>
    </w:p>
    <w:p>
      <w:pPr>
        <w:pStyle w:val="147"/>
      </w:pPr>
      <w:r>
        <w:rPr>
          <w:rFonts w:hint="eastAsia"/>
        </w:rPr>
        <w:t>应由主任签批的文件有：涉及业务重大问题的文件；向市委、市政府报送的综合性报告或重大问题的请示；重要的政策性宣传稿件；分管主任提请签发的其他文件等。</w:t>
      </w:r>
    </w:p>
    <w:p>
      <w:pPr>
        <w:pStyle w:val="147"/>
      </w:pPr>
      <w:r>
        <w:rPr>
          <w:rFonts w:hint="eastAsia"/>
        </w:rPr>
        <w:t>应由分管主任签批的文件有：一般性报告和请示；征求我中心意见的文件；业务规章、制度和实施细则；职权范围内的有关法律、法规和规章制度的解释等。各位分管主任签发的文件中，如涉及重大工作事项，须提交主任签发。</w:t>
      </w:r>
    </w:p>
    <w:p>
      <w:pPr>
        <w:pStyle w:val="147"/>
      </w:pPr>
      <w:r>
        <w:rPr>
          <w:rFonts w:hint="eastAsia"/>
        </w:rPr>
        <w:t>中心领导在签批文件时，要有明确的批示意见。</w:t>
      </w:r>
    </w:p>
    <w:p>
      <w:pPr>
        <w:pStyle w:val="147"/>
      </w:pPr>
      <w:r>
        <w:rPr>
          <w:rFonts w:hint="eastAsia"/>
        </w:rPr>
        <w:t>凡以中心名义拟发的正式文件，必须由主任签发；外单位与我中心的会签文件，原则上由与会签单位同级别的中心领导审签；以中心名义拟发的信函由办公室主任签发；以中心内部各科室名义拟发的信函由科室负责人签发。</w:t>
      </w:r>
    </w:p>
    <w:p>
      <w:pPr>
        <w:pStyle w:val="46"/>
      </w:pPr>
      <w:bookmarkStart w:id="23" w:name="_Toc118208988"/>
      <w:r>
        <w:rPr>
          <w:rFonts w:hint="eastAsia"/>
        </w:rPr>
        <w:t>公文办理</w:t>
      </w:r>
      <w:bookmarkEnd w:id="23"/>
    </w:p>
    <w:p>
      <w:pPr>
        <w:pStyle w:val="43"/>
        <w:spacing w:before="156" w:after="156"/>
      </w:pPr>
      <w:bookmarkStart w:id="24" w:name="_Toc118208989"/>
      <w:r>
        <w:rPr>
          <w:rFonts w:hint="eastAsia"/>
        </w:rPr>
        <w:t>收文办理</w:t>
      </w:r>
      <w:bookmarkEnd w:id="24"/>
    </w:p>
    <w:p>
      <w:pPr>
        <w:pStyle w:val="47"/>
        <w:spacing w:before="156" w:after="156"/>
      </w:pPr>
      <w:r>
        <w:rPr>
          <w:rFonts w:hint="eastAsia"/>
        </w:rPr>
        <w:t>收文程序</w:t>
      </w:r>
    </w:p>
    <w:p>
      <w:pPr>
        <w:pStyle w:val="25"/>
      </w:pPr>
      <w:r>
        <w:rPr>
          <w:rFonts w:hint="eastAsia"/>
        </w:rPr>
        <w:t>收文办理主要程序是：</w:t>
      </w:r>
    </w:p>
    <w:p>
      <w:pPr>
        <w:pStyle w:val="25"/>
        <w:numPr>
          <w:ilvl w:val="0"/>
          <w:numId w:val="20"/>
        </w:numPr>
      </w:pPr>
      <w:r>
        <w:rPr>
          <w:rFonts w:hint="eastAsia"/>
        </w:rPr>
        <w:t>签收。对收到的公文应当逐件清点，核对无误后签字或者盖章，并注明签收时间；</w:t>
      </w:r>
    </w:p>
    <w:p>
      <w:pPr>
        <w:pStyle w:val="25"/>
      </w:pPr>
      <w:r>
        <w:rPr>
          <w:rFonts w:hint="eastAsia"/>
        </w:rPr>
        <w:t>b）登记。对公文的主要信息和办理情况应当详细记载；</w:t>
      </w:r>
    </w:p>
    <w:p>
      <w:pPr>
        <w:pStyle w:val="25"/>
      </w:pPr>
      <w:r>
        <w:rPr>
          <w:rFonts w:hint="eastAsia"/>
        </w:rPr>
        <w:t>c）初审。对收到的公文应当进行初审。初审的重点是：是否应当由本机关办理，是否符合行文规则，文种、格式是否符合要求，涉及其他地区或者部门职权范围内的事项是否已经协商、会签，是否符合公文起草的其他要求。经初审不符合规定的公文，应当及时退回来文单位并说明理由；</w:t>
      </w:r>
    </w:p>
    <w:p>
      <w:pPr>
        <w:pStyle w:val="25"/>
      </w:pPr>
      <w:r>
        <w:rPr>
          <w:rFonts w:hint="eastAsia"/>
        </w:rPr>
        <w:t>d）承办。阅知性公文应当根据公文内容、要求和工作需要确定范围后分送。批办性公文应当提出拟办意见报本机关负责人批示或者转有关部门办理；需要两个以上部门办理的，应当明确主办部门。紧急公文应当明确办理时限。承办部门对交办的公文应当及时办理，有明确办理时限要求的应当在规定时限内办理完毕；</w:t>
      </w:r>
    </w:p>
    <w:p>
      <w:pPr>
        <w:pStyle w:val="25"/>
      </w:pPr>
      <w:r>
        <w:rPr>
          <w:rFonts w:hint="eastAsia"/>
        </w:rPr>
        <w:t>e）传阅。根据领导批示和工作需要将公文及时送传阅对象阅知或者批示。办理公文传阅应当随时掌握公文去向，不得漏传、误传、延误；</w:t>
      </w:r>
    </w:p>
    <w:p>
      <w:pPr>
        <w:pStyle w:val="25"/>
      </w:pPr>
      <w:r>
        <w:rPr>
          <w:rFonts w:hint="eastAsia"/>
        </w:rPr>
        <w:t>f) 催办。及时了解掌握公文的办理进展情况，督促承办部门按期办结。紧急公文或者重要公文应当由专人负责催办。</w:t>
      </w:r>
    </w:p>
    <w:p>
      <w:pPr>
        <w:pStyle w:val="25"/>
      </w:pPr>
      <w:r>
        <w:rPr>
          <w:rFonts w:hint="eastAsia"/>
        </w:rPr>
        <w:t>g) 答复。公文的办理结果应当及时答复来文单位，并根据需要告知相关单位。</w:t>
      </w:r>
    </w:p>
    <w:p>
      <w:pPr>
        <w:pStyle w:val="47"/>
        <w:spacing w:before="156" w:after="156"/>
      </w:pPr>
      <w:r>
        <w:rPr>
          <w:rFonts w:hint="eastAsia"/>
        </w:rPr>
        <w:t>工作要求</w:t>
      </w:r>
    </w:p>
    <w:p>
      <w:pPr>
        <w:pStyle w:val="114"/>
      </w:pPr>
      <w:r>
        <w:t>凡以中心为收文单位的文件，办公室应认真检查核对单位、编号、件数、时限和密封情况等，确认无误后签收并及时登记。</w:t>
      </w:r>
    </w:p>
    <w:p>
      <w:pPr>
        <w:pStyle w:val="114"/>
      </w:pPr>
      <w:r>
        <w:t>由办公室主任或分管副主任根据公文内容提出拟办意见，呈送主任批示。主任批示后，由办公室转相关业务科室办理，并负责督办。承办科室反馈落实情况和办理结果的公文，由对口科室提出拟办意见呈送分管主任、主任批示。</w:t>
      </w:r>
    </w:p>
    <w:p>
      <w:pPr>
        <w:pStyle w:val="114"/>
      </w:pPr>
      <w:r>
        <w:t>送达中心的机要文件，由办公室主任或副主任提出阅办意见后由机要人员送有关中心领导阅批，涉及有关科室的事项同时交有关科室阅办。</w:t>
      </w:r>
    </w:p>
    <w:p>
      <w:pPr>
        <w:pStyle w:val="114"/>
      </w:pPr>
      <w:r>
        <w:t>办公室负责接收的电子公文数据，制成纸质文件后运转。</w:t>
      </w:r>
    </w:p>
    <w:p>
      <w:pPr>
        <w:pStyle w:val="114"/>
      </w:pPr>
      <w:r>
        <w:t>对非工作时间收到的公文和通知，由值班室负责。对于一般文件，要做好登记，按相关程序办理；对于紧急文件，要及时报告主管领导，按照领导的意见办理。</w:t>
      </w:r>
    </w:p>
    <w:p>
      <w:pPr>
        <w:pStyle w:val="43"/>
        <w:spacing w:before="156" w:after="156"/>
      </w:pPr>
      <w:bookmarkStart w:id="25" w:name="_Toc118208990"/>
      <w:r>
        <w:rPr>
          <w:rFonts w:hint="eastAsia"/>
        </w:rPr>
        <w:t>发文办理</w:t>
      </w:r>
      <w:bookmarkEnd w:id="25"/>
    </w:p>
    <w:p>
      <w:pPr>
        <w:pStyle w:val="47"/>
        <w:spacing w:before="156" w:after="156"/>
      </w:pPr>
      <w:r>
        <w:rPr>
          <w:rFonts w:hint="eastAsia"/>
        </w:rPr>
        <w:t>发文程序</w:t>
      </w:r>
    </w:p>
    <w:p>
      <w:pPr>
        <w:pStyle w:val="25"/>
      </w:pPr>
      <w:r>
        <w:rPr>
          <w:rFonts w:hint="eastAsia"/>
        </w:rPr>
        <w:t>发文办理主要程序是：</w:t>
      </w:r>
    </w:p>
    <w:p>
      <w:pPr>
        <w:pStyle w:val="25"/>
        <w:ind w:firstLine="218" w:firstLineChars="104"/>
      </w:pPr>
      <w:r>
        <w:rPr>
          <w:rFonts w:hint="eastAsia"/>
        </w:rPr>
        <w:t>　a）复核。已经发文机关负责人签批的公文，印发前应当对公文的审批手续、内容、文种、格式等进行复核；需作实质性修改的，应当报原签批人复审；</w:t>
      </w:r>
    </w:p>
    <w:p>
      <w:pPr>
        <w:pStyle w:val="25"/>
        <w:ind w:firstLine="218" w:firstLineChars="104"/>
      </w:pPr>
      <w:r>
        <w:rPr>
          <w:rFonts w:hint="eastAsia"/>
        </w:rPr>
        <w:t>　b）登记。对复核后的公文，应当确定发文字号、分送范围和印制份数并详细记载；</w:t>
      </w:r>
    </w:p>
    <w:p>
      <w:pPr>
        <w:pStyle w:val="25"/>
        <w:ind w:firstLine="218" w:firstLineChars="104"/>
      </w:pPr>
      <w:r>
        <w:rPr>
          <w:rFonts w:hint="eastAsia"/>
        </w:rPr>
        <w:t>　c）印制。公文印制必须确保质量和时效。涉密公文应当在符合保密要求的场所印制；</w:t>
      </w:r>
    </w:p>
    <w:p>
      <w:pPr>
        <w:pStyle w:val="25"/>
        <w:ind w:firstLine="218" w:firstLineChars="104"/>
      </w:pPr>
      <w:r>
        <w:rPr>
          <w:rFonts w:hint="eastAsia"/>
        </w:rPr>
        <w:t>　d）核发。公文印制完毕，应当对公文的文字、格式和印刷质量进行检查后分发。</w:t>
      </w:r>
    </w:p>
    <w:p>
      <w:pPr>
        <w:pStyle w:val="47"/>
        <w:spacing w:before="156" w:after="156"/>
      </w:pPr>
      <w:r>
        <w:rPr>
          <w:rFonts w:hint="eastAsia"/>
        </w:rPr>
        <w:t>工作要求</w:t>
      </w:r>
    </w:p>
    <w:p>
      <w:pPr>
        <w:pStyle w:val="114"/>
      </w:pPr>
      <w:r>
        <w:rPr>
          <w:rFonts w:hint="eastAsia"/>
        </w:rPr>
        <w:t>涉密公文应当通过机要交通、邮政机要通信、城市机要文件交换站或者收发件机关机要收发人员进行传递，通过密码电报或者符合国家保密规定的计算机信息系统进行传输。</w:t>
      </w:r>
    </w:p>
    <w:p>
      <w:pPr>
        <w:pStyle w:val="114"/>
      </w:pPr>
      <w:r>
        <w:rPr>
          <w:rFonts w:hint="eastAsia"/>
        </w:rPr>
        <w:t>以中心名义制发的文件，由相关科室起草。科室负责人要从政策、数字和文字上严格把关，报主管领导审签。重要文件或主管领导认为有必要的，呈送主任审批。所办公文内容涉及有关科室的，送有关科室会签；未经有关科室会签的，中心领导不予签发。</w:t>
      </w:r>
    </w:p>
    <w:p>
      <w:pPr>
        <w:pStyle w:val="114"/>
      </w:pPr>
      <w:r>
        <w:rPr>
          <w:rFonts w:hint="eastAsia"/>
        </w:rPr>
        <w:t>起草文稿要讲求质量和效率，并充分考虑到中心领导签发和印文所必需的时间。如确属紧急事项，应及时说明情况。</w:t>
      </w:r>
    </w:p>
    <w:p>
      <w:pPr>
        <w:pStyle w:val="114"/>
      </w:pPr>
      <w:r>
        <w:rPr>
          <w:rFonts w:hint="eastAsia"/>
        </w:rPr>
        <w:t>各科室要尽量减少行文，不解决实际问题的文件坚决不发。中心领导在专题会议上的讲话和专题会议纪要一般不以正式文件印发。必须印发的公文要简短、明确。</w:t>
      </w:r>
    </w:p>
    <w:p>
      <w:pPr>
        <w:pStyle w:val="114"/>
      </w:pPr>
      <w:r>
        <w:rPr>
          <w:rFonts w:hint="eastAsia"/>
        </w:rPr>
        <w:t>各科室以中心名义制发的有关规定、制度等方面的正式文件以及有关方面的重要资料都要送中心主任、中心各副主任及有关科室各一份。</w:t>
      </w:r>
    </w:p>
    <w:p>
      <w:pPr>
        <w:pStyle w:val="43"/>
        <w:spacing w:before="156" w:after="156"/>
      </w:pPr>
      <w:bookmarkStart w:id="26" w:name="_Toc118208991"/>
      <w:r>
        <w:rPr>
          <w:rFonts w:hint="eastAsia"/>
        </w:rPr>
        <w:t>整理归档</w:t>
      </w:r>
      <w:bookmarkEnd w:id="26"/>
    </w:p>
    <w:p>
      <w:pPr>
        <w:pStyle w:val="25"/>
      </w:pPr>
      <w:r>
        <w:rPr>
          <w:rFonts w:hint="eastAsia"/>
        </w:rPr>
        <w:t>需要归档的公文及有关材料，应当根据有关档案法律法规以及机关档案管理规定，及时收集齐全、整理归档。两个以上机关联合办理的公文，原件由主办机关归档，相关机关保存复制件。机关负责人兼任其他机关职务的，在履行所兼职务过程中形成的公文，由其兼职机关归档。</w:t>
      </w:r>
    </w:p>
    <w:p>
      <w:pPr>
        <w:pStyle w:val="46"/>
      </w:pPr>
      <w:bookmarkStart w:id="27" w:name="_Toc118208992"/>
      <w:r>
        <w:rPr>
          <w:rFonts w:hint="eastAsia"/>
        </w:rPr>
        <w:t>公文管理</w:t>
      </w:r>
      <w:bookmarkEnd w:id="27"/>
    </w:p>
    <w:p>
      <w:pPr>
        <w:pStyle w:val="146"/>
      </w:pPr>
      <w:r>
        <w:rPr>
          <w:rFonts w:hint="eastAsia"/>
        </w:rPr>
        <w:t>各级党政机关应当建立健全本机关公文管理制度，确保管理严格规范，充分发挥公文效用。</w:t>
      </w:r>
    </w:p>
    <w:p>
      <w:pPr>
        <w:pStyle w:val="146"/>
      </w:pPr>
      <w:r>
        <w:rPr>
          <w:rFonts w:hint="eastAsia"/>
        </w:rPr>
        <w:t>党政机关公文由文秘部门或者专人统一管理。设立党委（党组）的县级以上单位应当建立机要保密室和机要阅文室，并按照有关保密规定配备工作人员和必要的安全保密设施设备。</w:t>
      </w:r>
    </w:p>
    <w:p>
      <w:pPr>
        <w:pStyle w:val="146"/>
      </w:pPr>
      <w:r>
        <w:rPr>
          <w:rFonts w:hint="eastAsia"/>
        </w:rPr>
        <w:t>公文确定密级前，应当按照拟定的密级先行采取保密措施。确定密级后，应当按照所定密级严格管理。绝密级公文应当由专人管理。</w:t>
      </w:r>
    </w:p>
    <w:p>
      <w:pPr>
        <w:pStyle w:val="146"/>
      </w:pPr>
      <w:r>
        <w:rPr>
          <w:rFonts w:hint="eastAsia"/>
        </w:rPr>
        <w:t>公文的密级需要变更或者解除的，由原确定密级的机关或者其上级机关决定。</w:t>
      </w:r>
    </w:p>
    <w:p>
      <w:pPr>
        <w:pStyle w:val="146"/>
      </w:pPr>
      <w:r>
        <w:rPr>
          <w:rFonts w:hint="eastAsia"/>
        </w:rPr>
        <w:t>公文的印发传达范围应当按照发文机关的要求执行；需要变更的，应当经发文机关批准。</w:t>
      </w:r>
    </w:p>
    <w:p>
      <w:pPr>
        <w:pStyle w:val="146"/>
      </w:pPr>
      <w:r>
        <w:rPr>
          <w:rFonts w:hint="eastAsia"/>
        </w:rPr>
        <w:t>涉密公文公开发布前应当履行解密程序。公开发布的时间、形式和渠道，由发文机关确定。</w:t>
      </w:r>
    </w:p>
    <w:p>
      <w:pPr>
        <w:pStyle w:val="146"/>
      </w:pPr>
      <w:r>
        <w:rPr>
          <w:rFonts w:hint="eastAsia"/>
        </w:rPr>
        <w:t>经批准公开发布的公文，同发文机关正式印发的公文具有同等效力。</w:t>
      </w:r>
    </w:p>
    <w:p>
      <w:pPr>
        <w:pStyle w:val="146"/>
      </w:pPr>
      <w:r>
        <w:rPr>
          <w:rFonts w:hint="eastAsia"/>
        </w:rPr>
        <w:t>复制、汇编机密级、秘密级公文，应当符合有关规定并经本机关负责人批准。绝密级公文一般不得复制、汇编，确有工作需要的，应当经发文机关或者其上级机关批准。复制、汇编的公文视同原件管理。</w:t>
      </w:r>
    </w:p>
    <w:p>
      <w:pPr>
        <w:pStyle w:val="146"/>
      </w:pPr>
      <w:r>
        <w:rPr>
          <w:rFonts w:hint="eastAsia"/>
        </w:rPr>
        <w:t>复制件应当加盖复制机关戳记。翻印件应当注明翻印的机关名称、日期。汇编本的密级按照编入公文的最高密级标注。</w:t>
      </w:r>
    </w:p>
    <w:p>
      <w:pPr>
        <w:pStyle w:val="146"/>
      </w:pPr>
      <w:r>
        <w:rPr>
          <w:rFonts w:hint="eastAsia"/>
        </w:rPr>
        <w:t>公文的撤销和废止，由发文机关、上级机关或者权力机关根据职权范围和有关法律法规决定。公文被撤销的，视为自始无效；公文被废止的，视为自废止之日起失效。</w:t>
      </w:r>
    </w:p>
    <w:p>
      <w:pPr>
        <w:pStyle w:val="146"/>
      </w:pPr>
      <w:r>
        <w:rPr>
          <w:rFonts w:hint="eastAsia"/>
        </w:rPr>
        <w:t>涉密公文应当按照发文机关的要求和有关规定进行清退或者销毁。</w:t>
      </w:r>
    </w:p>
    <w:p>
      <w:pPr>
        <w:pStyle w:val="146"/>
      </w:pPr>
      <w:r>
        <w:rPr>
          <w:rFonts w:hint="eastAsia"/>
        </w:rPr>
        <w:t>不具备归档和保存价值的公文，经批准后可以销毁。销毁涉密公文必须严格按照有关规定履行审批登记手续，确保不丢失、不漏销。个人不得私自销毁、留存涉密公文。</w:t>
      </w:r>
    </w:p>
    <w:p>
      <w:pPr>
        <w:pStyle w:val="146"/>
      </w:pPr>
      <w:r>
        <w:rPr>
          <w:rFonts w:hint="eastAsia"/>
        </w:rPr>
        <w:t>机关合并时，全部公文应当随之合并管理；机关撤销时，需要归档的公文经整理后按照有关规定移交档案管理部门。</w:t>
      </w:r>
    </w:p>
    <w:p>
      <w:pPr>
        <w:pStyle w:val="146"/>
      </w:pPr>
      <w:r>
        <w:rPr>
          <w:rFonts w:hint="eastAsia"/>
        </w:rPr>
        <w:t>工作人员离岗离职时，所在机关应当督促其将暂存、借用的公文按照有关规定移交、清退。</w:t>
      </w:r>
    </w:p>
    <w:p>
      <w:pPr>
        <w:pStyle w:val="146"/>
      </w:pPr>
      <w:r>
        <w:rPr>
          <w:rFonts w:hint="eastAsia"/>
        </w:rPr>
        <w:t>新设立的机关应当向本级党委、政府的办公厅（室）提出发文立户申请。经审查符合条件的，列为发文单位，机关合并或者撤销时，相应进行调整。</w:t>
      </w:r>
    </w:p>
    <w:p>
      <w:pPr>
        <w:pStyle w:val="46"/>
      </w:pPr>
      <w:bookmarkStart w:id="28" w:name="_Toc118208993"/>
      <w:r>
        <w:rPr>
          <w:rFonts w:hint="eastAsia"/>
        </w:rPr>
        <w:t>相关记录</w:t>
      </w:r>
      <w:bookmarkEnd w:id="28"/>
    </w:p>
    <w:p>
      <w:pPr>
        <w:pStyle w:val="146"/>
        <w:rPr>
          <w:color w:val="FF0000"/>
        </w:rPr>
      </w:pPr>
      <w:r>
        <w:rPr>
          <w:rFonts w:hint="eastAsia"/>
          <w:color w:val="FF0000"/>
        </w:rPr>
        <w:t>邢台市机关后勤服务中心来文阅办笺样式见附录A。</w:t>
      </w:r>
    </w:p>
    <w:p>
      <w:pPr>
        <w:pStyle w:val="146"/>
      </w:pPr>
      <w:r>
        <w:rPr>
          <w:rFonts w:hint="eastAsia"/>
          <w:color w:val="FF0000"/>
        </w:rPr>
        <w:t>公文呈批笺样式见附录B。</w:t>
      </w:r>
    </w:p>
    <w:p>
      <w:pPr>
        <w:pStyle w:val="99"/>
      </w:pPr>
    </w:p>
    <w:p>
      <w:pPr>
        <w:pStyle w:val="87"/>
        <w:tabs>
          <w:tab w:val="clear" w:pos="0"/>
        </w:tabs>
      </w:pPr>
    </w:p>
    <w:p>
      <w:pPr>
        <w:pStyle w:val="85"/>
        <w:numPr>
          <w:ilvl w:val="0"/>
          <w:numId w:val="21"/>
        </w:numPr>
      </w:pPr>
      <w:r>
        <w:br w:type="textWrapping"/>
      </w:r>
      <w:bookmarkStart w:id="29" w:name="_Toc118208994"/>
      <w:r>
        <w:rPr>
          <w:rFonts w:hint="eastAsia"/>
        </w:rPr>
        <w:t>（规范性）</w:t>
      </w:r>
      <w:r>
        <w:br w:type="textWrapping"/>
      </w:r>
      <w:r>
        <w:rPr>
          <w:rFonts w:hint="eastAsia"/>
        </w:rPr>
        <w:t>来文阅办笺样式</w:t>
      </w:r>
      <w:bookmarkEnd w:id="29"/>
    </w:p>
    <w:p>
      <w:pPr>
        <w:pStyle w:val="25"/>
        <w:rPr>
          <w:rFonts w:hint="eastAsia"/>
        </w:rPr>
      </w:pPr>
      <w:r>
        <w:rPr>
          <w:rFonts w:hint="eastAsia"/>
        </w:rPr>
        <w:t>A.1 来文阅办笺样式见图A.1。</w:t>
      </w:r>
    </w:p>
    <w:p>
      <w:pPr>
        <w:keepNext w:val="0"/>
        <w:keepLines w:val="0"/>
        <w:pageBreakBefore w:val="0"/>
        <w:widowControl w:val="0"/>
        <w:tabs>
          <w:tab w:val="left" w:pos="3990"/>
        </w:tabs>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b w:val="0"/>
          <w:bCs/>
          <w:color w:val="FF0000"/>
          <w:spacing w:val="40"/>
          <w:sz w:val="44"/>
          <w:szCs w:val="44"/>
          <w:lang w:eastAsia="zh-CN"/>
        </w:rPr>
      </w:pPr>
      <w:r>
        <w:rPr>
          <w:rFonts w:hint="eastAsia" w:ascii="方正小标宋简体" w:hAnsi="方正小标宋简体" w:eastAsia="方正小标宋简体" w:cs="方正小标宋简体"/>
          <w:b w:val="0"/>
          <w:bCs/>
          <w:color w:val="auto"/>
          <w:spacing w:val="40"/>
          <w:sz w:val="44"/>
          <w:szCs w:val="44"/>
          <w:lang w:eastAsia="zh-CN"/>
        </w:rPr>
        <w:t>邢台市机关后勤服务中心办文呈批签</w:t>
      </w:r>
    </w:p>
    <w:p>
      <w:pPr>
        <w:keepNext w:val="0"/>
        <w:keepLines w:val="0"/>
        <w:pageBreakBefore w:val="0"/>
        <w:widowControl w:val="0"/>
        <w:tabs>
          <w:tab w:val="left" w:pos="3990"/>
        </w:tabs>
        <w:kinsoku/>
        <w:wordWrap/>
        <w:overflowPunct/>
        <w:topLinePunct w:val="0"/>
        <w:autoSpaceDE/>
        <w:autoSpaceDN/>
        <w:bidi w:val="0"/>
        <w:adjustRightInd/>
        <w:snapToGrid/>
        <w:spacing w:line="400" w:lineRule="exact"/>
        <w:jc w:val="right"/>
        <w:textAlignment w:val="auto"/>
        <w:rPr>
          <w:rFonts w:hint="default" w:ascii="仿宋_GB2312" w:hAnsi="仿宋_GB2312" w:eastAsia="仿宋_GB2312" w:cs="仿宋_GB2312"/>
          <w:b/>
          <w:bCs w:val="0"/>
          <w:color w:val="auto"/>
          <w:spacing w:val="40"/>
          <w:sz w:val="28"/>
          <w:szCs w:val="28"/>
          <w:lang w:val="en-US" w:eastAsia="zh-CN"/>
        </w:rPr>
      </w:pPr>
      <w:r>
        <w:rPr>
          <w:rFonts w:hint="eastAsia" w:ascii="仿宋_GB2312" w:hAnsi="仿宋_GB2312" w:eastAsia="仿宋_GB2312" w:cs="仿宋_GB2312"/>
          <w:b w:val="0"/>
          <w:bCs/>
          <w:color w:val="auto"/>
          <w:spacing w:val="40"/>
          <w:sz w:val="28"/>
          <w:szCs w:val="28"/>
          <w:lang w:val="en-US" w:eastAsia="zh-CN"/>
        </w:rPr>
        <w:t xml:space="preserve">              收文时间：  年  月  日 </w:t>
      </w:r>
    </w:p>
    <w:tbl>
      <w:tblPr>
        <w:tblStyle w:val="34"/>
        <w:tblW w:w="954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86"/>
        <w:gridCol w:w="6453"/>
        <w:gridCol w:w="879"/>
        <w:gridCol w:w="112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3" w:hRule="atLeast"/>
          <w:jc w:val="center"/>
        </w:trPr>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val="0"/>
                <w:bCs w:val="0"/>
                <w:sz w:val="32"/>
                <w:szCs w:val="32"/>
                <w:lang w:eastAsia="zh-CN"/>
              </w:rPr>
            </w:pPr>
            <w:r>
              <w:rPr>
                <w:rFonts w:hint="eastAsia" w:ascii="黑体" w:hAnsi="黑体" w:eastAsia="黑体" w:cs="黑体"/>
                <w:b w:val="0"/>
                <w:bCs w:val="0"/>
                <w:sz w:val="32"/>
                <w:szCs w:val="32"/>
                <w:lang w:eastAsia="zh-CN"/>
              </w:rPr>
              <w:t>来文单位</w:t>
            </w:r>
          </w:p>
        </w:tc>
        <w:tc>
          <w:tcPr>
            <w:tcW w:w="6453" w:type="dxa"/>
            <w:noWrap w:val="0"/>
            <w:vAlign w:val="center"/>
          </w:tcPr>
          <w:p>
            <w:pPr>
              <w:spacing w:line="480" w:lineRule="exact"/>
              <w:jc w:val="center"/>
              <w:rPr>
                <w:rFonts w:hint="eastAsia"/>
                <w:lang w:val="en-US" w:eastAsia="zh-CN"/>
              </w:rPr>
            </w:pPr>
          </w:p>
        </w:tc>
        <w:tc>
          <w:tcPr>
            <w:tcW w:w="879" w:type="dxa"/>
            <w:noWrap w:val="0"/>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密级</w:t>
            </w:r>
          </w:p>
        </w:tc>
        <w:tc>
          <w:tcPr>
            <w:tcW w:w="1122" w:type="dxa"/>
            <w:noWrap w:val="0"/>
            <w:vAlign w:val="center"/>
          </w:tcPr>
          <w:p>
            <w:pPr>
              <w:tabs>
                <w:tab w:val="left" w:pos="295"/>
                <w:tab w:val="center" w:pos="735"/>
              </w:tabs>
              <w:spacing w:line="480" w:lineRule="exact"/>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6" w:hRule="atLeast"/>
          <w:jc w:val="center"/>
        </w:trPr>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来文标题</w:t>
            </w:r>
          </w:p>
        </w:tc>
        <w:tc>
          <w:tcPr>
            <w:tcW w:w="8454" w:type="dxa"/>
            <w:gridSpan w:val="3"/>
            <w:noWrap w:val="0"/>
            <w:vAlign w:val="center"/>
          </w:tcPr>
          <w:p>
            <w:pPr>
              <w:spacing w:line="480" w:lineRule="exact"/>
              <w:jc w:val="cente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36" w:hRule="atLeast"/>
          <w:jc w:val="center"/>
        </w:trPr>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主</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任</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批</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示</w:t>
            </w:r>
          </w:p>
        </w:tc>
        <w:tc>
          <w:tcPr>
            <w:tcW w:w="8454" w:type="dxa"/>
            <w:gridSpan w:val="3"/>
            <w:noWrap w:val="0"/>
            <w:vAlign w:val="center"/>
          </w:tcPr>
          <w:p>
            <w:pPr>
              <w:keepNext w:val="0"/>
              <w:keepLines w:val="0"/>
              <w:pageBreakBefore w:val="0"/>
              <w:widowControl w:val="0"/>
              <w:tabs>
                <w:tab w:val="left" w:pos="2043"/>
              </w:tabs>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ab/>
            </w:r>
            <w:r>
              <w:rPr>
                <w:rFonts w:hint="eastAsia" w:ascii="仿宋" w:hAnsi="仿宋" w:eastAsia="仿宋" w:cs="仿宋"/>
                <w:sz w:val="36"/>
                <w:szCs w:val="36"/>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03" w:hRule="atLeast"/>
          <w:jc w:val="center"/>
        </w:trPr>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主</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管</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领</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导</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意</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见</w:t>
            </w:r>
          </w:p>
        </w:tc>
        <w:tc>
          <w:tcPr>
            <w:tcW w:w="845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147" w:rightChars="-70" w:firstLine="5760" w:firstLineChars="1800"/>
              <w:jc w:val="both"/>
              <w:textAlignment w:val="auto"/>
              <w:outlineLvl w:val="9"/>
              <w:rPr>
                <w:rFonts w:hint="eastAsia" w:ascii="仿宋_GB2312" w:hAnsi="仿宋_GB2312" w:eastAsia="仿宋_GB2312" w:cs="仿宋_GB231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70" w:hRule="atLeast"/>
          <w:jc w:val="center"/>
        </w:trPr>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拟</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办</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意</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见</w:t>
            </w:r>
          </w:p>
        </w:tc>
        <w:tc>
          <w:tcPr>
            <w:tcW w:w="8454" w:type="dxa"/>
            <w:gridSpan w:val="3"/>
            <w:noWrap w:val="0"/>
            <w:vAlign w:val="top"/>
          </w:tcPr>
          <w:p>
            <w:pPr>
              <w:jc w:val="both"/>
              <w:rPr>
                <w:rFonts w:hint="eastAsia" w:ascii="仿宋_GB2312" w:hAnsi="仿宋_GB2312" w:eastAsia="仿宋_GB2312" w:cs="仿宋_GB2312"/>
                <w:sz w:val="32"/>
                <w:szCs w:val="32"/>
                <w:lang w:val="en-US" w:eastAsia="zh-CN"/>
              </w:rPr>
            </w:pPr>
            <w:r>
              <w:rPr>
                <w:rFonts w:hint="eastAsia"/>
                <w:lang w:val="en-US" w:eastAsia="zh-CN"/>
              </w:rPr>
              <w:t xml:space="preserve">      </w:t>
            </w:r>
          </w:p>
          <w:p>
            <w:pPr>
              <w:jc w:val="both"/>
              <w:rPr>
                <w:rFonts w:hint="eastAsia"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default"/>
                <w:lang w:val="en-US" w:eastAsia="zh-CN"/>
              </w:rPr>
            </w:pPr>
          </w:p>
        </w:tc>
      </w:tr>
    </w:tbl>
    <w:p>
      <w:pPr>
        <w:pStyle w:val="25"/>
        <w:rPr>
          <w:rFonts w:hint="default" w:eastAsia="宋体"/>
          <w:lang w:val="en-US" w:eastAsia="zh-CN"/>
        </w:rPr>
      </w:pPr>
      <w:r>
        <w:rPr>
          <w:rFonts w:hint="eastAsia"/>
          <w:lang w:eastAsia="zh-CN"/>
        </w:rPr>
        <w:t>联系人：</w:t>
      </w:r>
      <w:r>
        <w:rPr>
          <w:rFonts w:hint="eastAsia"/>
          <w:lang w:val="en-US" w:eastAsia="zh-CN"/>
        </w:rPr>
        <w:t xml:space="preserve">                                                       联系电话：</w:t>
      </w:r>
    </w:p>
    <w:p>
      <w:pPr>
        <w:pStyle w:val="99"/>
      </w:pPr>
    </w:p>
    <w:p>
      <w:pPr>
        <w:pStyle w:val="87"/>
        <w:tabs>
          <w:tab w:val="clear" w:pos="0"/>
        </w:tabs>
      </w:pPr>
    </w:p>
    <w:p>
      <w:pPr>
        <w:pStyle w:val="85"/>
        <w:numPr>
          <w:ilvl w:val="0"/>
          <w:numId w:val="21"/>
        </w:numPr>
      </w:pPr>
      <w:r>
        <w:br w:type="textWrapping"/>
      </w:r>
      <w:bookmarkStart w:id="30" w:name="_Toc118208995"/>
      <w:r>
        <w:rPr>
          <w:rFonts w:hint="eastAsia"/>
        </w:rPr>
        <w:t>（规范性）</w:t>
      </w:r>
      <w:r>
        <w:br w:type="textWrapping"/>
      </w:r>
      <w:r>
        <w:rPr>
          <w:rFonts w:hint="eastAsia"/>
        </w:rPr>
        <w:t>公文呈批笺样式</w:t>
      </w:r>
      <w:bookmarkEnd w:id="30"/>
    </w:p>
    <w:p>
      <w:pPr>
        <w:pStyle w:val="25"/>
        <w:spacing w:before="156" w:beforeLines="50"/>
      </w:pPr>
      <w:r>
        <w:t>B</w:t>
      </w:r>
      <w:r>
        <w:rPr>
          <w:rFonts w:hint="eastAsia"/>
        </w:rPr>
        <w:t>.1 公文呈批笺样式见图B.1。</w:t>
      </w:r>
    </w:p>
    <w:p>
      <w:pPr>
        <w:keepNext w:val="0"/>
        <w:keepLines w:val="0"/>
        <w:pageBreakBefore w:val="0"/>
        <w:widowControl w:val="0"/>
        <w:tabs>
          <w:tab w:val="left" w:pos="3990"/>
        </w:tabs>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b w:val="0"/>
          <w:bCs/>
          <w:color w:val="FF0000"/>
          <w:spacing w:val="40"/>
          <w:sz w:val="44"/>
          <w:szCs w:val="44"/>
          <w:lang w:eastAsia="zh-CN"/>
        </w:rPr>
      </w:pPr>
      <w:r>
        <w:rPr>
          <w:rFonts w:hint="eastAsia" w:ascii="方正小标宋简体" w:hAnsi="方正小标宋简体" w:eastAsia="方正小标宋简体" w:cs="方正小标宋简体"/>
          <w:b w:val="0"/>
          <w:bCs/>
          <w:color w:val="auto"/>
          <w:spacing w:val="40"/>
          <w:sz w:val="44"/>
          <w:szCs w:val="44"/>
          <w:lang w:eastAsia="zh-CN"/>
        </w:rPr>
        <w:t>邢台市机关后勤服务中心办文呈批签</w:t>
      </w:r>
    </w:p>
    <w:p>
      <w:pPr>
        <w:keepNext w:val="0"/>
        <w:keepLines w:val="0"/>
        <w:pageBreakBefore w:val="0"/>
        <w:widowControl w:val="0"/>
        <w:tabs>
          <w:tab w:val="left" w:pos="3990"/>
        </w:tabs>
        <w:kinsoku/>
        <w:wordWrap/>
        <w:overflowPunct/>
        <w:topLinePunct w:val="0"/>
        <w:autoSpaceDE/>
        <w:autoSpaceDN/>
        <w:bidi w:val="0"/>
        <w:adjustRightInd/>
        <w:snapToGrid/>
        <w:spacing w:line="400" w:lineRule="exact"/>
        <w:jc w:val="distribute"/>
        <w:textAlignment w:val="auto"/>
        <w:rPr>
          <w:rFonts w:hint="default" w:ascii="仿宋_GB2312" w:hAnsi="仿宋_GB2312" w:eastAsia="仿宋_GB2312" w:cs="仿宋_GB2312"/>
          <w:b/>
          <w:bCs w:val="0"/>
          <w:color w:val="auto"/>
          <w:spacing w:val="40"/>
          <w:sz w:val="28"/>
          <w:szCs w:val="28"/>
          <w:lang w:val="en-US" w:eastAsia="zh-CN"/>
        </w:rPr>
      </w:pPr>
      <w:r>
        <w:rPr>
          <w:rFonts w:hint="default" w:ascii="仿宋_GB2312" w:hAnsi="仿宋_GB2312" w:eastAsia="仿宋_GB2312" w:cs="仿宋_GB2312"/>
          <w:b w:val="0"/>
          <w:bCs/>
          <w:color w:val="auto"/>
          <w:spacing w:val="40"/>
          <w:sz w:val="28"/>
          <w:szCs w:val="28"/>
          <w:lang w:val="en" w:eastAsia="zh-CN"/>
        </w:rPr>
        <w:t xml:space="preserve"> </w:t>
      </w:r>
      <w:r>
        <w:rPr>
          <w:rFonts w:hint="eastAsia" w:ascii="仿宋_GB2312" w:hAnsi="仿宋_GB2312" w:eastAsia="仿宋_GB2312" w:cs="仿宋_GB2312"/>
          <w:b w:val="0"/>
          <w:bCs/>
          <w:color w:val="auto"/>
          <w:spacing w:val="40"/>
          <w:sz w:val="28"/>
          <w:szCs w:val="28"/>
          <w:lang w:val="en-US" w:eastAsia="zh-CN"/>
        </w:rPr>
        <w:t>编号：</w:t>
      </w:r>
      <w:r>
        <w:rPr>
          <w:rFonts w:hint="default" w:ascii="仿宋_GB2312" w:hAnsi="仿宋_GB2312" w:eastAsia="仿宋_GB2312" w:cs="仿宋_GB2312"/>
          <w:b w:val="0"/>
          <w:bCs/>
          <w:color w:val="auto"/>
          <w:spacing w:val="-40"/>
          <w:sz w:val="28"/>
          <w:szCs w:val="28"/>
          <w:lang w:val="en" w:eastAsia="zh-CN"/>
        </w:rPr>
        <w:t>HQ202</w:t>
      </w:r>
      <w:r>
        <w:rPr>
          <w:rFonts w:hint="eastAsia" w:ascii="仿宋_GB2312" w:hAnsi="仿宋_GB2312" w:eastAsia="仿宋_GB2312" w:cs="仿宋_GB2312"/>
          <w:b w:val="0"/>
          <w:bCs/>
          <w:color w:val="auto"/>
          <w:spacing w:val="-40"/>
          <w:sz w:val="28"/>
          <w:szCs w:val="28"/>
          <w:lang w:val="en-US" w:eastAsia="zh-CN"/>
        </w:rPr>
        <w:t>20XX</w:t>
      </w:r>
      <w:r>
        <w:rPr>
          <w:rFonts w:hint="eastAsia" w:ascii="仿宋_GB2312" w:hAnsi="仿宋_GB2312" w:eastAsia="仿宋_GB2312" w:cs="仿宋_GB2312"/>
          <w:b w:val="0"/>
          <w:bCs/>
          <w:color w:val="auto"/>
          <w:spacing w:val="40"/>
          <w:sz w:val="28"/>
          <w:szCs w:val="28"/>
          <w:lang w:val="en-US" w:eastAsia="zh-CN"/>
        </w:rPr>
        <w:t xml:space="preserve">          </w:t>
      </w:r>
      <w:r>
        <w:rPr>
          <w:rFonts w:hint="eastAsia" w:ascii="仿宋_GB2312" w:hAnsi="仿宋_GB2312" w:eastAsia="仿宋_GB2312" w:cs="仿宋_GB2312"/>
          <w:b w:val="0"/>
          <w:bCs/>
          <w:color w:val="auto"/>
          <w:spacing w:val="-40"/>
          <w:sz w:val="28"/>
          <w:szCs w:val="28"/>
          <w:lang w:val="en-US" w:eastAsia="zh-CN"/>
        </w:rPr>
        <w:t>时间：  年  月  日</w:t>
      </w:r>
      <w:r>
        <w:rPr>
          <w:rFonts w:hint="eastAsia" w:ascii="仿宋_GB2312" w:hAnsi="仿宋_GB2312" w:eastAsia="仿宋_GB2312" w:cs="仿宋_GB2312"/>
          <w:b w:val="0"/>
          <w:bCs/>
          <w:color w:val="auto"/>
          <w:spacing w:val="40"/>
          <w:sz w:val="28"/>
          <w:szCs w:val="28"/>
          <w:lang w:val="en-US" w:eastAsia="zh-CN"/>
        </w:rPr>
        <w:t xml:space="preserve"> </w:t>
      </w:r>
    </w:p>
    <w:tbl>
      <w:tblPr>
        <w:tblStyle w:val="34"/>
        <w:tblW w:w="4995"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80"/>
        <w:gridCol w:w="6244"/>
        <w:gridCol w:w="937"/>
        <w:gridCol w:w="129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81" w:hRule="atLeast"/>
          <w:jc w:val="center"/>
        </w:trPr>
        <w:tc>
          <w:tcPr>
            <w:tcW w:w="5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b w:val="0"/>
                <w:bCs w:val="0"/>
                <w:sz w:val="32"/>
                <w:szCs w:val="32"/>
                <w:lang w:val="en" w:eastAsia="zh-CN"/>
              </w:rPr>
            </w:pPr>
            <w:r>
              <w:rPr>
                <w:rFonts w:hint="eastAsia" w:ascii="黑体" w:hAnsi="黑体" w:eastAsia="黑体" w:cs="黑体"/>
                <w:b w:val="0"/>
                <w:bCs w:val="0"/>
                <w:sz w:val="32"/>
                <w:szCs w:val="32"/>
                <w:lang w:eastAsia="zh-CN"/>
              </w:rPr>
              <w:t>标题</w:t>
            </w:r>
            <w:r>
              <w:rPr>
                <w:rFonts w:hint="default" w:ascii="黑体" w:hAnsi="黑体" w:eastAsia="黑体" w:cs="黑体"/>
                <w:b w:val="0"/>
                <w:bCs w:val="0"/>
                <w:sz w:val="32"/>
                <w:szCs w:val="32"/>
                <w:lang w:val="en" w:eastAsia="zh-CN"/>
              </w:rPr>
              <w:t xml:space="preserve"> </w:t>
            </w:r>
          </w:p>
        </w:tc>
        <w:tc>
          <w:tcPr>
            <w:tcW w:w="3265" w:type="pct"/>
            <w:noWrap w:val="0"/>
            <w:vAlign w:val="center"/>
          </w:tcPr>
          <w:p>
            <w:pPr>
              <w:pStyle w:val="32"/>
              <w:keepNext w:val="0"/>
              <w:keepLines w:val="0"/>
              <w:widowControl/>
              <w:suppressLineNumbers w:val="0"/>
              <w:spacing w:before="0" w:beforeAutospacing="0" w:after="0" w:afterAutospacing="0" w:line="330" w:lineRule="atLeast"/>
              <w:ind w:left="0" w:right="0" w:firstLine="0"/>
              <w:jc w:val="left"/>
              <w:rPr>
                <w:rFonts w:hint="default" w:ascii="仿宋_GB2312" w:hAnsi="仿宋_GB2312" w:eastAsia="仿宋_GB2312" w:cs="仿宋_GB2312"/>
                <w:b w:val="0"/>
                <w:bCs w:val="0"/>
                <w:sz w:val="32"/>
                <w:szCs w:val="32"/>
                <w:lang w:val="en-US" w:eastAsia="zh-CN"/>
              </w:rPr>
            </w:pPr>
          </w:p>
        </w:tc>
        <w:tc>
          <w:tcPr>
            <w:tcW w:w="490" w:type="pct"/>
            <w:noWrap w:val="0"/>
            <w:vAlign w:val="center"/>
          </w:tcPr>
          <w:p>
            <w:pPr>
              <w:spacing w:line="48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密级</w:t>
            </w:r>
          </w:p>
        </w:tc>
        <w:tc>
          <w:tcPr>
            <w:tcW w:w="677" w:type="pct"/>
            <w:noWrap w:val="0"/>
            <w:vAlign w:val="center"/>
          </w:tcPr>
          <w:p>
            <w:pPr>
              <w:tabs>
                <w:tab w:val="left" w:pos="295"/>
                <w:tab w:val="center" w:pos="735"/>
              </w:tabs>
              <w:spacing w:line="480" w:lineRule="exact"/>
              <w:jc w:val="cente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91" w:hRule="atLeast"/>
          <w:jc w:val="center"/>
        </w:trPr>
        <w:tc>
          <w:tcPr>
            <w:tcW w:w="565" w:type="pct"/>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20" w:lineRule="exact"/>
              <w:ind w:left="113" w:right="113"/>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市领导批示</w:t>
            </w:r>
          </w:p>
        </w:tc>
        <w:tc>
          <w:tcPr>
            <w:tcW w:w="4434" w:type="pct"/>
            <w:gridSpan w:val="3"/>
            <w:noWrap w:val="0"/>
            <w:vAlign w:val="center"/>
          </w:tcPr>
          <w:p>
            <w:pPr>
              <w:spacing w:line="480" w:lineRule="exact"/>
              <w:jc w:val="left"/>
              <w:rPr>
                <w:rFonts w:hint="default" w:ascii="仿宋_GB2312" w:hAnsi="仿宋_GB2312" w:eastAsia="仿宋_GB2312" w:cs="仿宋_GB231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30" w:hRule="atLeast"/>
          <w:jc w:val="center"/>
        </w:trPr>
        <w:tc>
          <w:tcPr>
            <w:tcW w:w="565" w:type="pct"/>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20" w:lineRule="exact"/>
              <w:ind w:left="113" w:right="113"/>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中心领导意见</w:t>
            </w:r>
          </w:p>
        </w:tc>
        <w:tc>
          <w:tcPr>
            <w:tcW w:w="443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93" w:hRule="atLeast"/>
          <w:jc w:val="center"/>
        </w:trPr>
        <w:tc>
          <w:tcPr>
            <w:tcW w:w="565"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拟</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办</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意</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见</w:t>
            </w:r>
          </w:p>
        </w:tc>
        <w:tc>
          <w:tcPr>
            <w:tcW w:w="4434" w:type="pct"/>
            <w:gridSpan w:val="3"/>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right="-147" w:rightChars="-7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47" w:rightChars="-7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5"/>
              <w:rPr>
                <w:rFonts w:hint="eastAsia"/>
                <w:lang w:eastAsia="zh-CN"/>
              </w:rPr>
            </w:pPr>
          </w:p>
          <w:p>
            <w:pPr>
              <w:pStyle w:val="25"/>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147" w:rightChars="-70" w:firstLine="3840" w:firstLineChars="1200"/>
              <w:jc w:val="both"/>
              <w:textAlignment w:val="auto"/>
              <w:outlineLvl w:val="9"/>
              <w:rPr>
                <w:rFonts w:hint="default" w:ascii="仿宋_GB2312" w:hAnsi="仿宋_GB2312" w:eastAsia="仿宋_GB2312" w:cs="仿宋_GB2312"/>
                <w:sz w:val="32"/>
                <w:szCs w:val="32"/>
                <w:lang w:val="en-US" w:eastAsia="zh-CN"/>
              </w:rPr>
            </w:pPr>
          </w:p>
        </w:tc>
      </w:tr>
    </w:tbl>
    <w:p>
      <w:pPr>
        <w:pStyle w:val="25"/>
        <w:framePr w:wrap="around" w:vAnchor="margin" w:hAnchor="text" w:y="1"/>
      </w:pPr>
    </w:p>
    <w:sectPr>
      <w:headerReference r:id="rId4" w:type="default"/>
      <w:footerReference r:id="rId5" w:type="default"/>
      <w:pgSz w:w="11906" w:h="16838"/>
      <w:pgMar w:top="567" w:right="1134" w:bottom="1134" w:left="1418" w:header="1418" w:footer="1134" w:gutter="0"/>
      <w:pgNumType w:fmt="decimal" w:start="6"/>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W69x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BSJAOSnT/5fP9&#10;1+/33z6hx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NW69x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24825795"/>
                          </w:sdtPr>
                          <w:sdtContent>
                            <w:p>
                              <w:pPr>
                                <w:pStyle w:val="19"/>
                                <w:jc w:val="center"/>
                              </w:pP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1024825795"/>
                    </w:sdtPr>
                    <w:sdtContent>
                      <w:p>
                        <w:pPr>
                          <w:pStyle w:val="19"/>
                          <w:jc w:val="center"/>
                        </w:pPr>
                      </w:p>
                    </w:sdtContent>
                  </w:sdt>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10</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10</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BG</w:t>
    </w:r>
    <w:r>
      <w:rPr>
        <w:rFonts w:hint="eastAsia"/>
      </w:rPr>
      <w:t>.</w:t>
    </w:r>
    <w:r>
      <w:rPr>
        <w:rFonts w:hint="eastAsia"/>
        <w:lang w:val="en-US" w:eastAsia="zh-CN"/>
      </w:rPr>
      <w:t>410.</w:t>
    </w:r>
    <w:r>
      <w:t>002</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38DBB60"/>
    <w:multiLevelType w:val="singleLevel"/>
    <w:tmpl w:val="238DBB60"/>
    <w:lvl w:ilvl="0" w:tentative="0">
      <w:start w:val="1"/>
      <w:numFmt w:val="lowerLetter"/>
      <w:suff w:val="space"/>
      <w:lvlText w:val="%1)"/>
      <w:lvlJc w:val="left"/>
    </w:lvl>
  </w:abstractNum>
  <w:abstractNum w:abstractNumId="9">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7">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7"/>
  </w:num>
  <w:num w:numId="3">
    <w:abstractNumId w:val="10"/>
  </w:num>
  <w:num w:numId="4">
    <w:abstractNumId w:val="2"/>
  </w:num>
  <w:num w:numId="5">
    <w:abstractNumId w:val="5"/>
  </w:num>
  <w:num w:numId="6">
    <w:abstractNumId w:val="19"/>
  </w:num>
  <w:num w:numId="7">
    <w:abstractNumId w:val="0"/>
  </w:num>
  <w:num w:numId="8">
    <w:abstractNumId w:val="12"/>
  </w:num>
  <w:num w:numId="9">
    <w:abstractNumId w:val="7"/>
  </w:num>
  <w:num w:numId="10">
    <w:abstractNumId w:val="16"/>
  </w:num>
  <w:num w:numId="11">
    <w:abstractNumId w:val="13"/>
  </w:num>
  <w:num w:numId="12">
    <w:abstractNumId w:val="18"/>
  </w:num>
  <w:num w:numId="13">
    <w:abstractNumId w:val="9"/>
  </w:num>
  <w:num w:numId="14">
    <w:abstractNumId w:val="1"/>
  </w:num>
  <w:num w:numId="15">
    <w:abstractNumId w:val="6"/>
  </w:num>
  <w:num w:numId="16">
    <w:abstractNumId w:val="4"/>
  </w:num>
  <w:num w:numId="17">
    <w:abstractNumId w:val="14"/>
  </w:num>
  <w:num w:numId="18">
    <w:abstractNumId w:val="3"/>
  </w:num>
  <w:num w:numId="19">
    <w:abstractNumId w:val="20"/>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4ED541AD"/>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1E16"/>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0E6B"/>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36A2"/>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53B9"/>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6B8385B"/>
    <w:rsid w:val="2EA8435B"/>
    <w:rsid w:val="33251C93"/>
    <w:rsid w:val="3F4C4CC9"/>
    <w:rsid w:val="3FA277C4"/>
    <w:rsid w:val="4590011C"/>
    <w:rsid w:val="489B08BB"/>
    <w:rsid w:val="4ED541AD"/>
    <w:rsid w:val="50864809"/>
    <w:rsid w:val="52331739"/>
    <w:rsid w:val="6B603802"/>
    <w:rsid w:val="6FBA31BC"/>
    <w:rsid w:val="70FE1B0D"/>
    <w:rsid w:val="76A953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2"/>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3"/>
    <w:qFormat/>
    <w:uiPriority w:val="0"/>
    <w:rPr>
      <w:b/>
      <w:bCs/>
      <w:kern w:val="44"/>
      <w:sz w:val="44"/>
      <w:szCs w:val="44"/>
    </w:rPr>
  </w:style>
  <w:style w:type="paragraph" w:customStyle="1" w:styleId="144">
    <w:name w:val="TOC 标题1"/>
    <w:basedOn w:val="3"/>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link w:val="156"/>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 w:type="character" w:customStyle="1" w:styleId="156">
    <w:name w:val="二级无标题条 Char"/>
    <w:link w:val="147"/>
    <w:qFormat/>
    <w:uiPriority w:val="0"/>
    <w:rPr>
      <w:rFonts w:asciiTheme="minorEastAsia" w:hAnsiTheme="minorEastAsia" w:eastAsiaTheme="minorEastAsi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Company>CHINA</Company>
  <Pages>1</Pages>
  <Words>1361</Words>
  <Characters>7763</Characters>
  <Lines>64</Lines>
  <Paragraphs>18</Paragraphs>
  <TotalTime>2</TotalTime>
  <ScaleCrop>false</ScaleCrop>
  <LinksUpToDate>false</LinksUpToDate>
  <CharactersWithSpaces>9106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2022-10-30T15:41:00Z</dcterms:created>
  <dc:creator>lenovo</dc:creator>
  <cp:lastModifiedBy>kylin</cp:lastModifiedBy>
  <dcterms:modified xsi:type="dcterms:W3CDTF">2023-03-19T09:18:48Z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C36A4D00C92C461FB36DA87FA6F7F305</vt:lpwstr>
  </property>
</Properties>
</file>