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档案管理规范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20918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档案管理规范</w:t>
      </w:r>
    </w:p>
    <w:p>
      <w:pPr>
        <w:pStyle w:val="46"/>
      </w:pPr>
      <w:bookmarkStart w:id="6" w:name="_Toc118209181"/>
      <w:r>
        <w:rPr>
          <w:rFonts w:hint="eastAsia"/>
        </w:rPr>
        <w:t>范围</w:t>
      </w:r>
      <w:bookmarkEnd w:id="6"/>
    </w:p>
    <w:p>
      <w:pPr>
        <w:pStyle w:val="25"/>
      </w:pPr>
      <w:r>
        <w:rPr>
          <w:rFonts w:hint="eastAsia"/>
        </w:rPr>
        <w:t>本文件规定了档案管理的工作要求、程序和相关记录的要求。</w:t>
      </w:r>
    </w:p>
    <w:p>
      <w:pPr>
        <w:pStyle w:val="25"/>
      </w:pPr>
      <w:r>
        <w:rPr>
          <w:rFonts w:hint="eastAsia"/>
        </w:rPr>
        <w:t>本文件适用于邢台市机关后勤服务中心在机关活动中形成的文件材料归档和档案管理。</w:t>
      </w:r>
    </w:p>
    <w:p>
      <w:pPr>
        <w:pStyle w:val="46"/>
      </w:pPr>
      <w:bookmarkStart w:id="7" w:name="_Toc11820918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18894 电子文件归档与管理规范</w:t>
      </w:r>
    </w:p>
    <w:p>
      <w:pPr>
        <w:pStyle w:val="25"/>
      </w:pPr>
      <w:r>
        <w:rPr>
          <w:rFonts w:hint="eastAsia"/>
        </w:rPr>
        <w:t>DA/T 1 档案工作基本术语</w:t>
      </w:r>
    </w:p>
    <w:p>
      <w:pPr>
        <w:pStyle w:val="25"/>
      </w:pPr>
      <w:r>
        <w:rPr>
          <w:rFonts w:hint="eastAsia"/>
        </w:rPr>
        <w:t>DA/T 18 档案著录规则</w:t>
      </w:r>
    </w:p>
    <w:p>
      <w:pPr>
        <w:pStyle w:val="25"/>
      </w:pPr>
      <w:r>
        <w:rPr>
          <w:rFonts w:hint="eastAsia"/>
        </w:rPr>
        <w:t>DA/T 22 归档文件整理规则</w:t>
      </w:r>
    </w:p>
    <w:p>
      <w:pPr>
        <w:pStyle w:val="46"/>
      </w:pPr>
      <w:bookmarkStart w:id="8" w:name="_Toc118209183"/>
      <w:r>
        <w:rPr>
          <w:rFonts w:hint="eastAsia"/>
        </w:rPr>
        <w:t>术语和定义</w:t>
      </w:r>
      <w:bookmarkEnd w:id="8"/>
    </w:p>
    <w:p>
      <w:pPr>
        <w:pStyle w:val="25"/>
        <w:rPr>
          <w:color w:val="000000"/>
        </w:rPr>
      </w:pPr>
      <w:r>
        <w:rPr>
          <w:rFonts w:hint="eastAsia"/>
        </w:rPr>
        <w:t>GB/T 18894、DA/T 1界定的以及</w:t>
      </w:r>
      <w:r>
        <w:rPr>
          <w:rFonts w:hint="eastAsia"/>
          <w:color w:val="000000"/>
        </w:rPr>
        <w:t>下列术语和定义适用于本文件。</w:t>
      </w:r>
    </w:p>
    <w:p>
      <w:pPr>
        <w:pStyle w:val="146"/>
      </w:pPr>
    </w:p>
    <w:p>
      <w:pPr>
        <w:pStyle w:val="148"/>
      </w:pPr>
      <w:r>
        <w:rPr>
          <w:rFonts w:hint="eastAsia"/>
        </w:rPr>
        <w:t>文件材料</w:t>
      </w:r>
    </w:p>
    <w:p>
      <w:pPr>
        <w:pStyle w:val="25"/>
        <w:rPr>
          <w:rFonts w:ascii="Tahoma" w:hAnsi="Tahoma" w:cs="Tahoma"/>
          <w:color w:val="000000"/>
          <w:szCs w:val="21"/>
          <w:shd w:val="clear" w:color="auto" w:fill="FFFFFF"/>
        </w:rPr>
      </w:pPr>
      <w:r>
        <w:rPr>
          <w:rFonts w:hint="eastAsia"/>
        </w:rPr>
        <w:t>反映邢台市机关后勤服务中心在履行其法定职能职责过程中形成的各种形式的信息记录</w:t>
      </w:r>
      <w:r>
        <w:rPr>
          <w:rFonts w:hint="eastAsia" w:ascii="Tahoma" w:hAnsi="Tahoma" w:cs="Tahoma"/>
          <w:color w:val="000000"/>
          <w:szCs w:val="21"/>
          <w:shd w:val="clear" w:color="auto" w:fill="FFFFFF"/>
        </w:rPr>
        <w:t>。</w:t>
      </w:r>
    </w:p>
    <w:p>
      <w:pPr>
        <w:pStyle w:val="146"/>
      </w:pPr>
    </w:p>
    <w:p>
      <w:pPr>
        <w:pStyle w:val="148"/>
      </w:pPr>
      <w:r>
        <w:rPr>
          <w:rFonts w:hint="eastAsia"/>
        </w:rPr>
        <w:t>归档电子文件</w:t>
      </w:r>
    </w:p>
    <w:p>
      <w:pPr>
        <w:pStyle w:val="25"/>
        <w:rPr>
          <w:rFonts w:ascii="Tahoma" w:hAnsi="Tahoma" w:cs="Tahoma"/>
          <w:color w:val="000000"/>
          <w:szCs w:val="21"/>
          <w:shd w:val="clear" w:color="auto" w:fill="FFFFFF"/>
        </w:rPr>
      </w:pPr>
      <w:r>
        <w:rPr>
          <w:rFonts w:hint="eastAsia"/>
        </w:rPr>
        <w:t>具有参考和利用价值并作为档案保存的电子文件</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18894-2002，3.2]</w:t>
      </w:r>
    </w:p>
    <w:p>
      <w:pPr>
        <w:pStyle w:val="46"/>
      </w:pPr>
      <w:bookmarkStart w:id="9" w:name="_Toc118209184"/>
      <w:r>
        <w:rPr>
          <w:rFonts w:hint="eastAsia"/>
        </w:rPr>
        <w:t>总体质量要求</w:t>
      </w:r>
      <w:bookmarkEnd w:id="9"/>
    </w:p>
    <w:p>
      <w:pPr>
        <w:pStyle w:val="25"/>
      </w:pPr>
      <w:r>
        <w:rPr>
          <w:rFonts w:hint="eastAsia"/>
        </w:rPr>
        <w:t>归档的文件材料应齐全、完整、准确，真实和客观反映中心职能职责各项活动的全貌，能够根据中心内设机构设置、职权范围、职责分工、文件数量和特点对其进行科学分类，从文件形成、积累到整理归档和保管利用应始终处于安全状态。</w:t>
      </w:r>
    </w:p>
    <w:p>
      <w:pPr>
        <w:pStyle w:val="46"/>
      </w:pPr>
      <w:bookmarkStart w:id="10" w:name="_Toc118209185"/>
      <w:r>
        <w:rPr>
          <w:rFonts w:hint="eastAsia"/>
        </w:rPr>
        <w:t>文件材料的收集积累</w:t>
      </w:r>
      <w:bookmarkEnd w:id="10"/>
    </w:p>
    <w:p>
      <w:pPr>
        <w:pStyle w:val="43"/>
        <w:spacing w:before="156" w:after="156"/>
      </w:pPr>
      <w:bookmarkStart w:id="11" w:name="_Toc118209186"/>
      <w:r>
        <w:rPr>
          <w:rFonts w:hint="eastAsia"/>
        </w:rPr>
        <w:t>收集范围</w:t>
      </w:r>
      <w:bookmarkEnd w:id="11"/>
    </w:p>
    <w:p>
      <w:pPr>
        <w:pStyle w:val="25"/>
      </w:pPr>
      <w:r>
        <w:rPr>
          <w:rFonts w:hint="eastAsia"/>
          <w:color w:val="FF0000"/>
        </w:rPr>
        <w:t>收集积累的需要归档的文件材料包括：</w:t>
      </w:r>
    </w:p>
    <w:p>
      <w:pPr>
        <w:pStyle w:val="25"/>
      </w:pPr>
      <w:r>
        <w:rPr>
          <w:rFonts w:hint="eastAsia"/>
        </w:rPr>
        <w:t>——</w:t>
      </w:r>
    </w:p>
    <w:p>
      <w:pPr>
        <w:pStyle w:val="43"/>
        <w:spacing w:before="156" w:after="156"/>
      </w:pPr>
      <w:bookmarkStart w:id="12" w:name="_Toc118209187"/>
      <w:r>
        <w:rPr>
          <w:rFonts w:hint="eastAsia"/>
        </w:rPr>
        <w:t>收集积累种类</w:t>
      </w:r>
      <w:bookmarkEnd w:id="12"/>
    </w:p>
    <w:p>
      <w:pPr>
        <w:pStyle w:val="25"/>
      </w:pPr>
      <w:r>
        <w:rPr>
          <w:rFonts w:hint="eastAsia"/>
        </w:rPr>
        <w:t>反映中心主要职能职责活动和基本历史面貌的、具有保存价值的纸质文件、音像文件、电子文件等各种信息载体，以及题词、字画、奖状、奖杯、纪念品等实物。</w:t>
      </w:r>
    </w:p>
    <w:p>
      <w:pPr>
        <w:pStyle w:val="43"/>
        <w:spacing w:before="156" w:after="156"/>
      </w:pPr>
      <w:bookmarkStart w:id="13" w:name="_Toc118209188"/>
      <w:r>
        <w:rPr>
          <w:rFonts w:hint="eastAsia"/>
        </w:rPr>
        <w:t>收集积累方式</w:t>
      </w:r>
      <w:bookmarkEnd w:id="13"/>
    </w:p>
    <w:p>
      <w:pPr>
        <w:pStyle w:val="25"/>
      </w:pPr>
      <w:r>
        <w:rPr>
          <w:rFonts w:hint="eastAsia"/>
        </w:rPr>
        <w:t>中心内各部门根据职责权限负责收集积累本部门形成的应归档的文件材料。需要统一保管的由办公室集中统一管理。</w:t>
      </w:r>
    </w:p>
    <w:p>
      <w:pPr>
        <w:pStyle w:val="46"/>
      </w:pPr>
      <w:bookmarkStart w:id="14" w:name="_Toc118209189"/>
      <w:r>
        <w:rPr>
          <w:rFonts w:hint="eastAsia"/>
        </w:rPr>
        <w:t>工作要求</w:t>
      </w:r>
      <w:bookmarkEnd w:id="14"/>
    </w:p>
    <w:p>
      <w:pPr>
        <w:pStyle w:val="146"/>
      </w:pPr>
      <w:r>
        <w:rPr>
          <w:rFonts w:hint="eastAsia"/>
        </w:rPr>
        <w:t>归档文件材料应为原件。文书档案资料收集及时规范，归档资料完整齐全、真实准确，文字要清楚，已破损的应予修裱。</w:t>
      </w:r>
    </w:p>
    <w:p>
      <w:pPr>
        <w:pStyle w:val="146"/>
      </w:pPr>
      <w:r>
        <w:rPr>
          <w:rFonts w:hint="eastAsia"/>
        </w:rPr>
        <w:t>对符合归档要求的材料，及时登记归档；对不符合归档要求的材料，及时通知相关</w:t>
      </w:r>
      <w:r>
        <w:rPr>
          <w:rFonts w:hint="eastAsia"/>
          <w:color w:val="FF0000"/>
          <w:lang w:val="en-US" w:eastAsia="zh-CN"/>
        </w:rPr>
        <w:t>科</w:t>
      </w:r>
      <w:r>
        <w:rPr>
          <w:rFonts w:hint="eastAsia"/>
          <w:color w:val="FF0000"/>
        </w:rPr>
        <w:t>室、</w:t>
      </w:r>
      <w:r>
        <w:rPr>
          <w:rFonts w:hint="eastAsia"/>
        </w:rPr>
        <w:t>单位修订或补办，限期报送；定期核查所管理的副档，发现所缺材料，及时登记、补充。入档档案资料应能够反映事件的来龙去脉，应涵盖申请、报批、审批及回复等整个流程。</w:t>
      </w:r>
    </w:p>
    <w:p>
      <w:pPr>
        <w:pStyle w:val="146"/>
      </w:pPr>
      <w:r>
        <w:rPr>
          <w:rFonts w:hint="eastAsia"/>
        </w:rPr>
        <w:t>档案归档与整理、保管与保护、利用与转递工作应严密、准确。归档纸张使用A4复印纸。文字须铅印、胶印、油印或用蓝黑墨水、黑色墨水书写。</w:t>
      </w:r>
    </w:p>
    <w:p>
      <w:pPr>
        <w:pStyle w:val="146"/>
      </w:pPr>
      <w:r>
        <w:rPr>
          <w:rFonts w:hint="eastAsia"/>
        </w:rPr>
        <w:t>所有归档的文件、资料由</w:t>
      </w:r>
      <w:r>
        <w:rPr>
          <w:rFonts w:hint="eastAsia"/>
          <w:color w:val="FF0000"/>
          <w:lang w:val="en-US" w:eastAsia="zh-CN"/>
        </w:rPr>
        <w:t>中心</w:t>
      </w:r>
      <w:r>
        <w:rPr>
          <w:rFonts w:hint="eastAsia"/>
        </w:rPr>
        <w:t>办公室</w:t>
      </w:r>
      <w:r>
        <w:rPr>
          <w:rFonts w:hint="eastAsia"/>
          <w:color w:val="FF0000"/>
          <w:lang w:val="en-US" w:eastAsia="zh-CN"/>
        </w:rPr>
        <w:t>文书</w:t>
      </w:r>
      <w:r>
        <w:rPr>
          <w:rFonts w:hint="eastAsia"/>
          <w:color w:val="FF0000"/>
        </w:rPr>
        <w:t>档案</w:t>
      </w:r>
      <w:r>
        <w:rPr>
          <w:rFonts w:hint="eastAsia"/>
        </w:rPr>
        <w:t>室保存。管理人员熟悉本单位的历史和室藏档案情况，案卷目录、全引目录等检索工具编制清楚、准确。档案室符合档案部门规定，应备有防火、防盗、防尘、防虫、防潮、防霉等相关设施。</w:t>
      </w:r>
    </w:p>
    <w:p>
      <w:pPr>
        <w:pStyle w:val="146"/>
      </w:pPr>
      <w:r>
        <w:rPr>
          <w:rFonts w:hint="eastAsia"/>
        </w:rPr>
        <w:t>档案借阅和利用必须遵守有关规定，履行必要手续，并填写《档案查阅登记表》；档案的鉴定、销毁和移送工作符合《国家档案法》。</w:t>
      </w:r>
    </w:p>
    <w:p>
      <w:pPr>
        <w:pStyle w:val="46"/>
      </w:pPr>
      <w:bookmarkStart w:id="15" w:name="_Toc118209190"/>
      <w:r>
        <w:rPr>
          <w:rFonts w:hint="eastAsia"/>
        </w:rPr>
        <w:t>工作程序</w:t>
      </w:r>
      <w:bookmarkEnd w:id="15"/>
    </w:p>
    <w:p>
      <w:pPr>
        <w:pStyle w:val="43"/>
        <w:spacing w:before="156" w:after="156"/>
      </w:pPr>
      <w:bookmarkStart w:id="16" w:name="_Toc118209191"/>
      <w:r>
        <w:rPr>
          <w:rFonts w:hint="eastAsia"/>
        </w:rPr>
        <w:t>文档组件</w:t>
      </w:r>
      <w:bookmarkEnd w:id="16"/>
    </w:p>
    <w:p>
      <w:pPr>
        <w:pStyle w:val="25"/>
      </w:pPr>
      <w:r>
        <w:rPr>
          <w:rFonts w:hint="eastAsia"/>
        </w:rPr>
        <w:t>归档文件以件为单位整理。一般以每份文件为1件，文件正本与定稿为1件，正文与附件为1件，原件与复制件为1件，转发文与被转发文为1件，报表、名册、图册等一册（本）为1件，会议纪要、会议记录一般一次会议为1件，会议记录一年一本的，一本为1件；来文与复文（请示与批复、报告与批示、函与复函等）一般独立成件，也可为1件。</w:t>
      </w:r>
    </w:p>
    <w:p>
      <w:pPr>
        <w:pStyle w:val="43"/>
        <w:spacing w:before="156" w:after="156"/>
      </w:pPr>
      <w:bookmarkStart w:id="17" w:name="_Toc118209192"/>
      <w:r>
        <w:rPr>
          <w:rFonts w:hint="eastAsia"/>
        </w:rPr>
        <w:t>按件装订</w:t>
      </w:r>
      <w:bookmarkEnd w:id="17"/>
    </w:p>
    <w:p>
      <w:pPr>
        <w:pStyle w:val="25"/>
      </w:pPr>
      <w:r>
        <w:rPr>
          <w:rFonts w:hint="eastAsia"/>
        </w:rPr>
        <w:t>归档文件以件为单位装订。归档文件应采取线装法在距离左侧边沿1.2cm装订，使用“三孔一线”装订，中孔取纸张的中点，上下孔各距中孔7cm。以件为单位编制页码。页码应逐页编制，分别标注在文件正面右下角或背面左下角的空白位置。</w:t>
      </w:r>
    </w:p>
    <w:p>
      <w:pPr>
        <w:pStyle w:val="43"/>
        <w:spacing w:before="156" w:after="156"/>
      </w:pPr>
      <w:bookmarkStart w:id="18" w:name="_Toc118209193"/>
      <w:r>
        <w:rPr>
          <w:rFonts w:hint="eastAsia"/>
        </w:rPr>
        <w:t>文件编号</w:t>
      </w:r>
      <w:bookmarkEnd w:id="18"/>
    </w:p>
    <w:p>
      <w:pPr>
        <w:pStyle w:val="25"/>
      </w:pPr>
      <w:r>
        <w:rPr>
          <w:rFonts w:hint="eastAsia"/>
        </w:rPr>
        <w:t>档号的结构为：全宗号－档案门类代码·年度－保管期限－机构（问题）代码－件号。上下位代码之间用“－”连接，同一级代码之间用“·”隔开。</w:t>
      </w:r>
    </w:p>
    <w:p>
      <w:pPr>
        <w:pStyle w:val="43"/>
        <w:spacing w:before="156" w:after="156"/>
      </w:pPr>
      <w:bookmarkStart w:id="19" w:name="_Toc118209194"/>
      <w:r>
        <w:rPr>
          <w:rFonts w:hint="eastAsia"/>
        </w:rPr>
        <w:t>文件编目</w:t>
      </w:r>
      <w:bookmarkEnd w:id="19"/>
    </w:p>
    <w:p>
      <w:pPr>
        <w:pStyle w:val="25"/>
      </w:pPr>
      <w:r>
        <w:rPr>
          <w:rFonts w:hint="eastAsia"/>
        </w:rPr>
        <w:t>归档文件应逐件编目。来文与复文作为一件时，对复文的编目应体现来文内容。</w:t>
      </w:r>
    </w:p>
    <w:p>
      <w:pPr>
        <w:pStyle w:val="43"/>
        <w:spacing w:before="156" w:after="156"/>
      </w:pPr>
      <w:bookmarkStart w:id="20" w:name="_Toc118209195"/>
      <w:r>
        <w:rPr>
          <w:rFonts w:hint="eastAsia"/>
        </w:rPr>
        <w:t>文件装盒</w:t>
      </w:r>
      <w:bookmarkEnd w:id="20"/>
    </w:p>
    <w:p>
      <w:pPr>
        <w:pStyle w:val="25"/>
      </w:pPr>
      <w:r>
        <w:rPr>
          <w:rFonts w:hint="eastAsia"/>
        </w:rPr>
        <w:t>档案盒封面应标明全宗名称。按照归档文件目录－归档文件－备考表顺序装入档案盒。填写档案盒封面、盒脊及备考表项目。不同年度、机构（问题）、保管期限的归档文件不能装入同一个档案盒。</w:t>
      </w:r>
    </w:p>
    <w:p>
      <w:pPr>
        <w:pStyle w:val="43"/>
        <w:spacing w:before="156" w:after="156"/>
      </w:pPr>
      <w:bookmarkStart w:id="21" w:name="_Toc118209196"/>
      <w:r>
        <w:rPr>
          <w:rFonts w:hint="eastAsia"/>
        </w:rPr>
        <w:t>编制目录</w:t>
      </w:r>
      <w:bookmarkEnd w:id="21"/>
    </w:p>
    <w:p>
      <w:pPr>
        <w:pStyle w:val="25"/>
      </w:pPr>
      <w:r>
        <w:rPr>
          <w:rFonts w:hint="eastAsia"/>
        </w:rPr>
        <w:t>按上一年度的文档合编为一本目录。按照分类方法及案卷排列顺序编制案卷目录。</w:t>
      </w:r>
    </w:p>
    <w:p>
      <w:pPr>
        <w:pStyle w:val="43"/>
        <w:spacing w:before="156" w:after="156"/>
      </w:pPr>
      <w:bookmarkStart w:id="22" w:name="_Toc118209197"/>
      <w:r>
        <w:rPr>
          <w:rFonts w:hint="eastAsia"/>
        </w:rPr>
        <w:t>上架保管</w:t>
      </w:r>
      <w:bookmarkEnd w:id="22"/>
    </w:p>
    <w:p>
      <w:pPr>
        <w:pStyle w:val="25"/>
      </w:pPr>
      <w:r>
        <w:rPr>
          <w:rFonts w:hint="eastAsia"/>
        </w:rPr>
        <w:t>将档案盒按顺序排列放入档案柜保管。</w:t>
      </w:r>
    </w:p>
    <w:p>
      <w:pPr>
        <w:pStyle w:val="46"/>
      </w:pPr>
      <w:bookmarkStart w:id="23" w:name="_Toc118209198"/>
      <w:r>
        <w:rPr>
          <w:rFonts w:hint="eastAsia"/>
        </w:rPr>
        <w:t>电子文件管理</w:t>
      </w:r>
      <w:bookmarkEnd w:id="23"/>
    </w:p>
    <w:p>
      <w:pPr>
        <w:pStyle w:val="146"/>
      </w:pPr>
      <w:r>
        <w:rPr>
          <w:rFonts w:hint="eastAsia"/>
        </w:rPr>
        <w:t>凡是中心在职能工作中形成的、已经办理完毕、具有参考保存价值的电子文件均应归档，具体要求按照GB/T 18894的规定进行。</w:t>
      </w:r>
    </w:p>
    <w:p>
      <w:pPr>
        <w:pStyle w:val="146"/>
      </w:pPr>
      <w:r>
        <w:rPr>
          <w:rFonts w:hint="eastAsia"/>
        </w:rPr>
        <w:t>电子文件在收集积累过程中应注明文件形成单位、完成日期、提名等文件特征，硬件和软件等环境特征和相关数据。</w:t>
      </w:r>
    </w:p>
    <w:p>
      <w:pPr>
        <w:pStyle w:val="146"/>
      </w:pPr>
      <w:r>
        <w:rPr>
          <w:rFonts w:hint="eastAsia"/>
        </w:rPr>
        <w:t>电子文件的最终定稿，应设置为只读形式，防止误修改。</w:t>
      </w:r>
    </w:p>
    <w:p>
      <w:pPr>
        <w:pStyle w:val="46"/>
      </w:pPr>
      <w:bookmarkStart w:id="24" w:name="_Toc118209199"/>
      <w:r>
        <w:rPr>
          <w:rFonts w:hint="eastAsia"/>
        </w:rPr>
        <w:t>相关记录</w:t>
      </w:r>
      <w:bookmarkEnd w:id="24"/>
    </w:p>
    <w:p>
      <w:pPr>
        <w:pStyle w:val="25"/>
        <w:rPr>
          <w:color w:val="FF0000"/>
        </w:rPr>
      </w:pPr>
      <w:r>
        <w:rPr>
          <w:rFonts w:hint="eastAsia"/>
          <w:color w:val="FF0000"/>
        </w:rPr>
        <w:t>应做好记录，并填写表单，档案查借阅审批表样见附录A，档案室档案借阅登记表样式见附录B，档案销毁登记表样式见附录C，档案移交目录登记表样式见附录D。</w:t>
      </w:r>
    </w:p>
    <w:p>
      <w:pPr>
        <w:pStyle w:val="25"/>
        <w:ind w:firstLine="0" w:firstLineChars="0"/>
        <w:jc w:val="center"/>
      </w:pPr>
    </w:p>
    <w:p>
      <w:pPr>
        <w:pStyle w:val="99"/>
      </w:pPr>
    </w:p>
    <w:p>
      <w:pPr>
        <w:pStyle w:val="87"/>
        <w:tabs>
          <w:tab w:val="clear" w:pos="0"/>
        </w:tabs>
      </w:pPr>
    </w:p>
    <w:p>
      <w:pPr>
        <w:pStyle w:val="85"/>
        <w:numPr>
          <w:ilvl w:val="0"/>
          <w:numId w:val="20"/>
        </w:numPr>
      </w:pPr>
      <w:r>
        <w:br w:type="textWrapping"/>
      </w:r>
      <w:bookmarkStart w:id="25" w:name="_Toc49158074"/>
      <w:r>
        <w:rPr>
          <w:rFonts w:hint="eastAsia"/>
        </w:rPr>
        <w:t>（资料性）</w:t>
      </w:r>
      <w:r>
        <w:br w:type="textWrapping"/>
      </w:r>
      <w:r>
        <w:rPr>
          <w:rFonts w:hint="eastAsia" w:ascii="宋体" w:hAnsi="宋体" w:cs="方正小标宋简体"/>
          <w:color w:val="000000"/>
          <w:szCs w:val="21"/>
        </w:rPr>
        <w:t>档案</w:t>
      </w:r>
      <w:r>
        <w:rPr>
          <w:rFonts w:ascii="宋体" w:hAnsi="宋体" w:cs="方正小标宋简体"/>
          <w:color w:val="000000"/>
          <w:szCs w:val="21"/>
        </w:rPr>
        <w:t>查借阅审批记录</w:t>
      </w:r>
      <w:r>
        <w:rPr>
          <w:rFonts w:hint="eastAsia"/>
        </w:rPr>
        <w:t>表</w:t>
      </w:r>
      <w:r>
        <w:t>样式</w:t>
      </w:r>
      <w:bookmarkEnd w:id="25"/>
    </w:p>
    <w:p>
      <w:pPr>
        <w:pStyle w:val="25"/>
      </w:pPr>
    </w:p>
    <w:p>
      <w:pPr>
        <w:pStyle w:val="25"/>
      </w:pPr>
      <w: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922645" cy="5201285"/>
            <wp:effectExtent l="0" t="0" r="1905" b="18415"/>
            <wp:wrapNone/>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7">
                      <a:extLst>
                        <a:ext uri="{28A0092B-C50C-407E-A947-70E740481C1C}">
                          <a14:useLocalDpi xmlns:a14="http://schemas.microsoft.com/office/drawing/2010/main" val="false"/>
                        </a:ext>
                      </a:extLst>
                    </a:blip>
                    <a:srcRect/>
                    <a:stretch>
                      <a:fillRect/>
                    </a:stretch>
                  </pic:blipFill>
                  <pic:spPr>
                    <a:xfrm>
                      <a:off x="746760" y="0"/>
                      <a:ext cx="5922645" cy="5201285"/>
                    </a:xfrm>
                    <a:prstGeom prst="rect">
                      <a:avLst/>
                    </a:prstGeom>
                    <a:noFill/>
                  </pic:spPr>
                </pic:pic>
              </a:graphicData>
            </a:graphic>
          </wp:anchor>
        </w:drawing>
      </w:r>
    </w:p>
    <w:p>
      <w:pPr>
        <w:pStyle w:val="99"/>
      </w:pPr>
    </w:p>
    <w:p>
      <w:pPr>
        <w:pStyle w:val="87"/>
        <w:tabs>
          <w:tab w:val="clear" w:pos="0"/>
        </w:tabs>
      </w:pPr>
    </w:p>
    <w:p>
      <w:pPr>
        <w:pStyle w:val="85"/>
        <w:numPr>
          <w:ilvl w:val="0"/>
          <w:numId w:val="20"/>
        </w:numPr>
      </w:pPr>
      <w:r>
        <w:br w:type="textWrapping"/>
      </w:r>
      <w:bookmarkStart w:id="26" w:name="_Toc118209202"/>
      <w:r>
        <w:rPr>
          <w:rFonts w:hint="eastAsia"/>
        </w:rPr>
        <w:t>（资料性）</w:t>
      </w:r>
      <w:r>
        <w:br w:type="textWrapping"/>
      </w:r>
      <w:bookmarkEnd w:id="26"/>
      <w:r>
        <w:rPr>
          <w:rFonts w:hint="eastAsia" w:ascii="宋体" w:hAnsi="宋体" w:cs="方正小标宋简体"/>
          <w:color w:val="000000"/>
          <w:szCs w:val="21"/>
        </w:rPr>
        <w:t>档案室档案借阅登记表样式</w:t>
      </w:r>
    </w:p>
    <w:p>
      <w:pPr>
        <w:pStyle w:val="25"/>
      </w:pPr>
      <w:r>
        <w:drawing>
          <wp:anchor distT="0" distB="0" distL="114300" distR="114300" simplePos="0" relativeHeight="251669504" behindDoc="0" locked="0" layoutInCell="1" allowOverlap="1">
            <wp:simplePos x="0" y="0"/>
            <wp:positionH relativeFrom="column">
              <wp:posOffset>13335</wp:posOffset>
            </wp:positionH>
            <wp:positionV relativeFrom="paragraph">
              <wp:posOffset>198120</wp:posOffset>
            </wp:positionV>
            <wp:extent cx="5861050" cy="6516370"/>
            <wp:effectExtent l="0" t="0" r="6350" b="17780"/>
            <wp:wrapNone/>
            <wp:docPr id="8"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true"/>
                    </pic:cNvPicPr>
                  </pic:nvPicPr>
                  <pic:blipFill>
                    <a:blip r:embed="rId8">
                      <a:extLst>
                        <a:ext uri="{28A0092B-C50C-407E-A947-70E740481C1C}">
                          <a14:useLocalDpi xmlns:a14="http://schemas.microsoft.com/office/drawing/2010/main" val="false"/>
                        </a:ext>
                      </a:extLst>
                    </a:blip>
                    <a:srcRect/>
                    <a:stretch>
                      <a:fillRect/>
                    </a:stretch>
                  </pic:blipFill>
                  <pic:spPr>
                    <a:xfrm>
                      <a:off x="238102" y="85701"/>
                      <a:ext cx="5861050" cy="6516370"/>
                    </a:xfrm>
                    <a:prstGeom prst="rect">
                      <a:avLst/>
                    </a:prstGeom>
                    <a:noFill/>
                  </pic:spPr>
                </pic:pic>
              </a:graphicData>
            </a:graphic>
          </wp:anchor>
        </w:drawing>
      </w:r>
    </w:p>
    <w:p>
      <w:pPr>
        <w:pStyle w:val="25"/>
      </w:pPr>
    </w:p>
    <w:p>
      <w:pPr>
        <w:pStyle w:val="149"/>
        <w:numPr>
          <w:ilvl w:val="0"/>
          <w:numId w:val="0"/>
        </w:numPr>
        <w:ind w:firstLine="420"/>
      </w:pPr>
    </w:p>
    <w:p>
      <w:pPr>
        <w:pStyle w:val="131"/>
        <w:framePr w:y="1"/>
      </w:pPr>
      <w:r>
        <mc:AlternateContent>
          <mc:Choice Requires="wps">
            <w:drawing>
              <wp:anchor distT="0" distB="0" distL="114300" distR="114300" simplePos="0" relativeHeight="251667456"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7456;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p>
      <w:pPr>
        <w:pStyle w:val="149"/>
        <w:numPr>
          <w:ilvl w:val="0"/>
          <w:numId w:val="0"/>
        </w:numPr>
        <w:ind w:firstLine="42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pStyle w:val="85"/>
        <w:numPr>
          <w:ilvl w:val="0"/>
          <w:numId w:val="20"/>
        </w:numPr>
      </w:pPr>
      <w:r>
        <w:br w:type="textWrapping"/>
      </w:r>
      <w:bookmarkStart w:id="27" w:name="_Toc49158076"/>
      <w:r>
        <w:rPr>
          <w:rFonts w:hint="eastAsia"/>
        </w:rPr>
        <w:t>（资料性）</w:t>
      </w:r>
      <w:r>
        <w:br w:type="textWrapping"/>
      </w:r>
      <w:r>
        <w:rPr>
          <w:rFonts w:hint="eastAsia" w:ascii="宋体" w:hAnsi="宋体" w:cs="方正小标宋简体"/>
          <w:color w:val="000000"/>
          <w:szCs w:val="21"/>
        </w:rPr>
        <w:t>档案销毁登记表样式</w:t>
      </w:r>
      <w:bookmarkEnd w:id="27"/>
    </w:p>
    <w:p>
      <w:pPr>
        <w:bidi w:val="0"/>
        <w:jc w:val="center"/>
      </w:pPr>
    </w:p>
    <w:p>
      <w:pPr>
        <w:bidi w:val="0"/>
        <w:jc w:val="center"/>
      </w:pPr>
      <w:r>
        <w:drawing>
          <wp:anchor distT="0" distB="0" distL="114300" distR="114300" simplePos="0" relativeHeight="251670528" behindDoc="0" locked="0" layoutInCell="1" allowOverlap="1">
            <wp:simplePos x="0" y="0"/>
            <wp:positionH relativeFrom="column">
              <wp:posOffset>26035</wp:posOffset>
            </wp:positionH>
            <wp:positionV relativeFrom="paragraph">
              <wp:posOffset>193040</wp:posOffset>
            </wp:positionV>
            <wp:extent cx="5887085" cy="6009005"/>
            <wp:effectExtent l="0" t="0" r="18415" b="10795"/>
            <wp:wrapNone/>
            <wp:docPr id="1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true"/>
                    </pic:cNvPicPr>
                  </pic:nvPicPr>
                  <pic:blipFill>
                    <a:blip r:embed="rId9">
                      <a:extLst>
                        <a:ext uri="{28A0092B-C50C-407E-A947-70E740481C1C}">
                          <a14:useLocalDpi xmlns:a14="http://schemas.microsoft.com/office/drawing/2010/main" val="false"/>
                        </a:ext>
                      </a:extLst>
                    </a:blip>
                    <a:srcRect/>
                    <a:stretch>
                      <a:fillRect/>
                    </a:stretch>
                  </pic:blipFill>
                  <pic:spPr>
                    <a:xfrm>
                      <a:off x="161900" y="0"/>
                      <a:ext cx="5887085" cy="6009005"/>
                    </a:xfrm>
                    <a:prstGeom prst="rect">
                      <a:avLst/>
                    </a:prstGeom>
                    <a:noFill/>
                  </pic:spPr>
                </pic:pic>
              </a:graphicData>
            </a:graphic>
          </wp:anchor>
        </w:drawing>
      </w: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pStyle w:val="85"/>
        <w:numPr>
          <w:ilvl w:val="0"/>
          <w:numId w:val="20"/>
        </w:numPr>
      </w:pPr>
      <w:r>
        <w:br w:type="textWrapping"/>
      </w:r>
      <w:bookmarkStart w:id="28" w:name="_Toc49158077"/>
      <w:r>
        <w:rPr>
          <w:rFonts w:hint="eastAsia"/>
        </w:rPr>
        <w:t>（资料性）</w:t>
      </w:r>
      <w:r>
        <w:br w:type="textWrapping"/>
      </w:r>
      <w:r>
        <w:rPr>
          <w:rFonts w:hint="eastAsia" w:ascii="宋体" w:hAnsi="宋体" w:cs="方正小标宋简体"/>
          <w:color w:val="000000"/>
          <w:szCs w:val="21"/>
        </w:rPr>
        <w:t>档案移交目录登记表样式</w:t>
      </w:r>
      <w:bookmarkEnd w:id="28"/>
    </w:p>
    <w:p>
      <w:pPr>
        <w:bidi w:val="0"/>
        <w:jc w:val="center"/>
      </w:pPr>
      <w:bookmarkStart w:id="29" w:name="_GoBack"/>
      <w:r>
        <w:drawing>
          <wp:anchor distT="0" distB="0" distL="114300" distR="114300" simplePos="0" relativeHeight="251671552" behindDoc="0" locked="0" layoutInCell="1" allowOverlap="1">
            <wp:simplePos x="0" y="0"/>
            <wp:positionH relativeFrom="column">
              <wp:posOffset>0</wp:posOffset>
            </wp:positionH>
            <wp:positionV relativeFrom="paragraph">
              <wp:posOffset>107950</wp:posOffset>
            </wp:positionV>
            <wp:extent cx="5913755" cy="6719570"/>
            <wp:effectExtent l="0" t="0" r="10795" b="5080"/>
            <wp:wrapNone/>
            <wp:docPr id="1"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true"/>
                    </pic:cNvPicPr>
                  </pic:nvPicPr>
                  <pic:blipFill>
                    <a:blip r:embed="rId10">
                      <a:extLst>
                        <a:ext uri="{28A0092B-C50C-407E-A947-70E740481C1C}">
                          <a14:useLocalDpi xmlns:a14="http://schemas.microsoft.com/office/drawing/2010/main" val="false"/>
                        </a:ext>
                      </a:extLst>
                    </a:blip>
                    <a:srcRect/>
                    <a:stretch>
                      <a:fillRect/>
                    </a:stretch>
                  </pic:blipFill>
                  <pic:spPr>
                    <a:xfrm>
                      <a:off x="685803" y="0"/>
                      <a:ext cx="5913755" cy="6719570"/>
                    </a:xfrm>
                    <a:prstGeom prst="rect">
                      <a:avLst/>
                    </a:prstGeom>
                    <a:noFill/>
                  </pic:spPr>
                </pic:pic>
              </a:graphicData>
            </a:graphic>
          </wp:anchor>
        </w:drawing>
      </w:r>
      <w:bookmarkEnd w:id="29"/>
    </w:p>
    <w:sectPr>
      <w:headerReference r:id="rId4" w:type="default"/>
      <w:footerReference r:id="rId5" w:type="default"/>
      <w:pgSz w:w="11906" w:h="16838"/>
      <w:pgMar w:top="567" w:right="1134" w:bottom="1134" w:left="1418" w:header="1418" w:footer="1134" w:gutter="0"/>
      <w:pgNumType w:fmt="decimal" w:start="1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320318C0"/>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07B3"/>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1B28"/>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4792A"/>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0AB5DDF"/>
    <w:rsid w:val="320318C0"/>
    <w:rsid w:val="33251C93"/>
    <w:rsid w:val="384077A2"/>
    <w:rsid w:val="4590011C"/>
    <w:rsid w:val="52331739"/>
    <w:rsid w:val="79B51D74"/>
    <w:rsid w:val="7D9C7F05"/>
    <w:rsid w:val="7FFDA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4.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8</Pages>
  <Words>2152</Words>
  <Characters>2278</Characters>
  <Lines>29</Lines>
  <Paragraphs>8</Paragraphs>
  <TotalTime>1</TotalTime>
  <ScaleCrop>false</ScaleCrop>
  <LinksUpToDate>false</LinksUpToDate>
  <CharactersWithSpaces>2468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2022-10-30T17:08:00Z</dcterms:created>
  <dc:creator>lenovo</dc:creator>
  <cp:lastModifiedBy>kylin</cp:lastModifiedBy>
  <dcterms:modified xsi:type="dcterms:W3CDTF">2023-03-19T09:28:05Z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6930A3F8AFFF406583CDD24D61006647</vt:lpwstr>
  </property>
</Properties>
</file>