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004—2022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机要文件管理规范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5"/>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9301"/>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机要文件管理规范</w:t>
      </w:r>
    </w:p>
    <w:p>
      <w:pPr>
        <w:pStyle w:val="46"/>
      </w:pPr>
      <w:bookmarkStart w:id="6" w:name="_Toc118209302"/>
      <w:r>
        <w:rPr>
          <w:rFonts w:hint="eastAsia"/>
        </w:rPr>
        <w:t>范围</w:t>
      </w:r>
      <w:bookmarkEnd w:id="6"/>
    </w:p>
    <w:p>
      <w:pPr>
        <w:pStyle w:val="25"/>
        <w:tabs>
          <w:tab w:val="clear" w:pos="4201"/>
          <w:tab w:val="clear" w:pos="9298"/>
        </w:tabs>
      </w:pPr>
      <w:r>
        <w:rPr>
          <w:rFonts w:hint="eastAsia"/>
        </w:rPr>
        <w:t>本文件规定了机要文件管理的总体要求、工作要点和工作流程。</w:t>
      </w:r>
    </w:p>
    <w:p>
      <w:pPr>
        <w:pStyle w:val="25"/>
      </w:pPr>
      <w:r>
        <w:rPr>
          <w:rFonts w:hint="eastAsia"/>
        </w:rPr>
        <w:t>本文件适用于中心机要文件的管理。</w:t>
      </w:r>
    </w:p>
    <w:p>
      <w:pPr>
        <w:pStyle w:val="46"/>
      </w:pPr>
      <w:bookmarkStart w:id="7" w:name="_Toc118209303"/>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《中华人民共和国保守国家秘密法》</w:t>
      </w:r>
    </w:p>
    <w:p>
      <w:pPr>
        <w:pStyle w:val="46"/>
      </w:pPr>
      <w:bookmarkStart w:id="8" w:name="_Toc118209304"/>
      <w:r>
        <w:rPr>
          <w:rFonts w:hint="eastAsia"/>
        </w:rPr>
        <w:t>术语和定义</w:t>
      </w:r>
      <w:bookmarkEnd w:id="8"/>
    </w:p>
    <w:p>
      <w:pPr>
        <w:pStyle w:val="25"/>
        <w:rPr>
          <w:color w:val="000000"/>
        </w:rPr>
      </w:pPr>
      <w:r>
        <w:rPr>
          <w:rFonts w:hint="eastAsia"/>
          <w:color w:val="000000"/>
        </w:rPr>
        <w:t>下列术语和定义适用于本文件。</w:t>
      </w:r>
    </w:p>
    <w:p>
      <w:pPr>
        <w:pStyle w:val="146"/>
        <w:spacing w:before="156" w:beforeLines="50" w:after="156" w:afterLines="50"/>
      </w:pPr>
    </w:p>
    <w:p>
      <w:pPr>
        <w:pStyle w:val="148"/>
      </w:pPr>
      <w:r>
        <w:rPr>
          <w:rFonts w:hint="eastAsia"/>
        </w:rPr>
        <w:t>机要文件</w:t>
      </w:r>
    </w:p>
    <w:p>
      <w:pPr>
        <w:pStyle w:val="25"/>
        <w:rPr>
          <w:rFonts w:ascii="Tahoma" w:hAnsi="Tahoma" w:cs="Tahoma"/>
          <w:color w:val="000000"/>
          <w:szCs w:val="21"/>
          <w:shd w:val="clear" w:color="auto" w:fill="FFFFFF"/>
        </w:rPr>
      </w:pPr>
      <w:r>
        <w:rPr>
          <w:rFonts w:hint="eastAsia"/>
        </w:rPr>
        <w:t>标有密级的文件、简报、讲话材料，各种内部资料、报表、刊物，以文字、符号、图形、声、像等形式含有国家重要秘密，泄露会使国家的安全和利益遭受严重的损害的载体。</w:t>
      </w:r>
    </w:p>
    <w:p>
      <w:pPr>
        <w:pStyle w:val="46"/>
      </w:pPr>
      <w:bookmarkStart w:id="9" w:name="_Toc118209305"/>
      <w:r>
        <w:rPr>
          <w:rFonts w:hint="eastAsia"/>
        </w:rPr>
        <w:t>总体要求</w:t>
      </w:r>
      <w:bookmarkEnd w:id="9"/>
    </w:p>
    <w:p>
      <w:pPr>
        <w:pStyle w:val="146"/>
      </w:pPr>
      <w:r>
        <w:rPr>
          <w:rFonts w:hint="eastAsia"/>
        </w:rPr>
        <w:t>机要室按照保密规定配置“三铁一器”保密设施，由机要人员专人管理。</w:t>
      </w:r>
    </w:p>
    <w:p>
      <w:pPr>
        <w:pStyle w:val="146"/>
      </w:pPr>
      <w:r>
        <w:rPr>
          <w:rFonts w:hint="eastAsia"/>
        </w:rPr>
        <w:t>机要人员离开机要室应随手锁门，下班前应认真检查，确保文件柜、门窗上锁，防止文件丢失被盗。</w:t>
      </w:r>
    </w:p>
    <w:p>
      <w:pPr>
        <w:pStyle w:val="146"/>
      </w:pPr>
      <w:r>
        <w:rPr>
          <w:rFonts w:hint="eastAsia"/>
        </w:rPr>
        <w:t>无关人员未经允许不得进入机要室，禁止在机要室接待客人。因工作需要进入机要室的人员，未经允许不得乱翻、乱看、乱拿室内资料。</w:t>
      </w:r>
    </w:p>
    <w:p>
      <w:pPr>
        <w:pStyle w:val="146"/>
      </w:pPr>
      <w:r>
        <w:rPr>
          <w:rFonts w:hint="eastAsia"/>
        </w:rPr>
        <w:t>外来人员进入机要室进行维修设备等工作时，应填写</w:t>
      </w:r>
      <w:r>
        <w:rPr>
          <w:rFonts w:hint="eastAsia"/>
          <w:color w:val="FF0000"/>
        </w:rPr>
        <w:t>《外来人员登记表》（样式见附录A）</w:t>
      </w:r>
      <w:r>
        <w:rPr>
          <w:rFonts w:hint="eastAsia"/>
        </w:rPr>
        <w:t>做好登记。</w:t>
      </w:r>
    </w:p>
    <w:p>
      <w:pPr>
        <w:pStyle w:val="146"/>
      </w:pPr>
      <w:r>
        <w:rPr>
          <w:rFonts w:hint="eastAsia"/>
        </w:rPr>
        <w:t>禁止人员携带便携式电子设备进入机要室。</w:t>
      </w:r>
    </w:p>
    <w:p>
      <w:pPr>
        <w:pStyle w:val="146"/>
      </w:pPr>
      <w:r>
        <w:rPr>
          <w:rFonts w:hint="eastAsia"/>
        </w:rPr>
        <w:t>机要人员应加强对文电传输设备管理维护，确保设备能及时收发文件。</w:t>
      </w:r>
    </w:p>
    <w:p>
      <w:pPr>
        <w:pStyle w:val="46"/>
      </w:pPr>
      <w:bookmarkStart w:id="10" w:name="_Toc118209306"/>
      <w:r>
        <w:rPr>
          <w:rFonts w:hint="eastAsia"/>
        </w:rPr>
        <w:t>工作要点</w:t>
      </w:r>
      <w:bookmarkEnd w:id="10"/>
    </w:p>
    <w:p>
      <w:pPr>
        <w:pStyle w:val="43"/>
        <w:spacing w:before="156" w:after="156"/>
      </w:pPr>
      <w:bookmarkStart w:id="11" w:name="_Toc118209307"/>
      <w:r>
        <w:rPr>
          <w:rFonts w:hint="eastAsia"/>
        </w:rPr>
        <w:t>收发、传递</w:t>
      </w:r>
      <w:bookmarkEnd w:id="11"/>
    </w:p>
    <w:p>
      <w:pPr>
        <w:pStyle w:val="147"/>
      </w:pPr>
      <w:r>
        <w:rPr>
          <w:rFonts w:hint="eastAsia"/>
        </w:rPr>
        <w:t>机要文件收发时，应履行清点登记、编号、签收等手续，确保机要文件处于受控状态。</w:t>
      </w:r>
    </w:p>
    <w:p>
      <w:pPr>
        <w:pStyle w:val="147"/>
      </w:pPr>
      <w:r>
        <w:rPr>
          <w:rFonts w:hint="eastAsia"/>
        </w:rPr>
        <w:t>中心办公室应建立机要文件登记簿，对外来文件资料进行收文登记，记录文件资料在</w:t>
      </w:r>
      <w:r>
        <w:rPr>
          <w:rFonts w:hint="eastAsia"/>
          <w:color w:val="FF0000"/>
          <w:lang w:val="en-US" w:eastAsia="zh-CN"/>
        </w:rPr>
        <w:t>中心</w:t>
      </w:r>
      <w:r>
        <w:rPr>
          <w:rFonts w:hint="eastAsia"/>
        </w:rPr>
        <w:t>内部传递过程直至归档。</w:t>
      </w:r>
    </w:p>
    <w:p>
      <w:pPr>
        <w:pStyle w:val="147"/>
      </w:pPr>
      <w:r>
        <w:rPr>
          <w:rFonts w:hint="eastAsia"/>
        </w:rPr>
        <w:t>中心办公室复制的机要文件因工作需要提供给业务</w:t>
      </w:r>
      <w:r>
        <w:rPr>
          <w:rFonts w:hint="eastAsia"/>
          <w:color w:val="FF0000"/>
          <w:lang w:val="en-US" w:eastAsia="zh-CN"/>
        </w:rPr>
        <w:t>科</w:t>
      </w:r>
      <w:r>
        <w:rPr>
          <w:rFonts w:hint="eastAsia"/>
        </w:rPr>
        <w:t>室的，应建立复制机要文件发放登记表，对传递到业务</w:t>
      </w:r>
      <w:r>
        <w:rPr>
          <w:rFonts w:hint="eastAsia"/>
          <w:color w:val="FF0000"/>
          <w:lang w:val="en-US" w:eastAsia="zh-CN"/>
        </w:rPr>
        <w:t>科</w:t>
      </w:r>
      <w:r>
        <w:rPr>
          <w:rFonts w:hint="eastAsia"/>
        </w:rPr>
        <w:t>室的机要文件名称、密级、份数、领用人等信息进行登记。</w:t>
      </w:r>
    </w:p>
    <w:p>
      <w:pPr>
        <w:pStyle w:val="147"/>
      </w:pPr>
      <w:r>
        <w:rPr>
          <w:rFonts w:hint="eastAsia"/>
        </w:rPr>
        <w:t>对外传递机要文件应通过机要、专人传递等方式完成。禁止通过普通邮寄、普通传真、电子邮件等形式传递机要文件。</w:t>
      </w:r>
    </w:p>
    <w:p>
      <w:pPr>
        <w:pStyle w:val="147"/>
      </w:pPr>
      <w:r>
        <w:rPr>
          <w:rFonts w:hint="eastAsia"/>
        </w:rPr>
        <w:t>对外报送的机要文件、资料，须经</w:t>
      </w:r>
      <w:r>
        <w:rPr>
          <w:rFonts w:hint="eastAsia"/>
          <w:color w:val="FF0000"/>
          <w:lang w:val="en-US" w:eastAsia="zh-CN"/>
        </w:rPr>
        <w:t>中心</w:t>
      </w:r>
      <w:r>
        <w:rPr>
          <w:rFonts w:hint="eastAsia"/>
        </w:rPr>
        <w:t>分管领导、主要</w:t>
      </w:r>
      <w:r>
        <w:rPr>
          <w:rFonts w:hint="eastAsia"/>
          <w:color w:val="FF0000"/>
          <w:lang w:val="en-US" w:eastAsia="zh-CN"/>
        </w:rPr>
        <w:t>中心</w:t>
      </w:r>
      <w:r>
        <w:rPr>
          <w:rFonts w:hint="eastAsia"/>
        </w:rPr>
        <w:t>领导审批。</w:t>
      </w:r>
    </w:p>
    <w:p>
      <w:pPr>
        <w:pStyle w:val="43"/>
        <w:spacing w:before="156" w:after="156"/>
      </w:pPr>
      <w:bookmarkStart w:id="12" w:name="_Toc118209308"/>
      <w:r>
        <w:rPr>
          <w:rFonts w:hint="eastAsia"/>
        </w:rPr>
        <w:t>借阅、使用制度</w:t>
      </w:r>
      <w:bookmarkEnd w:id="12"/>
    </w:p>
    <w:p>
      <w:pPr>
        <w:pStyle w:val="147"/>
      </w:pPr>
      <w:r>
        <w:rPr>
          <w:rFonts w:hint="eastAsia"/>
        </w:rPr>
        <w:t>机要文件的阅读、使用应遵循严格管理、严密防范、确保安全、方便工作的原则，重点控制知悉范围，不得擅自扩大机要文件的知悉范围，不得在非涉密计算机上处理机要文件。</w:t>
      </w:r>
    </w:p>
    <w:p>
      <w:pPr>
        <w:pStyle w:val="147"/>
      </w:pPr>
      <w:r>
        <w:rPr>
          <w:rFonts w:hint="eastAsia"/>
        </w:rPr>
        <w:t>机要文件传阅，应做到每天一清，每天下班前须将机要文件放回机要室，不得擅自留用。</w:t>
      </w:r>
    </w:p>
    <w:p>
      <w:pPr>
        <w:pStyle w:val="147"/>
      </w:pPr>
      <w:r>
        <w:rPr>
          <w:rFonts w:hint="eastAsia"/>
        </w:rPr>
        <w:t>借用机要文件（含机要室、档案室存放的机要文件）须办理登记手续，并限期归还；接触、使用、借阅机要文件的人员，应遵守保密规定，确保机要文件安全。</w:t>
      </w:r>
    </w:p>
    <w:p>
      <w:pPr>
        <w:pStyle w:val="147"/>
      </w:pPr>
      <w:r>
        <w:rPr>
          <w:rFonts w:hint="eastAsia"/>
        </w:rPr>
        <w:t>汇编、摘录、引用国家秘密信息所形成的机要文件应按照其中的最高密级和最长保密期限进行标志和管理。</w:t>
      </w:r>
    </w:p>
    <w:p>
      <w:pPr>
        <w:pStyle w:val="147"/>
      </w:pPr>
      <w:r>
        <w:rPr>
          <w:rFonts w:hint="eastAsia"/>
        </w:rPr>
        <w:t>未经审批和办理相关手续，任何</w:t>
      </w:r>
      <w:r>
        <w:rPr>
          <w:rFonts w:hint="eastAsia"/>
          <w:color w:val="FF0000"/>
          <w:lang w:val="en-US" w:eastAsia="zh-CN"/>
        </w:rPr>
        <w:t>科</w:t>
      </w:r>
      <w:r>
        <w:rPr>
          <w:rFonts w:hint="eastAsia"/>
        </w:rPr>
        <w:t>室单位和个人不得向外提供机要文件中的信息、数据等；禁止向新闻出版单位提供或公开报道机要文件信息。</w:t>
      </w:r>
    </w:p>
    <w:p>
      <w:pPr>
        <w:pStyle w:val="43"/>
        <w:spacing w:before="156" w:after="156"/>
      </w:pPr>
      <w:bookmarkStart w:id="13" w:name="_Toc118209309"/>
      <w:r>
        <w:rPr>
          <w:rFonts w:hint="eastAsia"/>
        </w:rPr>
        <w:t>保存、销毁制度</w:t>
      </w:r>
      <w:bookmarkEnd w:id="13"/>
    </w:p>
    <w:p>
      <w:pPr>
        <w:pStyle w:val="147"/>
      </w:pPr>
      <w:r>
        <w:rPr>
          <w:rFonts w:hint="eastAsia"/>
        </w:rPr>
        <w:t>机要文件（含内部资料）应存放在铁皮文件柜中。</w:t>
      </w:r>
    </w:p>
    <w:p>
      <w:pPr>
        <w:pStyle w:val="147"/>
      </w:pPr>
      <w:r>
        <w:rPr>
          <w:rFonts w:hint="eastAsia"/>
        </w:rPr>
        <w:t>中心办公室须建立机要文件台账，登记保存的机要文件，并对机要文件的密级调整与变更、使用、归档等情况进行管理监督。</w:t>
      </w:r>
    </w:p>
    <w:p>
      <w:pPr>
        <w:pStyle w:val="147"/>
      </w:pPr>
      <w:r>
        <w:rPr>
          <w:rFonts w:hint="eastAsia"/>
        </w:rPr>
        <w:t>业务</w:t>
      </w:r>
      <w:r>
        <w:rPr>
          <w:rFonts w:hint="eastAsia"/>
          <w:color w:val="FF0000"/>
          <w:lang w:val="en-US" w:eastAsia="zh-CN"/>
        </w:rPr>
        <w:t>科</w:t>
      </w:r>
      <w:r>
        <w:rPr>
          <w:rFonts w:hint="eastAsia"/>
        </w:rPr>
        <w:t>室每季度应清查和核对机要文件，检查保密防范措施的有效性和机要文件的完整性，发现问题应及时反馈办公室。</w:t>
      </w:r>
    </w:p>
    <w:p>
      <w:pPr>
        <w:pStyle w:val="147"/>
      </w:pPr>
      <w:r>
        <w:rPr>
          <w:rFonts w:hint="eastAsia"/>
        </w:rPr>
        <w:t>中心办公室每季度应对业务</w:t>
      </w:r>
      <w:r>
        <w:rPr>
          <w:rFonts w:hint="eastAsia"/>
          <w:color w:val="FF0000"/>
          <w:lang w:val="en-US" w:eastAsia="zh-CN"/>
        </w:rPr>
        <w:t>科</w:t>
      </w:r>
      <w:r>
        <w:rPr>
          <w:rFonts w:hint="eastAsia"/>
        </w:rPr>
        <w:t>室不需要留存的机要文件登记造册，及时回收。</w:t>
      </w:r>
    </w:p>
    <w:p>
      <w:pPr>
        <w:pStyle w:val="147"/>
      </w:pPr>
      <w:r>
        <w:rPr>
          <w:rFonts w:hint="eastAsia"/>
        </w:rPr>
        <w:t>机要文件（含过程文件）销毁应办理移交、审批手续，交由省涉密载体销毁中心集中销毁，我中心须派出两名工作人员负责监销。</w:t>
      </w:r>
    </w:p>
    <w:p>
      <w:pPr>
        <w:pStyle w:val="46"/>
      </w:pPr>
      <w:bookmarkStart w:id="14" w:name="_Toc118209310"/>
      <w:r>
        <w:rPr>
          <w:rFonts w:hint="eastAsia"/>
        </w:rPr>
        <w:t>工作流程</w:t>
      </w:r>
      <w:bookmarkEnd w:id="14"/>
    </w:p>
    <w:p>
      <w:pPr>
        <w:pStyle w:val="43"/>
        <w:spacing w:before="156" w:after="156"/>
      </w:pPr>
      <w:bookmarkStart w:id="15" w:name="_Toc118209311"/>
      <w:r>
        <w:rPr>
          <w:rFonts w:hint="eastAsia"/>
        </w:rPr>
        <w:t>签收</w:t>
      </w:r>
      <w:bookmarkEnd w:id="15"/>
    </w:p>
    <w:p>
      <w:pPr>
        <w:pStyle w:val="147"/>
      </w:pPr>
      <w:r>
        <w:t>机要文件，由</w:t>
      </w:r>
      <w:r>
        <w:rPr>
          <w:rFonts w:hint="eastAsia"/>
        </w:rPr>
        <w:t>中心</w:t>
      </w:r>
      <w:r>
        <w:t>办公室机要人员拆封、清点核对，其他人员不得拆封。机要人员应及时对来文单位、接收时间、标题、文号、密级、份数等进行登记，贴笺后提交办公室主任提出拟办意见或传阅范围。</w:t>
      </w:r>
    </w:p>
    <w:p>
      <w:pPr>
        <w:pStyle w:val="147"/>
      </w:pPr>
      <w:r>
        <w:t>相关人员参加涉密会议带回的机要文件，应及时送交办公室机要人员登记处理。</w:t>
      </w:r>
    </w:p>
    <w:p>
      <w:pPr>
        <w:pStyle w:val="43"/>
        <w:spacing w:before="156" w:after="156"/>
      </w:pPr>
      <w:bookmarkStart w:id="16" w:name="_Toc118209312"/>
      <w:r>
        <w:rPr>
          <w:rFonts w:hint="eastAsia"/>
        </w:rPr>
        <w:t>阅处</w:t>
      </w:r>
      <w:bookmarkEnd w:id="16"/>
    </w:p>
    <w:p>
      <w:pPr>
        <w:pStyle w:val="25"/>
      </w:pPr>
      <w:r>
        <w:rPr>
          <w:rFonts w:hint="eastAsia"/>
        </w:rPr>
        <w:t>办公室主任根据文件的秘密等级、紧急程度、办结时限，提出拟办意见和阅处范围，并提交中心主要领导或分管局领导审批。</w:t>
      </w:r>
    </w:p>
    <w:p>
      <w:pPr>
        <w:pStyle w:val="43"/>
        <w:spacing w:before="156" w:after="156"/>
      </w:pPr>
      <w:bookmarkStart w:id="17" w:name="_Toc118209313"/>
      <w:r>
        <w:rPr>
          <w:rFonts w:hint="eastAsia"/>
        </w:rPr>
        <w:t>审批</w:t>
      </w:r>
      <w:bookmarkEnd w:id="17"/>
      <w:r>
        <w:rPr>
          <w:rFonts w:hint="eastAsia"/>
        </w:rPr>
        <w:tab/>
      </w:r>
    </w:p>
    <w:p>
      <w:pPr>
        <w:pStyle w:val="25"/>
      </w:pPr>
      <w:r>
        <w:rPr>
          <w:rFonts w:hint="eastAsia"/>
        </w:rPr>
        <w:t>中心领导根据文件的秘密等级、紧急程度、办结时限，提出处理意见。</w:t>
      </w:r>
    </w:p>
    <w:p>
      <w:pPr>
        <w:pStyle w:val="43"/>
        <w:spacing w:before="156" w:after="156"/>
      </w:pPr>
      <w:bookmarkStart w:id="18" w:name="_Toc118209314"/>
      <w:r>
        <w:rPr>
          <w:rFonts w:hint="eastAsia"/>
        </w:rPr>
        <w:t>传递</w:t>
      </w:r>
      <w:bookmarkEnd w:id="18"/>
      <w:r>
        <w:rPr>
          <w:rFonts w:hint="eastAsia"/>
        </w:rPr>
        <w:tab/>
      </w:r>
    </w:p>
    <w:p>
      <w:pPr>
        <w:pStyle w:val="147"/>
      </w:pPr>
      <w:r>
        <w:rPr>
          <w:rFonts w:hint="eastAsia"/>
        </w:rPr>
        <w:t>根据中心领导批示，由承办</w:t>
      </w:r>
      <w:r>
        <w:rPr>
          <w:rFonts w:hint="eastAsia"/>
          <w:color w:val="FF0000"/>
          <w:lang w:val="en-US" w:eastAsia="zh-CN"/>
        </w:rPr>
        <w:t>科</w:t>
      </w:r>
      <w:r>
        <w:rPr>
          <w:rFonts w:hint="eastAsia"/>
        </w:rPr>
        <w:t>室接收文件，严格限制阅读范围。</w:t>
      </w:r>
    </w:p>
    <w:p>
      <w:pPr>
        <w:pStyle w:val="147"/>
      </w:pPr>
      <w:r>
        <w:rPr>
          <w:rFonts w:hint="eastAsia"/>
        </w:rPr>
        <w:t>机密、秘密级文件须在办公场所阅读，阅后及时收回。</w:t>
      </w:r>
    </w:p>
    <w:p>
      <w:pPr>
        <w:pStyle w:val="43"/>
        <w:spacing w:before="156" w:after="156"/>
      </w:pPr>
      <w:bookmarkStart w:id="19" w:name="_Toc118209315"/>
      <w:r>
        <w:rPr>
          <w:rFonts w:hint="eastAsia"/>
        </w:rPr>
        <w:t>阅办</w:t>
      </w:r>
      <w:bookmarkEnd w:id="19"/>
      <w:r>
        <w:rPr>
          <w:rFonts w:hint="eastAsia"/>
        </w:rPr>
        <w:tab/>
      </w:r>
    </w:p>
    <w:p>
      <w:pPr>
        <w:pStyle w:val="25"/>
      </w:pPr>
      <w:r>
        <w:rPr>
          <w:rFonts w:hint="eastAsia"/>
        </w:rPr>
        <w:t>根据密件内容，安排具体工作人员按保密要求处理。</w:t>
      </w:r>
    </w:p>
    <w:p>
      <w:pPr>
        <w:pStyle w:val="43"/>
        <w:spacing w:before="156" w:after="156"/>
      </w:pPr>
      <w:bookmarkStart w:id="20" w:name="_Toc118209316"/>
      <w:r>
        <w:rPr>
          <w:rFonts w:hint="eastAsia"/>
        </w:rPr>
        <w:t>承办</w:t>
      </w:r>
      <w:bookmarkEnd w:id="20"/>
      <w:r>
        <w:rPr>
          <w:rFonts w:hint="eastAsia"/>
        </w:rPr>
        <w:tab/>
      </w:r>
    </w:p>
    <w:p>
      <w:pPr>
        <w:pStyle w:val="147"/>
      </w:pPr>
      <w:r>
        <w:rPr>
          <w:rFonts w:hint="eastAsia"/>
        </w:rPr>
        <w:t>根据密件要求在涉密计算机上及时办结。</w:t>
      </w:r>
    </w:p>
    <w:p>
      <w:pPr>
        <w:pStyle w:val="147"/>
      </w:pPr>
      <w:r>
        <w:rPr>
          <w:rFonts w:hint="eastAsia"/>
        </w:rPr>
        <w:t>因工作需要复印机要文件资料须按程序报批，并在专用涉密文印设备上复印，复印件视同原件管理。</w:t>
      </w:r>
    </w:p>
    <w:p>
      <w:pPr>
        <w:pStyle w:val="147"/>
      </w:pPr>
      <w:r>
        <w:rPr>
          <w:rFonts w:hint="eastAsia"/>
        </w:rPr>
        <w:t>禁止携带机要文件参与社交活动或中途办理其他事项。</w:t>
      </w:r>
    </w:p>
    <w:p>
      <w:pPr>
        <w:pStyle w:val="43"/>
        <w:spacing w:before="156" w:after="156"/>
      </w:pPr>
      <w:bookmarkStart w:id="21" w:name="_Toc118209317"/>
      <w:r>
        <w:rPr>
          <w:rFonts w:hint="eastAsia"/>
        </w:rPr>
        <w:t>归档清退</w:t>
      </w:r>
      <w:bookmarkEnd w:id="21"/>
      <w:r>
        <w:rPr>
          <w:rFonts w:hint="eastAsia"/>
        </w:rPr>
        <w:tab/>
      </w:r>
    </w:p>
    <w:p>
      <w:pPr>
        <w:pStyle w:val="25"/>
      </w:pPr>
      <w:r>
        <w:rPr>
          <w:rFonts w:hint="eastAsia"/>
        </w:rPr>
        <w:t>由中心办公室机要人员登记密件收回情况，并立卷归档。</w:t>
      </w:r>
    </w:p>
    <w:p>
      <w:pPr>
        <w:pStyle w:val="25"/>
        <w:ind w:firstLine="0" w:firstLineChars="0"/>
        <w:jc w:val="center"/>
      </w:pPr>
    </w:p>
    <w:p>
      <w:pPr>
        <w:pStyle w:val="99"/>
      </w:pPr>
    </w:p>
    <w:p>
      <w:pPr>
        <w:pStyle w:val="87"/>
        <w:tabs>
          <w:tab w:val="clear" w:pos="0"/>
        </w:tabs>
      </w:pPr>
    </w:p>
    <w:p>
      <w:pPr>
        <w:pStyle w:val="85"/>
        <w:numPr>
          <w:ilvl w:val="0"/>
          <w:numId w:val="20"/>
        </w:numPr>
      </w:pPr>
      <w:r>
        <w:br w:type="textWrapping"/>
      </w:r>
      <w:bookmarkStart w:id="22" w:name="_Toc118209318"/>
      <w:r>
        <w:rPr>
          <w:rFonts w:hint="eastAsia"/>
        </w:rPr>
        <w:t>（规范性）</w:t>
      </w:r>
      <w:r>
        <w:br w:type="textWrapping"/>
      </w:r>
      <w:r>
        <w:rPr>
          <w:rFonts w:hint="eastAsia"/>
        </w:rPr>
        <w:t>外来人员登记表</w:t>
      </w:r>
      <w:bookmarkEnd w:id="22"/>
    </w:p>
    <w:p>
      <w:pPr>
        <w:pStyle w:val="103"/>
        <w:spacing w:before="312" w:after="312"/>
      </w:pPr>
      <w:bookmarkStart w:id="23" w:name="_Toc118209319"/>
      <w:bookmarkStart w:id="24" w:name="_GoBack"/>
      <w:r>
        <w:drawing>
          <wp:anchor distT="0" distB="0" distL="114300" distR="114300" simplePos="0" relativeHeight="251667456" behindDoc="0" locked="0" layoutInCell="1" allowOverlap="1">
            <wp:simplePos x="0" y="0"/>
            <wp:positionH relativeFrom="column">
              <wp:posOffset>-6350</wp:posOffset>
            </wp:positionH>
            <wp:positionV relativeFrom="paragraph">
              <wp:posOffset>234950</wp:posOffset>
            </wp:positionV>
            <wp:extent cx="5984875" cy="5440045"/>
            <wp:effectExtent l="0" t="0" r="15875" b="8255"/>
            <wp:wrapNone/>
            <wp:docPr id="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984875" cy="5440324"/>
                    </a:xfrm>
                    <a:prstGeom prst="rect">
                      <a:avLst/>
                    </a:prstGeom>
                    <a:noFill/>
                  </pic:spPr>
                </pic:pic>
              </a:graphicData>
            </a:graphic>
          </wp:anchor>
        </w:drawing>
      </w:r>
      <w:bookmarkEnd w:id="24"/>
      <w:r>
        <w:rPr>
          <w:rFonts w:hint="eastAsia"/>
        </w:rPr>
        <w:t>A.1 ＸＸＸＸＸＸ</w:t>
      </w:r>
      <w:bookmarkEnd w:id="23"/>
    </w:p>
    <w:p>
      <w:pPr>
        <w:pStyle w:val="25"/>
      </w:pPr>
    </w:p>
    <w:p>
      <w:pPr>
        <w:pStyle w:val="25"/>
      </w:pPr>
    </w:p>
    <w:p>
      <w:pPr>
        <w:pStyle w:val="131"/>
        <w:framePr w:hAnchor="page" w:x="1529" w:y="4377"/>
      </w:pPr>
    </w:p>
    <w:p>
      <w:pPr>
        <w:pStyle w:val="131"/>
        <w:framePr w:hAnchor="page" w:x="1529" w:y="4377"/>
      </w:pPr>
    </w:p>
    <w:p>
      <w:pPr>
        <w:pStyle w:val="25"/>
      </w:pPr>
      <w:r>
        <mc:AlternateContent>
          <mc:Choice Requires="wps">
            <w:drawing>
              <wp:anchor distT="0" distB="0" distL="114300" distR="114300" simplePos="0" relativeHeight="251666432" behindDoc="0" locked="0" layoutInCell="1" allowOverlap="1">
                <wp:simplePos x="0" y="0"/>
                <wp:positionH relativeFrom="column">
                  <wp:posOffset>1630045</wp:posOffset>
                </wp:positionH>
                <wp:positionV relativeFrom="paragraph">
                  <wp:posOffset>2905760</wp:posOffset>
                </wp:positionV>
                <wp:extent cx="241935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8.35pt;margin-top:228.8pt;height:0pt;width:190.5pt;z-index:251666432;mso-width-relative:page;mso-height-relative:page;" filled="f" stroked="t" coordsize="21600,21600" o:gfxdata="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nEtzy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2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2BE35427"/>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44D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0F8E"/>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65B73"/>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072B"/>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1696"/>
    <w:rsid w:val="00FC6358"/>
    <w:rsid w:val="00FD01CF"/>
    <w:rsid w:val="00FD229E"/>
    <w:rsid w:val="00FD320D"/>
    <w:rsid w:val="00FE1C50"/>
    <w:rsid w:val="00FE23DE"/>
    <w:rsid w:val="00FE4D17"/>
    <w:rsid w:val="00FE57AB"/>
    <w:rsid w:val="00FE7D7F"/>
    <w:rsid w:val="00FF04A9"/>
    <w:rsid w:val="05273F34"/>
    <w:rsid w:val="291B6110"/>
    <w:rsid w:val="2BE35427"/>
    <w:rsid w:val="2EA8435B"/>
    <w:rsid w:val="33251C93"/>
    <w:rsid w:val="4590011C"/>
    <w:rsid w:val="4F99056B"/>
    <w:rsid w:val="52331739"/>
    <w:rsid w:val="5F5D6586"/>
    <w:rsid w:val="7DEE3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Company>CHINA</Company>
  <Pages>7</Pages>
  <Words>2064</Words>
  <Characters>2132</Characters>
  <Lines>26</Lines>
  <Paragraphs>7</Paragraphs>
  <TotalTime>0</TotalTime>
  <ScaleCrop>false</ScaleCrop>
  <LinksUpToDate>false</LinksUpToDate>
  <CharactersWithSpaces>2303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2022-10-30T18:27:00Z</dcterms:created>
  <dc:creator>lenovo</dc:creator>
  <cp:lastModifiedBy>kylin</cp:lastModifiedBy>
  <dcterms:modified xsi:type="dcterms:W3CDTF">2023-03-19T09:31:06Z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693896821E0449899E2BAEFF0DCDE396</vt:lpwstr>
  </property>
</Properties>
</file>