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：BG</w:t>
      </w:r>
    </w:p>
    <w:p>
      <w:pPr>
        <w:pStyle w:val="124"/>
        <w:framePr/>
      </w:pPr>
      <w:r>
        <w:rPr>
          <w:rFonts w:hint="eastAsia"/>
        </w:rPr>
        <w:t>文件</w:t>
      </w:r>
      <w:r>
        <w:t>类型</w:t>
      </w:r>
      <w:r>
        <w:rPr>
          <w:rFonts w:hint="eastAsia"/>
        </w:rPr>
        <w:t>：制度</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BG.</w:t>
      </w:r>
      <w:r>
        <w:rPr>
          <w:rFonts w:hint="eastAsia" w:hAnsi="黑体"/>
          <w:lang w:val="en-US" w:eastAsia="zh-CN"/>
        </w:rPr>
        <w:t>410.</w:t>
      </w:r>
      <w:r>
        <w:rPr>
          <w:rFonts w:hAnsi="黑体"/>
        </w:rPr>
        <w:t>009—2022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会议</w:t>
      </w:r>
      <w:r>
        <w:t>服务</w:t>
      </w:r>
      <w:r>
        <w:rPr>
          <w:rFonts w:hint="eastAsia"/>
        </w:rPr>
        <w:t>制度</w:t>
      </w: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68"/>
          <w:cols w:space="425" w:num="1"/>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5408;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tabs>
          <w:tab w:val="center" w:pos="4677"/>
          <w:tab w:val="left" w:pos="8310"/>
        </w:tabs>
        <w:jc w:val="left"/>
      </w:pPr>
      <w:bookmarkStart w:id="2" w:name="_Toc475694823"/>
      <w:bookmarkStart w:id="3" w:name="_Toc49518022"/>
      <w:r>
        <w:tab/>
      </w:r>
      <w:bookmarkStart w:id="4" w:name="_Toc118210157"/>
      <w:r>
        <w:rPr>
          <w:rFonts w:hint="eastAsia"/>
        </w:rPr>
        <w:t>前</w:t>
      </w:r>
      <w:bookmarkStart w:id="5" w:name="BKQY"/>
      <w:r>
        <w:rPr>
          <w:rFonts w:hAnsi="黑体"/>
        </w:rPr>
        <w:t>  </w:t>
      </w:r>
      <w:r>
        <w:rPr>
          <w:rFonts w:hint="eastAsia"/>
        </w:rPr>
        <w:t>言</w:t>
      </w:r>
      <w:bookmarkEnd w:id="2"/>
      <w:bookmarkEnd w:id="3"/>
      <w:bookmarkEnd w:id="4"/>
      <w:bookmarkEnd w:id="5"/>
      <w:r>
        <w:tab/>
      </w:r>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办公室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办公室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薛绍鹏、李丹</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 xml:space="preserve">2022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刘朝生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.0</w:t>
            </w:r>
          </w:p>
        </w:tc>
        <w:tc>
          <w:tcPr>
            <w:tcW w:w="1793"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年</w:t>
            </w:r>
            <w:r>
              <w:rPr>
                <w:rFonts w:hint="eastAsia" w:cs="仿宋_GB2312" w:asciiTheme="minorEastAsia" w:hAnsiTheme="minorEastAsia" w:eastAsiaTheme="minorEastAsia"/>
                <w:kern w:val="0"/>
                <w:sz w:val="18"/>
                <w:szCs w:val="18"/>
                <w:lang w:val="en-US" w:eastAsia="zh-CN"/>
              </w:rPr>
              <w:t>9</w:t>
            </w:r>
            <w:r>
              <w:rPr>
                <w:rFonts w:hint="eastAsia" w:cs="仿宋_GB2312" w:asciiTheme="minorEastAsia" w:hAnsiTheme="minorEastAsia" w:eastAsiaTheme="minorEastAsia"/>
                <w:kern w:val="0"/>
                <w:sz w:val="18"/>
                <w:szCs w:val="18"/>
              </w:rPr>
              <w:t>月1日</w:t>
            </w:r>
          </w:p>
        </w:tc>
        <w:tc>
          <w:tcPr>
            <w:tcW w:w="1085" w:type="dxa"/>
            <w:vAlign w:val="top"/>
          </w:tcPr>
          <w:p>
            <w:pPr>
              <w:jc w:val="center"/>
              <w:rPr>
                <w:rFonts w:hint="eastAsia" w:cs="仿宋_GB2312" w:asciiTheme="minorEastAsia" w:hAnsiTheme="minorEastAsia" w:eastAsiaTheme="minorEastAsia"/>
                <w:kern w:val="0"/>
                <w:sz w:val="18"/>
                <w:szCs w:val="18"/>
                <w:lang w:eastAsia="zh-CN"/>
              </w:rPr>
            </w:pPr>
            <w:r>
              <w:rPr>
                <w:rFonts w:hint="eastAsia" w:cs="仿宋_GB2312" w:asciiTheme="minorEastAsia" w:hAnsiTheme="minorEastAsia" w:eastAsiaTheme="minorEastAsia"/>
                <w:kern w:val="0"/>
                <w:sz w:val="18"/>
                <w:szCs w:val="18"/>
                <w:lang w:eastAsia="zh-CN"/>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会议</w:t>
      </w:r>
      <w:r>
        <w:t>服务</w:t>
      </w:r>
      <w:r>
        <w:rPr>
          <w:rFonts w:hint="eastAsia"/>
        </w:rPr>
        <w:t>制度</w:t>
      </w:r>
    </w:p>
    <w:p>
      <w:pPr>
        <w:pStyle w:val="46"/>
      </w:pPr>
      <w:bookmarkStart w:id="6" w:name="_Toc118210158"/>
      <w:r>
        <w:rPr>
          <w:rFonts w:hint="eastAsia"/>
        </w:rPr>
        <w:t>范围</w:t>
      </w:r>
      <w:bookmarkEnd w:id="6"/>
    </w:p>
    <w:p>
      <w:pPr>
        <w:pStyle w:val="25"/>
        <w:tabs>
          <w:tab w:val="clear" w:pos="4201"/>
          <w:tab w:val="clear" w:pos="9298"/>
        </w:tabs>
      </w:pPr>
      <w:r>
        <w:rPr>
          <w:rFonts w:hint="eastAsia"/>
        </w:rPr>
        <w:t>本文件规定了会议服务</w:t>
      </w:r>
      <w:r>
        <w:t>的基本要求、</w:t>
      </w:r>
      <w:r>
        <w:rPr>
          <w:rFonts w:hint="eastAsia"/>
        </w:rPr>
        <w:t>会前</w:t>
      </w:r>
      <w:r>
        <w:t>准备、会中服务、会后整理和评价与改进要求</w:t>
      </w:r>
      <w:r>
        <w:rPr>
          <w:rFonts w:hint="eastAsia"/>
        </w:rPr>
        <w:t>。</w:t>
      </w:r>
    </w:p>
    <w:p>
      <w:pPr>
        <w:pStyle w:val="25"/>
      </w:pPr>
      <w:r>
        <w:rPr>
          <w:rFonts w:hint="eastAsia"/>
        </w:rPr>
        <w:t>本文件适用于邢台市机关</w:t>
      </w:r>
      <w:r>
        <w:t>后勤服务中心会议服务工作</w:t>
      </w:r>
      <w:r>
        <w:rPr>
          <w:rFonts w:hint="eastAsia"/>
        </w:rPr>
        <w:t>。</w:t>
      </w:r>
    </w:p>
    <w:p>
      <w:pPr>
        <w:pStyle w:val="46"/>
      </w:pPr>
      <w:bookmarkStart w:id="7" w:name="_Toc118210159"/>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GB/T 10001.1 公共信息图形符号 第1部分：</w:t>
      </w:r>
      <w:bookmarkStart w:id="50" w:name="_GoBack"/>
      <w:bookmarkEnd w:id="50"/>
      <w:r>
        <w:rPr>
          <w:rFonts w:hint="eastAsia"/>
        </w:rPr>
        <w:t xml:space="preserve">通用符号 </w:t>
      </w:r>
    </w:p>
    <w:p>
      <w:pPr>
        <w:pStyle w:val="25"/>
      </w:pPr>
      <w:r>
        <w:rPr>
          <w:rFonts w:hint="eastAsia"/>
        </w:rPr>
        <w:t xml:space="preserve">GB 12982 国旗 </w:t>
      </w:r>
    </w:p>
    <w:p>
      <w:pPr>
        <w:pStyle w:val="25"/>
      </w:pPr>
      <w:r>
        <w:rPr>
          <w:rFonts w:hint="eastAsia"/>
        </w:rPr>
        <w:t xml:space="preserve">GB 15093 国徽 </w:t>
      </w:r>
    </w:p>
    <w:p>
      <w:pPr>
        <w:pStyle w:val="25"/>
      </w:pPr>
      <w:r>
        <w:rPr>
          <w:rFonts w:hint="eastAsia"/>
        </w:rPr>
        <w:t xml:space="preserve">GB/T 26373 醇类消毒剂卫生要求 </w:t>
      </w:r>
    </w:p>
    <w:p>
      <w:pPr>
        <w:pStyle w:val="25"/>
        <w:rPr>
          <w:color w:val="0070C0"/>
        </w:rPr>
      </w:pPr>
      <w:r>
        <w:rPr>
          <w:rFonts w:hint="eastAsia"/>
        </w:rPr>
        <w:t>GB/T 41568 机关事务管理 术语</w:t>
      </w:r>
      <w:r>
        <w:rPr>
          <w:rFonts w:hint="eastAsia"/>
          <w:color w:val="0070C0"/>
        </w:rPr>
        <w:t>）</w:t>
      </w:r>
    </w:p>
    <w:p>
      <w:pPr>
        <w:pStyle w:val="46"/>
      </w:pPr>
      <w:bookmarkStart w:id="8" w:name="_Toc118210160"/>
      <w:r>
        <w:rPr>
          <w:rFonts w:hint="eastAsia"/>
        </w:rPr>
        <w:t>术语和定义</w:t>
      </w:r>
      <w:bookmarkEnd w:id="8"/>
    </w:p>
    <w:p>
      <w:pPr>
        <w:pStyle w:val="25"/>
        <w:rPr>
          <w:color w:val="000000"/>
        </w:rPr>
      </w:pPr>
      <w:r>
        <w:rPr>
          <w:rFonts w:hint="eastAsia"/>
          <w:color w:val="000000"/>
        </w:rPr>
        <w:t>GB/T 41568界定的术语和定义适用于本文件。</w:t>
      </w:r>
    </w:p>
    <w:p>
      <w:pPr>
        <w:pStyle w:val="46"/>
      </w:pPr>
      <w:bookmarkStart w:id="9" w:name="_Toc118210161"/>
      <w:r>
        <w:rPr>
          <w:rFonts w:hint="eastAsia"/>
        </w:rPr>
        <w:t>基本</w:t>
      </w:r>
      <w:r>
        <w:t>要求</w:t>
      </w:r>
      <w:bookmarkEnd w:id="9"/>
    </w:p>
    <w:p>
      <w:pPr>
        <w:pStyle w:val="43"/>
        <w:spacing w:before="156" w:after="156"/>
      </w:pPr>
      <w:bookmarkStart w:id="10" w:name="_Toc118210162"/>
      <w:r>
        <w:rPr>
          <w:rFonts w:hint="eastAsia"/>
        </w:rPr>
        <w:t>服务组织</w:t>
      </w:r>
      <w:bookmarkEnd w:id="10"/>
    </w:p>
    <w:p>
      <w:pPr>
        <w:pStyle w:val="147"/>
      </w:pPr>
      <w:r>
        <w:rPr>
          <w:rFonts w:hint="eastAsia"/>
        </w:rPr>
        <w:t>办公室承担</w:t>
      </w:r>
      <w:r>
        <w:t>会议服务工作</w:t>
      </w:r>
      <w:r>
        <w:rPr>
          <w:rFonts w:hint="eastAsia"/>
        </w:rPr>
        <w:t xml:space="preserve">，宜建立承担会议服务临时性组织，或将会议服务外包给有资质的会议服务机构。会议服务外包流程见附录A。 </w:t>
      </w:r>
    </w:p>
    <w:p>
      <w:pPr>
        <w:pStyle w:val="147"/>
      </w:pPr>
      <w:r>
        <w:rPr>
          <w:rFonts w:hint="eastAsia"/>
        </w:rPr>
        <w:t>会议服务应明确各人员岗位，制定岗位职责及说明书。岗位设置及其职责见附录B。</w:t>
      </w:r>
    </w:p>
    <w:p>
      <w:pPr>
        <w:pStyle w:val="43"/>
        <w:spacing w:before="156" w:after="156"/>
      </w:pPr>
      <w:bookmarkStart w:id="11" w:name="_Toc118210163"/>
      <w:r>
        <w:rPr>
          <w:rFonts w:hint="eastAsia"/>
        </w:rPr>
        <w:t>服务人员</w:t>
      </w:r>
      <w:bookmarkEnd w:id="11"/>
    </w:p>
    <w:p>
      <w:pPr>
        <w:pStyle w:val="147"/>
      </w:pPr>
      <w:r>
        <w:rPr>
          <w:rFonts w:hint="eastAsia"/>
        </w:rPr>
        <w:t xml:space="preserve">选聘服务人员应考虑以下方面： </w:t>
      </w:r>
    </w:p>
    <w:p>
      <w:pPr>
        <w:pStyle w:val="25"/>
      </w:pPr>
      <w:r>
        <w:rPr>
          <w:rFonts w:hint="eastAsia"/>
        </w:rPr>
        <w:t xml:space="preserve">—— 通过背景审查； </w:t>
      </w:r>
    </w:p>
    <w:p>
      <w:pPr>
        <w:pStyle w:val="25"/>
      </w:pPr>
      <w:r>
        <w:rPr>
          <w:rFonts w:hint="eastAsia"/>
        </w:rPr>
        <w:t xml:space="preserve">—— 文化教育程度； </w:t>
      </w:r>
    </w:p>
    <w:p>
      <w:pPr>
        <w:pStyle w:val="25"/>
      </w:pPr>
      <w:r>
        <w:rPr>
          <w:rFonts w:hint="eastAsia"/>
        </w:rPr>
        <w:t xml:space="preserve">—— 身体健康状况； </w:t>
      </w:r>
    </w:p>
    <w:p>
      <w:pPr>
        <w:pStyle w:val="25"/>
      </w:pPr>
      <w:r>
        <w:rPr>
          <w:rFonts w:hint="eastAsia"/>
        </w:rPr>
        <w:t xml:space="preserve">—— 年龄、身高、形象、气质； </w:t>
      </w:r>
    </w:p>
    <w:p>
      <w:pPr>
        <w:pStyle w:val="25"/>
      </w:pPr>
      <w:r>
        <w:rPr>
          <w:rFonts w:hint="eastAsia"/>
        </w:rPr>
        <w:t xml:space="preserve">—— 沟通表达、随机应变能力； </w:t>
      </w:r>
    </w:p>
    <w:p>
      <w:pPr>
        <w:pStyle w:val="25"/>
      </w:pPr>
      <w:r>
        <w:rPr>
          <w:rFonts w:hint="eastAsia"/>
        </w:rPr>
        <w:t xml:space="preserve">—— 工作技能； </w:t>
      </w:r>
    </w:p>
    <w:p>
      <w:pPr>
        <w:pStyle w:val="25"/>
      </w:pPr>
      <w:r>
        <w:rPr>
          <w:rFonts w:hint="eastAsia"/>
        </w:rPr>
        <w:t>—— 政治素质及其他行为素质等。</w:t>
      </w:r>
    </w:p>
    <w:p>
      <w:pPr>
        <w:pStyle w:val="147"/>
      </w:pPr>
      <w:r>
        <w:rPr>
          <w:rFonts w:hint="eastAsia"/>
        </w:rPr>
        <w:t>对服务人员定期开展持续、系统的培训。包括</w:t>
      </w:r>
      <w:r>
        <w:t>：</w:t>
      </w:r>
      <w:r>
        <w:rPr>
          <w:rFonts w:hint="eastAsia"/>
        </w:rPr>
        <w:t xml:space="preserve"> </w:t>
      </w:r>
    </w:p>
    <w:p>
      <w:pPr>
        <w:pStyle w:val="49"/>
      </w:pPr>
      <w:r>
        <w:rPr>
          <w:rFonts w:hint="eastAsia"/>
        </w:rPr>
        <w:t xml:space="preserve">培训内容： </w:t>
      </w:r>
    </w:p>
    <w:p>
      <w:pPr>
        <w:pStyle w:val="50"/>
      </w:pPr>
      <w:r>
        <w:rPr>
          <w:rFonts w:hint="eastAsia"/>
        </w:rPr>
        <w:t>会议服务理论知识；</w:t>
      </w:r>
      <w:r>
        <w:t xml:space="preserve"> </w:t>
      </w:r>
    </w:p>
    <w:p>
      <w:pPr>
        <w:pStyle w:val="50"/>
      </w:pPr>
      <w:r>
        <w:rPr>
          <w:rFonts w:hint="eastAsia"/>
        </w:rPr>
        <w:t>仪表、仪容、仪态、规范用语，会议服务员礼仪见附录</w:t>
      </w:r>
      <w:r>
        <w:t>C</w:t>
      </w:r>
      <w:r>
        <w:rPr>
          <w:rFonts w:hint="eastAsia"/>
        </w:rPr>
        <w:t>；</w:t>
      </w:r>
      <w:r>
        <w:t xml:space="preserve"> </w:t>
      </w:r>
    </w:p>
    <w:p>
      <w:pPr>
        <w:pStyle w:val="50"/>
      </w:pPr>
      <w:r>
        <w:rPr>
          <w:rFonts w:hint="eastAsia"/>
        </w:rPr>
        <w:t>保密要求及工作制度；</w:t>
      </w:r>
      <w:r>
        <w:t xml:space="preserve"> </w:t>
      </w:r>
    </w:p>
    <w:p>
      <w:pPr>
        <w:pStyle w:val="50"/>
      </w:pPr>
      <w:r>
        <w:rPr>
          <w:rFonts w:hint="eastAsia"/>
        </w:rPr>
        <w:t>安全管理与安全检查；</w:t>
      </w:r>
      <w:r>
        <w:t xml:space="preserve"> </w:t>
      </w:r>
    </w:p>
    <w:p>
      <w:pPr>
        <w:pStyle w:val="50"/>
      </w:pPr>
      <w:r>
        <w:rPr>
          <w:rFonts w:hint="eastAsia"/>
        </w:rPr>
        <w:t>技术人员专业技能；</w:t>
      </w:r>
      <w:r>
        <w:t xml:space="preserve"> </w:t>
      </w:r>
    </w:p>
    <w:p>
      <w:pPr>
        <w:pStyle w:val="50"/>
      </w:pPr>
      <w:r>
        <w:rPr>
          <w:rFonts w:hint="eastAsia"/>
        </w:rPr>
        <w:t>服务技能；</w:t>
      </w:r>
      <w:r>
        <w:t xml:space="preserve"> </w:t>
      </w:r>
    </w:p>
    <w:p>
      <w:pPr>
        <w:pStyle w:val="50"/>
      </w:pPr>
      <w:r>
        <w:rPr>
          <w:rFonts w:hint="eastAsia"/>
        </w:rPr>
        <w:t>会议突发事件应急处置，会议突发事件应急处置程序见附录</w:t>
      </w:r>
      <w:r>
        <w:t>D</w:t>
      </w:r>
      <w:r>
        <w:rPr>
          <w:rFonts w:hint="eastAsia"/>
        </w:rPr>
        <w:t>；</w:t>
      </w:r>
      <w:r>
        <w:t xml:space="preserve"> </w:t>
      </w:r>
    </w:p>
    <w:p>
      <w:pPr>
        <w:pStyle w:val="50"/>
      </w:pPr>
      <w:r>
        <w:rPr>
          <w:rFonts w:hint="eastAsia"/>
        </w:rPr>
        <w:t>普通话、当地语言及常用外语等。</w:t>
      </w:r>
      <w:r>
        <w:t xml:space="preserve"> </w:t>
      </w:r>
    </w:p>
    <w:p>
      <w:pPr>
        <w:pStyle w:val="25"/>
      </w:pPr>
      <w:r>
        <w:rPr>
          <w:rFonts w:hint="eastAsia"/>
        </w:rPr>
        <w:t xml:space="preserve">——培训形式包括： </w:t>
      </w:r>
    </w:p>
    <w:p>
      <w:pPr>
        <w:pStyle w:val="50"/>
      </w:pPr>
      <w:r>
        <w:rPr>
          <w:rFonts w:hint="eastAsia"/>
        </w:rPr>
        <w:t>岗前培训；</w:t>
      </w:r>
      <w:r>
        <w:t xml:space="preserve"> </w:t>
      </w:r>
    </w:p>
    <w:p>
      <w:pPr>
        <w:pStyle w:val="50"/>
      </w:pPr>
      <w:r>
        <w:rPr>
          <w:rFonts w:hint="eastAsia"/>
        </w:rPr>
        <w:t>定期培训；</w:t>
      </w:r>
      <w:r>
        <w:t xml:space="preserve"> </w:t>
      </w:r>
    </w:p>
    <w:p>
      <w:pPr>
        <w:pStyle w:val="50"/>
      </w:pPr>
      <w:r>
        <w:rPr>
          <w:rFonts w:hint="eastAsia"/>
        </w:rPr>
        <w:t>专项培训。</w:t>
      </w:r>
    </w:p>
    <w:p>
      <w:pPr>
        <w:pStyle w:val="43"/>
        <w:spacing w:before="156" w:after="156"/>
      </w:pPr>
      <w:bookmarkStart w:id="12" w:name="_Toc118210164"/>
      <w:r>
        <w:rPr>
          <w:rFonts w:hint="eastAsia"/>
        </w:rPr>
        <w:t>制度建设</w:t>
      </w:r>
      <w:bookmarkEnd w:id="12"/>
      <w:r>
        <w:rPr>
          <w:rFonts w:hint="eastAsia"/>
        </w:rPr>
        <w:t xml:space="preserve"> </w:t>
      </w:r>
    </w:p>
    <w:p>
      <w:pPr>
        <w:pStyle w:val="25"/>
      </w:pPr>
      <w:r>
        <w:rPr>
          <w:rFonts w:hint="eastAsia"/>
        </w:rPr>
        <w:t xml:space="preserve">应建立相关管理与服务制度，包括但不限于： </w:t>
      </w:r>
    </w:p>
    <w:p>
      <w:pPr>
        <w:pStyle w:val="25"/>
      </w:pPr>
      <w:r>
        <w:rPr>
          <w:rFonts w:hint="eastAsia"/>
        </w:rPr>
        <w:t xml:space="preserve">—— 培训制度； </w:t>
      </w:r>
    </w:p>
    <w:p>
      <w:pPr>
        <w:pStyle w:val="25"/>
      </w:pPr>
      <w:r>
        <w:rPr>
          <w:rFonts w:hint="eastAsia"/>
        </w:rPr>
        <w:t xml:space="preserve">—— 人事制度； </w:t>
      </w:r>
    </w:p>
    <w:p>
      <w:pPr>
        <w:pStyle w:val="25"/>
      </w:pPr>
      <w:r>
        <w:rPr>
          <w:rFonts w:hint="eastAsia"/>
        </w:rPr>
        <w:t xml:space="preserve">—— 保密制度； </w:t>
      </w:r>
    </w:p>
    <w:p>
      <w:pPr>
        <w:pStyle w:val="25"/>
      </w:pPr>
      <w:r>
        <w:rPr>
          <w:rFonts w:hint="eastAsia"/>
        </w:rPr>
        <w:t xml:space="preserve">—— 档案管理制度； </w:t>
      </w:r>
    </w:p>
    <w:p>
      <w:pPr>
        <w:pStyle w:val="25"/>
      </w:pPr>
      <w:r>
        <w:rPr>
          <w:rFonts w:hint="eastAsia"/>
        </w:rPr>
        <w:t xml:space="preserve">—— 会场与用品管理制度； </w:t>
      </w:r>
    </w:p>
    <w:p>
      <w:pPr>
        <w:pStyle w:val="25"/>
      </w:pPr>
      <w:r>
        <w:rPr>
          <w:rFonts w:hint="eastAsia"/>
        </w:rPr>
        <w:t xml:space="preserve">—— 会场清洁制度； </w:t>
      </w:r>
    </w:p>
    <w:p>
      <w:pPr>
        <w:pStyle w:val="25"/>
      </w:pPr>
      <w:r>
        <w:rPr>
          <w:rFonts w:hint="eastAsia"/>
        </w:rPr>
        <w:t xml:space="preserve">—— 会场布置与验收制度； </w:t>
      </w:r>
    </w:p>
    <w:p>
      <w:pPr>
        <w:pStyle w:val="25"/>
      </w:pPr>
      <w:r>
        <w:rPr>
          <w:rFonts w:hint="eastAsia"/>
        </w:rPr>
        <w:t>—— 会务服务制度。</w:t>
      </w:r>
    </w:p>
    <w:p>
      <w:pPr>
        <w:pStyle w:val="46"/>
      </w:pPr>
      <w:bookmarkStart w:id="13" w:name="_Toc118210165"/>
      <w:r>
        <w:rPr>
          <w:rFonts w:hint="eastAsia"/>
        </w:rPr>
        <w:t>会前准备</w:t>
      </w:r>
      <w:bookmarkEnd w:id="13"/>
    </w:p>
    <w:p>
      <w:pPr>
        <w:pStyle w:val="43"/>
        <w:spacing w:before="156" w:after="156"/>
      </w:pPr>
      <w:bookmarkStart w:id="14" w:name="_Toc118210166"/>
      <w:r>
        <w:rPr>
          <w:rFonts w:hint="eastAsia"/>
        </w:rPr>
        <w:t>预定确认</w:t>
      </w:r>
      <w:bookmarkEnd w:id="14"/>
    </w:p>
    <w:p>
      <w:pPr>
        <w:pStyle w:val="147"/>
      </w:pPr>
      <w:r>
        <w:rPr>
          <w:rFonts w:hint="eastAsia"/>
        </w:rPr>
        <w:t>接到预订通知后，应做好会议登记，包括会议名称、会议时间、会议地点、会议布局、参会领导、参会人数、会议性质、联系人、联系方式、会议信息发布、茶水种类等，并向会议主办方确认。</w:t>
      </w:r>
    </w:p>
    <w:p>
      <w:pPr>
        <w:pStyle w:val="147"/>
      </w:pPr>
      <w:r>
        <w:rPr>
          <w:rFonts w:hint="eastAsia"/>
        </w:rPr>
        <w:t>宜提前对可能影响会议顺利召开的因素进行预判，必要时与会议主办方再次沟通确认。</w:t>
      </w:r>
    </w:p>
    <w:p>
      <w:pPr>
        <w:pStyle w:val="43"/>
        <w:spacing w:before="156" w:after="156"/>
      </w:pPr>
      <w:bookmarkStart w:id="15" w:name="_Toc118210167"/>
      <w:r>
        <w:rPr>
          <w:rFonts w:hint="eastAsia"/>
        </w:rPr>
        <w:t>制定</w:t>
      </w:r>
      <w:r>
        <w:t>方案</w:t>
      </w:r>
      <w:bookmarkEnd w:id="15"/>
    </w:p>
    <w:p>
      <w:pPr>
        <w:pStyle w:val="25"/>
      </w:pPr>
      <w:r>
        <w:rPr>
          <w:rFonts w:hint="eastAsia"/>
        </w:rPr>
        <w:t>制定会议服务保障工作方案，明确各岗位分工、服务人员数量、时间安排等事项。</w:t>
      </w:r>
    </w:p>
    <w:p>
      <w:pPr>
        <w:pStyle w:val="43"/>
        <w:spacing w:before="156" w:after="156"/>
      </w:pPr>
      <w:bookmarkStart w:id="16" w:name="_Toc118210168"/>
      <w:r>
        <w:rPr>
          <w:rFonts w:hint="eastAsia"/>
        </w:rPr>
        <w:t>对外协调</w:t>
      </w:r>
      <w:bookmarkEnd w:id="16"/>
    </w:p>
    <w:p>
      <w:pPr>
        <w:pStyle w:val="147"/>
      </w:pPr>
      <w:r>
        <w:rPr>
          <w:rFonts w:hint="eastAsia"/>
        </w:rPr>
        <w:t xml:space="preserve">涉及需与外部门协调的会议，应对会议服务任务进行分解，明确任务要求及完成时限。必要时，宜召开会议服务保障协调会，协调事项包括但不限于：车辆停放、环境卫生、秩序维护、交通保畅、会场指引等。 </w:t>
      </w:r>
    </w:p>
    <w:p>
      <w:pPr>
        <w:pStyle w:val="147"/>
      </w:pPr>
      <w:r>
        <w:rPr>
          <w:rFonts w:hint="eastAsia"/>
        </w:rPr>
        <w:t xml:space="preserve">如会议主办方有需求变更的，应及时将变更信息通报各会务服务岗位。 </w:t>
      </w:r>
    </w:p>
    <w:p>
      <w:pPr>
        <w:pStyle w:val="43"/>
        <w:spacing w:before="156" w:after="156"/>
      </w:pPr>
      <w:bookmarkStart w:id="17" w:name="_Toc118210169"/>
      <w:r>
        <w:rPr>
          <w:rFonts w:hint="eastAsia"/>
        </w:rPr>
        <w:t>会场引导</w:t>
      </w:r>
      <w:bookmarkEnd w:id="17"/>
      <w:r>
        <w:rPr>
          <w:rFonts w:hint="eastAsia"/>
        </w:rPr>
        <w:t xml:space="preserve"> </w:t>
      </w:r>
    </w:p>
    <w:p>
      <w:pPr>
        <w:pStyle w:val="147"/>
      </w:pPr>
      <w:r>
        <w:rPr>
          <w:rFonts w:hint="eastAsia"/>
        </w:rPr>
        <w:t xml:space="preserve">会场的引导标识、指示牌和智能化信息服务应符合GB/T 10001.1的要求。 </w:t>
      </w:r>
    </w:p>
    <w:p>
      <w:pPr>
        <w:pStyle w:val="147"/>
      </w:pPr>
      <w:r>
        <w:rPr>
          <w:rFonts w:hint="eastAsia"/>
        </w:rPr>
        <w:t xml:space="preserve">会场电梯大堂和会场入口处可安排迎宾人员，提供引导服务。 </w:t>
      </w:r>
    </w:p>
    <w:p>
      <w:pPr>
        <w:pStyle w:val="43"/>
        <w:spacing w:before="156" w:after="156"/>
      </w:pPr>
      <w:bookmarkStart w:id="18" w:name="_Toc118210170"/>
      <w:r>
        <w:rPr>
          <w:rFonts w:hint="eastAsia"/>
        </w:rPr>
        <w:t>会场清洁</w:t>
      </w:r>
      <w:bookmarkEnd w:id="18"/>
      <w:r>
        <w:rPr>
          <w:rFonts w:hint="eastAsia"/>
        </w:rPr>
        <w:t xml:space="preserve"> </w:t>
      </w:r>
    </w:p>
    <w:p>
      <w:pPr>
        <w:pStyle w:val="25"/>
      </w:pPr>
      <w:r>
        <w:rPr>
          <w:rFonts w:hint="eastAsia"/>
        </w:rPr>
        <w:t xml:space="preserve">布置会场前应对会场区域进行清洁，清洁卫生应符合以下要求。 </w:t>
      </w:r>
    </w:p>
    <w:p>
      <w:pPr>
        <w:pStyle w:val="25"/>
      </w:pPr>
      <w:r>
        <w:rPr>
          <w:rFonts w:hint="eastAsia"/>
        </w:rPr>
        <w:t xml:space="preserve">—— 会议室、候会室： </w:t>
      </w:r>
    </w:p>
    <w:p>
      <w:pPr>
        <w:pStyle w:val="50"/>
      </w:pPr>
      <w:r>
        <w:rPr>
          <w:rFonts w:hint="eastAsia"/>
        </w:rPr>
        <w:t xml:space="preserve">地面，保持干燥清洁，无纸屑、无水迹、无污渍；砖面及拼缝、边沿线等处洁净，无积垢、灰尘、纸屑、水迹和胶粘物等； </w:t>
      </w:r>
    </w:p>
    <w:p>
      <w:pPr>
        <w:pStyle w:val="50"/>
      </w:pPr>
      <w:r>
        <w:rPr>
          <w:rFonts w:hint="eastAsia"/>
        </w:rPr>
        <w:t>内墙面、天花、顶角、转角及墙踢脚等处无积尘、霉斑和蜘蛛网；</w:t>
      </w:r>
      <w:r>
        <w:t xml:space="preserve"> </w:t>
      </w:r>
    </w:p>
    <w:p>
      <w:pPr>
        <w:pStyle w:val="50"/>
      </w:pPr>
      <w:r>
        <w:rPr>
          <w:rFonts w:hint="eastAsia"/>
        </w:rPr>
        <w:t xml:space="preserve">门面、门框、门背等保持本色光泽、花纹清晰、无油迹和灰尘，金属门饰、门锁、门附件等保持金属光亮，无锈斑、污迹和水迹； </w:t>
      </w:r>
    </w:p>
    <w:p>
      <w:pPr>
        <w:pStyle w:val="50"/>
      </w:pPr>
      <w:r>
        <w:rPr>
          <w:rFonts w:hint="eastAsia"/>
        </w:rPr>
        <w:t>玻璃窗表面洁净、明亮，无水迹、指印和张贴物等；</w:t>
      </w:r>
      <w:r>
        <w:t xml:space="preserve"> </w:t>
      </w:r>
    </w:p>
    <w:p>
      <w:pPr>
        <w:pStyle w:val="50"/>
      </w:pPr>
      <w:r>
        <w:rPr>
          <w:rFonts w:hint="eastAsia"/>
        </w:rPr>
        <w:t>窗台及上下四周接缝处光洁，无灰尘、水迹和霉斑；</w:t>
      </w:r>
      <w:r>
        <w:t xml:space="preserve"> </w:t>
      </w:r>
    </w:p>
    <w:p>
      <w:pPr>
        <w:pStyle w:val="50"/>
      </w:pPr>
      <w:r>
        <w:rPr>
          <w:rFonts w:hint="eastAsia"/>
        </w:rPr>
        <w:t>墙壁装饰画无鼓泡、无发霉，画框无脱落、无霉斑。</w:t>
      </w:r>
      <w:r>
        <w:t xml:space="preserve"> </w:t>
      </w:r>
    </w:p>
    <w:p>
      <w:pPr>
        <w:pStyle w:val="25"/>
      </w:pPr>
      <w:r>
        <w:rPr>
          <w:rFonts w:hint="eastAsia"/>
        </w:rPr>
        <w:t xml:space="preserve">—— 休息区： </w:t>
      </w:r>
    </w:p>
    <w:p>
      <w:pPr>
        <w:pStyle w:val="50"/>
      </w:pPr>
      <w:r>
        <w:rPr>
          <w:rFonts w:hint="eastAsia"/>
        </w:rPr>
        <w:t>地面保持干燥清洁，无烟蒂、杂物；</w:t>
      </w:r>
      <w:r>
        <w:t xml:space="preserve"> </w:t>
      </w:r>
    </w:p>
    <w:p>
      <w:pPr>
        <w:pStyle w:val="50"/>
      </w:pPr>
      <w:r>
        <w:rPr>
          <w:rFonts w:hint="eastAsia"/>
        </w:rPr>
        <w:t>座椅保持清洁，无水迹、污迹。</w:t>
      </w:r>
      <w:r>
        <w:t xml:space="preserve"> </w:t>
      </w:r>
    </w:p>
    <w:p>
      <w:pPr>
        <w:pStyle w:val="25"/>
      </w:pPr>
      <w:r>
        <w:rPr>
          <w:rFonts w:hint="eastAsia"/>
        </w:rPr>
        <w:t xml:space="preserve">—— 洗手间： </w:t>
      </w:r>
    </w:p>
    <w:p>
      <w:pPr>
        <w:pStyle w:val="50"/>
      </w:pPr>
      <w:r>
        <w:rPr>
          <w:rFonts w:hint="eastAsia"/>
        </w:rPr>
        <w:t>地面无污秽物、水迹和脚印；</w:t>
      </w:r>
      <w:r>
        <w:t xml:space="preserve"> </w:t>
      </w:r>
    </w:p>
    <w:p>
      <w:pPr>
        <w:pStyle w:val="50"/>
      </w:pPr>
      <w:r>
        <w:rPr>
          <w:rFonts w:hint="eastAsia"/>
        </w:rPr>
        <w:t>镜面明净，无水迹、指印和雾水；</w:t>
      </w:r>
      <w:r>
        <w:t xml:space="preserve"> </w:t>
      </w:r>
    </w:p>
    <w:p>
      <w:pPr>
        <w:pStyle w:val="50"/>
      </w:pPr>
      <w:r>
        <w:rPr>
          <w:rFonts w:hint="eastAsia"/>
        </w:rPr>
        <w:t>台盆和台面有光泽，无积垢、锈迹和毛发；</w:t>
      </w:r>
      <w:r>
        <w:t xml:space="preserve"> </w:t>
      </w:r>
    </w:p>
    <w:p>
      <w:pPr>
        <w:pStyle w:val="50"/>
      </w:pPr>
      <w:r>
        <w:rPr>
          <w:rFonts w:hint="eastAsia"/>
        </w:rPr>
        <w:t>水龙头保持光亮，无水迹和污垢；</w:t>
      </w:r>
      <w:r>
        <w:t xml:space="preserve"> </w:t>
      </w:r>
    </w:p>
    <w:p>
      <w:pPr>
        <w:pStyle w:val="50"/>
      </w:pPr>
      <w:r>
        <w:rPr>
          <w:rFonts w:hint="eastAsia"/>
        </w:rPr>
        <w:t>便斗洁净，无黄斑、锈迹和污垢；</w:t>
      </w:r>
      <w:r>
        <w:t xml:space="preserve"> </w:t>
      </w:r>
    </w:p>
    <w:p>
      <w:pPr>
        <w:pStyle w:val="50"/>
      </w:pPr>
      <w:r>
        <w:rPr>
          <w:rFonts w:hint="eastAsia"/>
        </w:rPr>
        <w:t>便池外部无污垢，内部无黄斑；</w:t>
      </w:r>
      <w:r>
        <w:t xml:space="preserve"> </w:t>
      </w:r>
    </w:p>
    <w:p>
      <w:pPr>
        <w:pStyle w:val="50"/>
      </w:pPr>
      <w:r>
        <w:rPr>
          <w:rFonts w:hint="eastAsia"/>
        </w:rPr>
        <w:t>废纸篓无污迹和臭味。</w:t>
      </w:r>
      <w:r>
        <w:t xml:space="preserve"> </w:t>
      </w:r>
    </w:p>
    <w:p>
      <w:pPr>
        <w:pStyle w:val="43"/>
        <w:spacing w:before="156" w:after="156"/>
      </w:pPr>
      <w:bookmarkStart w:id="19" w:name="_Toc118210171"/>
      <w:r>
        <w:rPr>
          <w:rFonts w:hint="eastAsia"/>
        </w:rPr>
        <w:t>会场布置</w:t>
      </w:r>
      <w:bookmarkEnd w:id="19"/>
      <w:r>
        <w:rPr>
          <w:rFonts w:hint="eastAsia"/>
        </w:rPr>
        <w:t xml:space="preserve"> </w:t>
      </w:r>
    </w:p>
    <w:p>
      <w:pPr>
        <w:pStyle w:val="147"/>
      </w:pPr>
      <w:r>
        <w:rPr>
          <w:rFonts w:hint="eastAsia"/>
        </w:rPr>
        <w:t xml:space="preserve">会议服务人员宜提前2 h完成会议用品准备和会场布置，每类会议用品规格和样式应分别统一。会场布置主要包括： </w:t>
      </w:r>
    </w:p>
    <w:p>
      <w:pPr>
        <w:pStyle w:val="49"/>
      </w:pPr>
      <w:r>
        <w:rPr>
          <w:rFonts w:hint="eastAsia"/>
        </w:rPr>
        <w:t>布局，一般包括课桌式、中空型、U型等；</w:t>
      </w:r>
    </w:p>
    <w:p>
      <w:pPr>
        <w:pStyle w:val="49"/>
      </w:pPr>
      <w:r>
        <w:rPr>
          <w:rFonts w:hint="eastAsia"/>
        </w:rPr>
        <w:t xml:space="preserve">主席台，位于会场前方正中央，位置突出；单主宾主位居中，双主宾则在主席台正中央的中心线两侧各布置一个主位； </w:t>
      </w:r>
    </w:p>
    <w:p>
      <w:pPr>
        <w:pStyle w:val="49"/>
      </w:pPr>
      <w:r>
        <w:rPr>
          <w:rFonts w:hint="eastAsia"/>
        </w:rPr>
        <w:t xml:space="preserve">桌椅，桌椅摆放整齐，椅子摆放间距均匀且不少于20 cm； </w:t>
      </w:r>
    </w:p>
    <w:p>
      <w:pPr>
        <w:pStyle w:val="49"/>
      </w:pPr>
      <w:r>
        <w:rPr>
          <w:rFonts w:hint="eastAsia"/>
        </w:rPr>
        <w:t xml:space="preserve">台布，台布铺设平整，中线居于桌中，两边下垂长度相等； </w:t>
      </w:r>
    </w:p>
    <w:p>
      <w:pPr>
        <w:pStyle w:val="49"/>
      </w:pPr>
      <w:r>
        <w:rPr>
          <w:rFonts w:hint="eastAsia"/>
        </w:rPr>
        <w:t xml:space="preserve">会标，会标字体、大小与会场或电子屏匹配，悬挂在主席台正上方； </w:t>
      </w:r>
    </w:p>
    <w:p>
      <w:pPr>
        <w:pStyle w:val="49"/>
      </w:pPr>
      <w:r>
        <w:rPr>
          <w:rFonts w:hint="eastAsia"/>
        </w:rPr>
        <w:t xml:space="preserve">会议文件，统一放置于座位对应桌面的中间位置，文件与桌面下边缘距离3 cm为宜； </w:t>
      </w:r>
    </w:p>
    <w:p>
      <w:pPr>
        <w:pStyle w:val="49"/>
      </w:pPr>
      <w:r>
        <w:rPr>
          <w:rFonts w:hint="eastAsia"/>
        </w:rPr>
        <w:t xml:space="preserve">桌签，根据座次安排摆放桌签，摆放距桌外沿3 cm处，座次安排见附录E； </w:t>
      </w:r>
    </w:p>
    <w:p>
      <w:pPr>
        <w:pStyle w:val="49"/>
      </w:pPr>
      <w:r>
        <w:rPr>
          <w:rFonts w:hint="eastAsia"/>
        </w:rPr>
        <w:t xml:space="preserve">杯碟，紧靠桌签，横呈一条直线；桌签和杯碟之间中缝对应桌面 1/2（双人桌 1/4）处；若放置麦克风，则桌签摆放于麦克风左侧，杯碟摆放于麦克风右侧； </w:t>
      </w:r>
    </w:p>
    <w:p>
      <w:pPr>
        <w:pStyle w:val="49"/>
      </w:pPr>
      <w:r>
        <w:rPr>
          <w:rFonts w:hint="eastAsia"/>
        </w:rPr>
        <w:t xml:space="preserve">茶杯，放置在杯碟中心，杯耳朝向参会人员，呈45°角摆放。 </w:t>
      </w:r>
    </w:p>
    <w:p>
      <w:pPr>
        <w:pStyle w:val="147"/>
      </w:pPr>
      <w:r>
        <w:rPr>
          <w:rFonts w:hint="eastAsia"/>
        </w:rPr>
        <w:t xml:space="preserve">如需悬挂党徽、党旗、国徽、国旗，应仔细熨烫每一张旗帜，对旗头、旗面、旗穗进行梳理，保证清爽、整洁；会场党徽、党旗的使用见《中国共产党党徽党旗条例》，国徽尺寸应符合GB 15093的要求，国旗材质及尺寸应符合GB 12982要求。 </w:t>
      </w:r>
    </w:p>
    <w:p>
      <w:pPr>
        <w:pStyle w:val="147"/>
      </w:pPr>
      <w:r>
        <w:rPr>
          <w:rFonts w:hint="eastAsia"/>
        </w:rPr>
        <w:t>技术人员应至少提前1 h完成对会议使用的线路、麦克风、音响、视频等设备的布置，布置要求应符合表1的规定。应配有备份的线路及设备。举办涉外会议时，宜提供同声传译设备。</w:t>
      </w:r>
    </w:p>
    <w:p>
      <w:pPr>
        <w:pStyle w:val="128"/>
        <w:spacing w:before="156" w:after="156"/>
      </w:pPr>
      <w:r>
        <w:rPr>
          <w:rFonts w:hint="eastAsia"/>
        </w:rPr>
        <w:t>设施设备</w:t>
      </w:r>
      <w:r>
        <w:t>布置要求</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4"/>
        <w:gridCol w:w="1418"/>
        <w:gridCol w:w="53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Align w:val="center"/>
          </w:tcPr>
          <w:p>
            <w:pPr>
              <w:pStyle w:val="25"/>
              <w:ind w:firstLine="0" w:firstLineChars="0"/>
              <w:jc w:val="center"/>
              <w:rPr>
                <w:sz w:val="18"/>
                <w:szCs w:val="18"/>
              </w:rPr>
            </w:pPr>
            <w:r>
              <w:rPr>
                <w:rFonts w:hint="eastAsia"/>
                <w:sz w:val="18"/>
                <w:szCs w:val="18"/>
              </w:rPr>
              <w:t>序号</w:t>
            </w:r>
          </w:p>
        </w:tc>
        <w:tc>
          <w:tcPr>
            <w:tcW w:w="1418" w:type="dxa"/>
            <w:vAlign w:val="center"/>
          </w:tcPr>
          <w:p>
            <w:pPr>
              <w:pStyle w:val="25"/>
              <w:ind w:firstLine="0" w:firstLineChars="0"/>
              <w:jc w:val="center"/>
              <w:rPr>
                <w:sz w:val="18"/>
                <w:szCs w:val="18"/>
              </w:rPr>
            </w:pPr>
            <w:r>
              <w:rPr>
                <w:rFonts w:hint="eastAsia"/>
                <w:sz w:val="18"/>
                <w:szCs w:val="18"/>
              </w:rPr>
              <w:t>项目</w:t>
            </w:r>
          </w:p>
        </w:tc>
        <w:tc>
          <w:tcPr>
            <w:tcW w:w="5386" w:type="dxa"/>
            <w:vAlign w:val="center"/>
          </w:tcPr>
          <w:p>
            <w:pPr>
              <w:pStyle w:val="25"/>
              <w:ind w:firstLine="0" w:firstLineChars="0"/>
              <w:jc w:val="center"/>
              <w:rPr>
                <w:sz w:val="18"/>
                <w:szCs w:val="18"/>
              </w:rPr>
            </w:pPr>
            <w:r>
              <w:rPr>
                <w:rFonts w:hint="eastAsia"/>
                <w:sz w:val="18"/>
                <w:szCs w:val="18"/>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Align w:val="center"/>
          </w:tcPr>
          <w:p>
            <w:pPr>
              <w:pStyle w:val="25"/>
              <w:ind w:firstLine="0" w:firstLineChars="0"/>
              <w:jc w:val="center"/>
              <w:rPr>
                <w:sz w:val="18"/>
                <w:szCs w:val="18"/>
              </w:rPr>
            </w:pPr>
            <w:r>
              <w:rPr>
                <w:rFonts w:hint="eastAsia"/>
                <w:sz w:val="18"/>
                <w:szCs w:val="18"/>
              </w:rPr>
              <w:t>1</w:t>
            </w:r>
          </w:p>
        </w:tc>
        <w:tc>
          <w:tcPr>
            <w:tcW w:w="1418" w:type="dxa"/>
            <w:vAlign w:val="center"/>
          </w:tcPr>
          <w:p>
            <w:pPr>
              <w:pStyle w:val="25"/>
              <w:ind w:firstLine="0" w:firstLineChars="0"/>
              <w:jc w:val="center"/>
              <w:rPr>
                <w:sz w:val="18"/>
                <w:szCs w:val="18"/>
              </w:rPr>
            </w:pPr>
            <w:r>
              <w:rPr>
                <w:rFonts w:hint="eastAsia"/>
                <w:sz w:val="18"/>
                <w:szCs w:val="18"/>
              </w:rPr>
              <w:t>线路</w:t>
            </w:r>
          </w:p>
        </w:tc>
        <w:tc>
          <w:tcPr>
            <w:tcW w:w="5386" w:type="dxa"/>
            <w:vAlign w:val="center"/>
          </w:tcPr>
          <w:p>
            <w:pPr>
              <w:pStyle w:val="25"/>
              <w:ind w:firstLine="0" w:firstLineChars="0"/>
              <w:rPr>
                <w:sz w:val="18"/>
                <w:szCs w:val="18"/>
              </w:rPr>
            </w:pPr>
            <w:r>
              <w:rPr>
                <w:rFonts w:hint="eastAsia"/>
                <w:sz w:val="18"/>
                <w:szCs w:val="18"/>
              </w:rPr>
              <w:t xml:space="preserve">1.做到整齐、安全、美观 </w:t>
            </w:r>
          </w:p>
          <w:p>
            <w:pPr>
              <w:pStyle w:val="25"/>
              <w:ind w:firstLine="0" w:firstLineChars="0"/>
              <w:rPr>
                <w:sz w:val="18"/>
                <w:szCs w:val="18"/>
              </w:rPr>
            </w:pPr>
            <w:r>
              <w:rPr>
                <w:rFonts w:hint="eastAsia"/>
                <w:sz w:val="18"/>
                <w:szCs w:val="18"/>
              </w:rPr>
              <w:t>2.经过人行通道的，做好安全固定，防止线路缠结、绊脚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Align w:val="center"/>
          </w:tcPr>
          <w:p>
            <w:pPr>
              <w:pStyle w:val="25"/>
              <w:ind w:firstLine="0" w:firstLineChars="0"/>
              <w:jc w:val="center"/>
              <w:rPr>
                <w:sz w:val="18"/>
                <w:szCs w:val="18"/>
              </w:rPr>
            </w:pPr>
            <w:r>
              <w:rPr>
                <w:rFonts w:hint="eastAsia"/>
                <w:sz w:val="18"/>
                <w:szCs w:val="18"/>
              </w:rPr>
              <w:t>2</w:t>
            </w:r>
          </w:p>
        </w:tc>
        <w:tc>
          <w:tcPr>
            <w:tcW w:w="1418" w:type="dxa"/>
            <w:vAlign w:val="center"/>
          </w:tcPr>
          <w:p>
            <w:pPr>
              <w:pStyle w:val="25"/>
              <w:ind w:firstLine="0" w:firstLineChars="0"/>
              <w:jc w:val="center"/>
              <w:rPr>
                <w:sz w:val="18"/>
                <w:szCs w:val="18"/>
              </w:rPr>
            </w:pPr>
            <w:r>
              <w:rPr>
                <w:rFonts w:hint="eastAsia"/>
                <w:sz w:val="18"/>
                <w:szCs w:val="18"/>
              </w:rPr>
              <w:t>麦克风</w:t>
            </w:r>
          </w:p>
        </w:tc>
        <w:tc>
          <w:tcPr>
            <w:tcW w:w="5386" w:type="dxa"/>
            <w:vAlign w:val="center"/>
          </w:tcPr>
          <w:p>
            <w:pPr>
              <w:pStyle w:val="25"/>
              <w:ind w:firstLine="0" w:firstLineChars="0"/>
              <w:rPr>
                <w:sz w:val="18"/>
                <w:szCs w:val="18"/>
              </w:rPr>
            </w:pPr>
            <w:r>
              <w:rPr>
                <w:rFonts w:hint="eastAsia"/>
                <w:sz w:val="18"/>
                <w:szCs w:val="18"/>
              </w:rPr>
              <w:t xml:space="preserve">1.麦克风数量满足会议需要，有线麦克风摆放整齐 </w:t>
            </w:r>
          </w:p>
          <w:p>
            <w:pPr>
              <w:pStyle w:val="25"/>
              <w:ind w:firstLine="0" w:firstLineChars="0"/>
              <w:rPr>
                <w:sz w:val="18"/>
                <w:szCs w:val="18"/>
              </w:rPr>
            </w:pPr>
            <w:r>
              <w:rPr>
                <w:rFonts w:hint="eastAsia"/>
                <w:sz w:val="18"/>
                <w:szCs w:val="18"/>
              </w:rPr>
              <w:t>2.无线麦克风信号接收器充分考虑信号覆盖范围，确保电量充足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04" w:type="dxa"/>
            <w:vAlign w:val="center"/>
          </w:tcPr>
          <w:p>
            <w:pPr>
              <w:pStyle w:val="25"/>
              <w:ind w:firstLine="0" w:firstLineChars="0"/>
              <w:jc w:val="center"/>
              <w:rPr>
                <w:sz w:val="18"/>
                <w:szCs w:val="18"/>
              </w:rPr>
            </w:pPr>
            <w:r>
              <w:rPr>
                <w:rFonts w:hint="eastAsia"/>
                <w:sz w:val="18"/>
                <w:szCs w:val="18"/>
              </w:rPr>
              <w:t>3</w:t>
            </w:r>
          </w:p>
        </w:tc>
        <w:tc>
          <w:tcPr>
            <w:tcW w:w="1418" w:type="dxa"/>
            <w:vAlign w:val="center"/>
          </w:tcPr>
          <w:p>
            <w:pPr>
              <w:pStyle w:val="25"/>
              <w:ind w:firstLine="0" w:firstLineChars="0"/>
              <w:jc w:val="center"/>
              <w:rPr>
                <w:sz w:val="18"/>
                <w:szCs w:val="18"/>
              </w:rPr>
            </w:pPr>
            <w:r>
              <w:rPr>
                <w:rFonts w:hint="eastAsia"/>
                <w:sz w:val="18"/>
                <w:szCs w:val="18"/>
              </w:rPr>
              <w:t>音响</w:t>
            </w:r>
          </w:p>
        </w:tc>
        <w:tc>
          <w:tcPr>
            <w:tcW w:w="5386" w:type="dxa"/>
            <w:vAlign w:val="center"/>
          </w:tcPr>
          <w:p>
            <w:pPr>
              <w:pStyle w:val="25"/>
              <w:ind w:firstLine="0" w:firstLineChars="0"/>
              <w:rPr>
                <w:sz w:val="18"/>
                <w:szCs w:val="18"/>
              </w:rPr>
            </w:pPr>
            <w:r>
              <w:rPr>
                <w:rFonts w:hint="eastAsia"/>
                <w:sz w:val="18"/>
                <w:szCs w:val="18"/>
              </w:rPr>
              <w:t xml:space="preserve">1.会议室音箱科学合理布局，保证会议室全覆盖 </w:t>
            </w:r>
          </w:p>
          <w:p>
            <w:pPr>
              <w:pStyle w:val="25"/>
              <w:ind w:firstLine="0" w:firstLineChars="0"/>
              <w:rPr>
                <w:sz w:val="18"/>
                <w:szCs w:val="18"/>
              </w:rPr>
            </w:pPr>
            <w:r>
              <w:rPr>
                <w:rFonts w:hint="eastAsia"/>
                <w:sz w:val="18"/>
                <w:szCs w:val="18"/>
              </w:rPr>
              <w:t>2.面对主席台应设置反听音响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Align w:val="center"/>
          </w:tcPr>
          <w:p>
            <w:pPr>
              <w:pStyle w:val="25"/>
              <w:ind w:firstLine="0" w:firstLineChars="0"/>
              <w:jc w:val="center"/>
              <w:rPr>
                <w:sz w:val="18"/>
                <w:szCs w:val="18"/>
              </w:rPr>
            </w:pPr>
            <w:r>
              <w:rPr>
                <w:rFonts w:hint="eastAsia"/>
                <w:sz w:val="18"/>
                <w:szCs w:val="18"/>
              </w:rPr>
              <w:t>4</w:t>
            </w:r>
          </w:p>
        </w:tc>
        <w:tc>
          <w:tcPr>
            <w:tcW w:w="1418" w:type="dxa"/>
            <w:vAlign w:val="center"/>
          </w:tcPr>
          <w:p>
            <w:pPr>
              <w:pStyle w:val="25"/>
              <w:ind w:firstLine="0" w:firstLineChars="0"/>
              <w:jc w:val="center"/>
              <w:rPr>
                <w:sz w:val="18"/>
                <w:szCs w:val="18"/>
              </w:rPr>
            </w:pPr>
            <w:r>
              <w:rPr>
                <w:rFonts w:hint="eastAsia"/>
                <w:sz w:val="18"/>
                <w:szCs w:val="18"/>
              </w:rPr>
              <w:t>视频设备</w:t>
            </w:r>
          </w:p>
        </w:tc>
        <w:tc>
          <w:tcPr>
            <w:tcW w:w="5386" w:type="dxa"/>
            <w:vAlign w:val="center"/>
          </w:tcPr>
          <w:p>
            <w:pPr>
              <w:pStyle w:val="25"/>
              <w:ind w:firstLine="0" w:firstLineChars="0"/>
              <w:rPr>
                <w:sz w:val="18"/>
                <w:szCs w:val="18"/>
              </w:rPr>
            </w:pPr>
            <w:r>
              <w:rPr>
                <w:rFonts w:hint="eastAsia"/>
                <w:sz w:val="18"/>
                <w:szCs w:val="18"/>
              </w:rPr>
              <w:t xml:space="preserve">1.视频设备放置于所有参会人员可见处 </w:t>
            </w:r>
          </w:p>
          <w:p>
            <w:pPr>
              <w:pStyle w:val="25"/>
              <w:ind w:firstLine="0" w:firstLineChars="0"/>
              <w:rPr>
                <w:sz w:val="18"/>
                <w:szCs w:val="18"/>
              </w:rPr>
            </w:pPr>
            <w:r>
              <w:rPr>
                <w:rFonts w:hint="eastAsia"/>
                <w:sz w:val="18"/>
                <w:szCs w:val="18"/>
              </w:rPr>
              <w:t>2.与信号源正确连接，画面显示正常</w:t>
            </w:r>
          </w:p>
        </w:tc>
      </w:tr>
    </w:tbl>
    <w:p>
      <w:pPr>
        <w:pStyle w:val="147"/>
        <w:spacing w:before="156" w:beforeLines="50"/>
      </w:pPr>
      <w:r>
        <w:rPr>
          <w:rFonts w:hint="eastAsia"/>
        </w:rPr>
        <w:t>布置完成后，应对灯光、空调、音控设备、音频设备、视频设备、备份设备等进行调试，调试要求应符合表2的规定。</w:t>
      </w:r>
    </w:p>
    <w:p>
      <w:pPr>
        <w:pStyle w:val="128"/>
        <w:spacing w:before="156" w:after="156"/>
      </w:pPr>
      <w:r>
        <w:rPr>
          <w:rFonts w:hint="eastAsia"/>
        </w:rPr>
        <w:t>设施设备</w:t>
      </w:r>
      <w:r>
        <w:t>布置要求</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4"/>
        <w:gridCol w:w="1418"/>
        <w:gridCol w:w="6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Align w:val="center"/>
          </w:tcPr>
          <w:p>
            <w:pPr>
              <w:pStyle w:val="25"/>
              <w:ind w:firstLine="0" w:firstLineChars="0"/>
              <w:jc w:val="center"/>
              <w:rPr>
                <w:sz w:val="18"/>
                <w:szCs w:val="18"/>
              </w:rPr>
            </w:pPr>
            <w:r>
              <w:rPr>
                <w:rFonts w:hint="eastAsia"/>
                <w:sz w:val="18"/>
                <w:szCs w:val="18"/>
              </w:rPr>
              <w:t>序号</w:t>
            </w:r>
          </w:p>
        </w:tc>
        <w:tc>
          <w:tcPr>
            <w:tcW w:w="1418" w:type="dxa"/>
            <w:vAlign w:val="center"/>
          </w:tcPr>
          <w:p>
            <w:pPr>
              <w:pStyle w:val="25"/>
              <w:ind w:firstLine="0" w:firstLineChars="0"/>
              <w:jc w:val="center"/>
              <w:rPr>
                <w:sz w:val="18"/>
                <w:szCs w:val="18"/>
              </w:rPr>
            </w:pPr>
            <w:r>
              <w:rPr>
                <w:rFonts w:hint="eastAsia"/>
                <w:sz w:val="18"/>
                <w:szCs w:val="18"/>
              </w:rPr>
              <w:t>项目</w:t>
            </w:r>
          </w:p>
        </w:tc>
        <w:tc>
          <w:tcPr>
            <w:tcW w:w="6520" w:type="dxa"/>
            <w:vAlign w:val="center"/>
          </w:tcPr>
          <w:p>
            <w:pPr>
              <w:pStyle w:val="25"/>
              <w:ind w:firstLine="0" w:firstLineChars="0"/>
              <w:jc w:val="center"/>
              <w:rPr>
                <w:sz w:val="18"/>
                <w:szCs w:val="18"/>
              </w:rPr>
            </w:pPr>
            <w:r>
              <w:rPr>
                <w:rFonts w:hint="eastAsia"/>
                <w:sz w:val="18"/>
                <w:szCs w:val="18"/>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Align w:val="center"/>
          </w:tcPr>
          <w:p>
            <w:pPr>
              <w:pStyle w:val="25"/>
              <w:ind w:firstLine="0" w:firstLineChars="0"/>
              <w:jc w:val="center"/>
              <w:rPr>
                <w:sz w:val="18"/>
                <w:szCs w:val="18"/>
              </w:rPr>
            </w:pPr>
            <w:r>
              <w:rPr>
                <w:rFonts w:hint="eastAsia"/>
                <w:sz w:val="18"/>
                <w:szCs w:val="18"/>
              </w:rPr>
              <w:t>1</w:t>
            </w:r>
          </w:p>
        </w:tc>
        <w:tc>
          <w:tcPr>
            <w:tcW w:w="1418" w:type="dxa"/>
            <w:vAlign w:val="center"/>
          </w:tcPr>
          <w:p>
            <w:pPr>
              <w:pStyle w:val="25"/>
              <w:ind w:firstLine="0" w:firstLineChars="0"/>
              <w:jc w:val="center"/>
              <w:rPr>
                <w:sz w:val="18"/>
                <w:szCs w:val="18"/>
              </w:rPr>
            </w:pPr>
            <w:r>
              <w:rPr>
                <w:rFonts w:hint="eastAsia"/>
                <w:sz w:val="18"/>
                <w:szCs w:val="18"/>
              </w:rPr>
              <w:t>灯光</w:t>
            </w:r>
          </w:p>
        </w:tc>
        <w:tc>
          <w:tcPr>
            <w:tcW w:w="6520" w:type="dxa"/>
            <w:vAlign w:val="center"/>
          </w:tcPr>
          <w:p>
            <w:pPr>
              <w:pStyle w:val="25"/>
              <w:ind w:firstLine="0" w:firstLineChars="0"/>
              <w:rPr>
                <w:sz w:val="18"/>
                <w:szCs w:val="18"/>
              </w:rPr>
            </w:pPr>
            <w:r>
              <w:rPr>
                <w:rFonts w:hint="eastAsia"/>
                <w:sz w:val="18"/>
                <w:szCs w:val="18"/>
              </w:rPr>
              <w:t>灯光亮度与颜色正常，无损坏，应单独检查投影使用时的灯光效果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Align w:val="center"/>
          </w:tcPr>
          <w:p>
            <w:pPr>
              <w:pStyle w:val="25"/>
              <w:ind w:firstLine="0" w:firstLineChars="0"/>
              <w:jc w:val="center"/>
              <w:rPr>
                <w:sz w:val="18"/>
                <w:szCs w:val="18"/>
              </w:rPr>
            </w:pPr>
            <w:r>
              <w:rPr>
                <w:rFonts w:hint="eastAsia"/>
                <w:sz w:val="18"/>
                <w:szCs w:val="18"/>
              </w:rPr>
              <w:t>2</w:t>
            </w:r>
          </w:p>
        </w:tc>
        <w:tc>
          <w:tcPr>
            <w:tcW w:w="1418" w:type="dxa"/>
            <w:vAlign w:val="center"/>
          </w:tcPr>
          <w:p>
            <w:pPr>
              <w:pStyle w:val="25"/>
              <w:ind w:firstLine="0" w:firstLineChars="0"/>
              <w:jc w:val="center"/>
              <w:rPr>
                <w:sz w:val="18"/>
                <w:szCs w:val="18"/>
              </w:rPr>
            </w:pPr>
            <w:r>
              <w:rPr>
                <w:rFonts w:hint="eastAsia"/>
                <w:sz w:val="18"/>
                <w:szCs w:val="18"/>
              </w:rPr>
              <w:t>空调</w:t>
            </w:r>
          </w:p>
        </w:tc>
        <w:tc>
          <w:tcPr>
            <w:tcW w:w="6520" w:type="dxa"/>
            <w:vAlign w:val="center"/>
          </w:tcPr>
          <w:p>
            <w:pPr>
              <w:pStyle w:val="25"/>
              <w:ind w:firstLine="0" w:firstLineChars="0"/>
              <w:rPr>
                <w:sz w:val="18"/>
                <w:szCs w:val="18"/>
              </w:rPr>
            </w:pPr>
            <w:r>
              <w:rPr>
                <w:rFonts w:hint="eastAsia"/>
                <w:sz w:val="18"/>
                <w:szCs w:val="18"/>
              </w:rPr>
              <w:t>空调运行正常，夏季温度控制不低于26℃，冬季应不高于20℃，可根据会场情况调整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04" w:type="dxa"/>
            <w:vAlign w:val="center"/>
          </w:tcPr>
          <w:p>
            <w:pPr>
              <w:pStyle w:val="25"/>
              <w:ind w:firstLine="0" w:firstLineChars="0"/>
              <w:jc w:val="center"/>
              <w:rPr>
                <w:sz w:val="18"/>
                <w:szCs w:val="18"/>
              </w:rPr>
            </w:pPr>
            <w:r>
              <w:rPr>
                <w:rFonts w:hint="eastAsia"/>
                <w:sz w:val="18"/>
                <w:szCs w:val="18"/>
              </w:rPr>
              <w:t>3</w:t>
            </w:r>
          </w:p>
        </w:tc>
        <w:tc>
          <w:tcPr>
            <w:tcW w:w="1418" w:type="dxa"/>
            <w:vAlign w:val="center"/>
          </w:tcPr>
          <w:p>
            <w:pPr>
              <w:pStyle w:val="25"/>
              <w:ind w:firstLine="0" w:firstLineChars="0"/>
              <w:jc w:val="center"/>
              <w:rPr>
                <w:sz w:val="18"/>
                <w:szCs w:val="18"/>
              </w:rPr>
            </w:pPr>
            <w:r>
              <w:rPr>
                <w:rFonts w:hint="eastAsia"/>
                <w:sz w:val="18"/>
                <w:szCs w:val="18"/>
              </w:rPr>
              <w:t>音控设备</w:t>
            </w:r>
          </w:p>
        </w:tc>
        <w:tc>
          <w:tcPr>
            <w:tcW w:w="6520" w:type="dxa"/>
            <w:vAlign w:val="center"/>
          </w:tcPr>
          <w:p>
            <w:pPr>
              <w:pStyle w:val="25"/>
              <w:ind w:firstLine="0" w:firstLineChars="0"/>
              <w:rPr>
                <w:sz w:val="18"/>
                <w:szCs w:val="18"/>
              </w:rPr>
            </w:pPr>
            <w:r>
              <w:rPr>
                <w:rFonts w:hint="eastAsia"/>
                <w:sz w:val="18"/>
                <w:szCs w:val="18"/>
              </w:rPr>
              <w:t>时序电源、调音台、混音器、音频处理器、功放、扬声器、会议电脑、高清混合矩阵运行参数正常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Align w:val="center"/>
          </w:tcPr>
          <w:p>
            <w:pPr>
              <w:pStyle w:val="25"/>
              <w:ind w:firstLine="0" w:firstLineChars="0"/>
              <w:jc w:val="center"/>
              <w:rPr>
                <w:sz w:val="18"/>
                <w:szCs w:val="18"/>
              </w:rPr>
            </w:pPr>
            <w:r>
              <w:rPr>
                <w:rFonts w:hint="eastAsia"/>
                <w:sz w:val="18"/>
                <w:szCs w:val="18"/>
              </w:rPr>
              <w:t>4</w:t>
            </w:r>
          </w:p>
        </w:tc>
        <w:tc>
          <w:tcPr>
            <w:tcW w:w="1418" w:type="dxa"/>
            <w:vAlign w:val="center"/>
          </w:tcPr>
          <w:p>
            <w:pPr>
              <w:pStyle w:val="25"/>
              <w:ind w:firstLine="0" w:firstLineChars="0"/>
              <w:jc w:val="center"/>
              <w:rPr>
                <w:sz w:val="18"/>
                <w:szCs w:val="18"/>
              </w:rPr>
            </w:pPr>
            <w:r>
              <w:rPr>
                <w:rFonts w:hint="eastAsia"/>
                <w:sz w:val="18"/>
                <w:szCs w:val="18"/>
              </w:rPr>
              <w:t>音频设备</w:t>
            </w:r>
          </w:p>
        </w:tc>
        <w:tc>
          <w:tcPr>
            <w:tcW w:w="6520" w:type="dxa"/>
            <w:vAlign w:val="center"/>
          </w:tcPr>
          <w:p>
            <w:pPr>
              <w:pStyle w:val="25"/>
              <w:ind w:firstLine="0" w:firstLineChars="0"/>
              <w:rPr>
                <w:sz w:val="18"/>
                <w:szCs w:val="18"/>
              </w:rPr>
            </w:pPr>
            <w:r>
              <w:rPr>
                <w:rFonts w:hint="eastAsia"/>
                <w:sz w:val="18"/>
                <w:szCs w:val="18"/>
              </w:rPr>
              <w:t xml:space="preserve">1.音响设备与麦克风正确连接，避免出现杂音、电流声、音频干扰等 </w:t>
            </w:r>
          </w:p>
          <w:p>
            <w:pPr>
              <w:pStyle w:val="25"/>
              <w:ind w:firstLine="0" w:firstLineChars="0"/>
              <w:rPr>
                <w:sz w:val="18"/>
                <w:szCs w:val="18"/>
              </w:rPr>
            </w:pPr>
            <w:r>
              <w:rPr>
                <w:rFonts w:hint="eastAsia"/>
                <w:sz w:val="18"/>
                <w:szCs w:val="18"/>
              </w:rPr>
              <w:t xml:space="preserve">2.每个麦克风都应试音，以不同位置、最远距离可以听清、音量适中为准 </w:t>
            </w:r>
          </w:p>
          <w:p>
            <w:pPr>
              <w:pStyle w:val="25"/>
              <w:ind w:firstLine="0" w:firstLineChars="0"/>
              <w:rPr>
                <w:sz w:val="18"/>
                <w:szCs w:val="18"/>
              </w:rPr>
            </w:pPr>
            <w:r>
              <w:rPr>
                <w:rFonts w:hint="eastAsia"/>
                <w:sz w:val="18"/>
                <w:szCs w:val="18"/>
              </w:rPr>
              <w:t>3.无线麦克风电池电量充足并配有备用电池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Align w:val="center"/>
          </w:tcPr>
          <w:p>
            <w:pPr>
              <w:pStyle w:val="25"/>
              <w:ind w:firstLine="0" w:firstLineChars="0"/>
              <w:jc w:val="center"/>
              <w:rPr>
                <w:sz w:val="18"/>
                <w:szCs w:val="18"/>
              </w:rPr>
            </w:pPr>
            <w:r>
              <w:rPr>
                <w:rFonts w:hint="eastAsia"/>
                <w:sz w:val="18"/>
                <w:szCs w:val="18"/>
              </w:rPr>
              <w:t>5</w:t>
            </w:r>
          </w:p>
        </w:tc>
        <w:tc>
          <w:tcPr>
            <w:tcW w:w="1418" w:type="dxa"/>
            <w:vAlign w:val="center"/>
          </w:tcPr>
          <w:p>
            <w:pPr>
              <w:pStyle w:val="25"/>
              <w:ind w:firstLine="0" w:firstLineChars="0"/>
              <w:jc w:val="center"/>
              <w:rPr>
                <w:sz w:val="18"/>
                <w:szCs w:val="18"/>
              </w:rPr>
            </w:pPr>
            <w:r>
              <w:rPr>
                <w:rFonts w:hint="eastAsia"/>
                <w:sz w:val="18"/>
                <w:szCs w:val="18"/>
              </w:rPr>
              <w:t>视频设备</w:t>
            </w:r>
          </w:p>
        </w:tc>
        <w:tc>
          <w:tcPr>
            <w:tcW w:w="6520" w:type="dxa"/>
            <w:vAlign w:val="center"/>
          </w:tcPr>
          <w:p>
            <w:pPr>
              <w:pStyle w:val="25"/>
              <w:ind w:firstLine="0" w:firstLineChars="0"/>
              <w:jc w:val="left"/>
              <w:rPr>
                <w:sz w:val="18"/>
                <w:szCs w:val="18"/>
              </w:rPr>
            </w:pPr>
            <w:r>
              <w:rPr>
                <w:rFonts w:hint="eastAsia"/>
                <w:sz w:val="18"/>
                <w:szCs w:val="18"/>
              </w:rPr>
              <w:t xml:space="preserve">1.LED 屏启动正常，投影机及配套幕布运行正常 </w:t>
            </w:r>
          </w:p>
          <w:p>
            <w:pPr>
              <w:pStyle w:val="25"/>
              <w:ind w:firstLine="0" w:firstLineChars="0"/>
              <w:jc w:val="left"/>
              <w:rPr>
                <w:sz w:val="18"/>
                <w:szCs w:val="18"/>
              </w:rPr>
            </w:pPr>
            <w:r>
              <w:rPr>
                <w:rFonts w:hint="eastAsia"/>
                <w:sz w:val="18"/>
                <w:szCs w:val="18"/>
              </w:rPr>
              <w:t xml:space="preserve">2.电视机运行状态正常 </w:t>
            </w:r>
          </w:p>
          <w:p>
            <w:pPr>
              <w:pStyle w:val="25"/>
              <w:ind w:firstLine="0" w:firstLineChars="0"/>
              <w:jc w:val="left"/>
              <w:rPr>
                <w:sz w:val="18"/>
                <w:szCs w:val="18"/>
              </w:rPr>
            </w:pPr>
            <w:r>
              <w:rPr>
                <w:rFonts w:hint="eastAsia"/>
                <w:sz w:val="18"/>
                <w:szCs w:val="18"/>
              </w:rPr>
              <w:t xml:space="preserve">3.信号无缝切换台运行状态正常 </w:t>
            </w:r>
          </w:p>
          <w:p>
            <w:pPr>
              <w:pStyle w:val="25"/>
              <w:ind w:firstLine="0" w:firstLineChars="0"/>
              <w:jc w:val="left"/>
              <w:rPr>
                <w:sz w:val="18"/>
                <w:szCs w:val="18"/>
              </w:rPr>
            </w:pPr>
            <w:r>
              <w:rPr>
                <w:rFonts w:hint="eastAsia"/>
                <w:sz w:val="18"/>
                <w:szCs w:val="18"/>
              </w:rPr>
              <w:t xml:space="preserve">4.网络及信号线路正常 </w:t>
            </w:r>
          </w:p>
          <w:p>
            <w:pPr>
              <w:pStyle w:val="25"/>
              <w:ind w:firstLine="0" w:firstLineChars="0"/>
              <w:jc w:val="left"/>
              <w:rPr>
                <w:sz w:val="18"/>
                <w:szCs w:val="18"/>
              </w:rPr>
            </w:pPr>
            <w:r>
              <w:rPr>
                <w:rFonts w:hint="eastAsia"/>
                <w:sz w:val="18"/>
                <w:szCs w:val="18"/>
              </w:rPr>
              <w:t xml:space="preserve">5.音视频素材正常 </w:t>
            </w:r>
          </w:p>
          <w:p>
            <w:pPr>
              <w:pStyle w:val="25"/>
              <w:ind w:firstLine="0" w:firstLineChars="0"/>
              <w:jc w:val="left"/>
              <w:rPr>
                <w:sz w:val="18"/>
                <w:szCs w:val="18"/>
              </w:rPr>
            </w:pPr>
            <w:r>
              <w:rPr>
                <w:rFonts w:hint="eastAsia"/>
                <w:sz w:val="18"/>
                <w:szCs w:val="18"/>
              </w:rPr>
              <w:t>6.会场使用笔记本电脑运行正常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Align w:val="center"/>
          </w:tcPr>
          <w:p>
            <w:pPr>
              <w:pStyle w:val="25"/>
              <w:ind w:firstLine="0" w:firstLineChars="0"/>
              <w:jc w:val="center"/>
              <w:rPr>
                <w:sz w:val="18"/>
                <w:szCs w:val="18"/>
              </w:rPr>
            </w:pPr>
            <w:r>
              <w:rPr>
                <w:rFonts w:hint="eastAsia"/>
                <w:sz w:val="18"/>
                <w:szCs w:val="18"/>
              </w:rPr>
              <w:t>6</w:t>
            </w:r>
          </w:p>
        </w:tc>
        <w:tc>
          <w:tcPr>
            <w:tcW w:w="1418" w:type="dxa"/>
            <w:vAlign w:val="center"/>
          </w:tcPr>
          <w:p>
            <w:pPr>
              <w:pStyle w:val="25"/>
              <w:ind w:firstLine="0" w:firstLineChars="0"/>
              <w:jc w:val="center"/>
              <w:rPr>
                <w:sz w:val="18"/>
                <w:szCs w:val="18"/>
              </w:rPr>
            </w:pPr>
            <w:r>
              <w:rPr>
                <w:rFonts w:hint="eastAsia"/>
                <w:sz w:val="18"/>
                <w:szCs w:val="18"/>
              </w:rPr>
              <w:t>备份设备</w:t>
            </w:r>
          </w:p>
        </w:tc>
        <w:tc>
          <w:tcPr>
            <w:tcW w:w="6520" w:type="dxa"/>
            <w:vAlign w:val="center"/>
          </w:tcPr>
          <w:p>
            <w:pPr>
              <w:pStyle w:val="25"/>
              <w:ind w:firstLine="0" w:firstLineChars="0"/>
              <w:jc w:val="left"/>
              <w:rPr>
                <w:sz w:val="18"/>
                <w:szCs w:val="18"/>
              </w:rPr>
            </w:pPr>
            <w:r>
              <w:rPr>
                <w:rFonts w:hint="eastAsia"/>
                <w:sz w:val="18"/>
                <w:szCs w:val="18"/>
              </w:rPr>
              <w:t xml:space="preserve">1.UPS 运行状态正常 </w:t>
            </w:r>
          </w:p>
          <w:p>
            <w:pPr>
              <w:pStyle w:val="25"/>
              <w:ind w:firstLine="0" w:firstLineChars="0"/>
              <w:jc w:val="left"/>
              <w:rPr>
                <w:sz w:val="18"/>
                <w:szCs w:val="18"/>
              </w:rPr>
            </w:pPr>
            <w:r>
              <w:rPr>
                <w:rFonts w:hint="eastAsia"/>
                <w:sz w:val="18"/>
                <w:szCs w:val="18"/>
              </w:rPr>
              <w:t xml:space="preserve">2.备用设备启动运行正常 </w:t>
            </w:r>
          </w:p>
          <w:p>
            <w:pPr>
              <w:pStyle w:val="25"/>
              <w:ind w:firstLine="0" w:firstLineChars="0"/>
              <w:jc w:val="left"/>
              <w:rPr>
                <w:sz w:val="18"/>
                <w:szCs w:val="18"/>
              </w:rPr>
            </w:pPr>
            <w:r>
              <w:rPr>
                <w:rFonts w:hint="eastAsia"/>
                <w:sz w:val="18"/>
                <w:szCs w:val="18"/>
              </w:rPr>
              <w:t xml:space="preserve">3.备份设备切换正常 </w:t>
            </w:r>
          </w:p>
          <w:p>
            <w:pPr>
              <w:pStyle w:val="25"/>
              <w:ind w:firstLine="0" w:firstLineChars="0"/>
              <w:jc w:val="left"/>
              <w:rPr>
                <w:sz w:val="18"/>
                <w:szCs w:val="18"/>
              </w:rPr>
            </w:pPr>
            <w:r>
              <w:rPr>
                <w:rFonts w:hint="eastAsia"/>
                <w:sz w:val="18"/>
                <w:szCs w:val="18"/>
              </w:rPr>
              <w:t>4.备用无线麦克风到位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04" w:type="dxa"/>
            <w:vAlign w:val="center"/>
          </w:tcPr>
          <w:p>
            <w:pPr>
              <w:pStyle w:val="25"/>
              <w:ind w:firstLine="0" w:firstLineChars="0"/>
              <w:jc w:val="center"/>
              <w:rPr>
                <w:sz w:val="18"/>
                <w:szCs w:val="18"/>
              </w:rPr>
            </w:pPr>
            <w:r>
              <w:rPr>
                <w:rFonts w:hint="eastAsia"/>
                <w:sz w:val="18"/>
                <w:szCs w:val="18"/>
              </w:rPr>
              <w:t>7</w:t>
            </w:r>
          </w:p>
        </w:tc>
        <w:tc>
          <w:tcPr>
            <w:tcW w:w="1418" w:type="dxa"/>
            <w:vAlign w:val="center"/>
          </w:tcPr>
          <w:p>
            <w:pPr>
              <w:pStyle w:val="25"/>
              <w:ind w:firstLine="0" w:firstLineChars="0"/>
              <w:jc w:val="center"/>
              <w:rPr>
                <w:sz w:val="18"/>
                <w:szCs w:val="18"/>
              </w:rPr>
            </w:pPr>
            <w:r>
              <w:rPr>
                <w:rFonts w:hint="eastAsia"/>
                <w:sz w:val="18"/>
                <w:szCs w:val="18"/>
              </w:rPr>
              <w:t>其他设施设备</w:t>
            </w:r>
          </w:p>
        </w:tc>
        <w:tc>
          <w:tcPr>
            <w:tcW w:w="6520" w:type="dxa"/>
            <w:vAlign w:val="center"/>
          </w:tcPr>
          <w:p>
            <w:pPr>
              <w:pStyle w:val="25"/>
              <w:ind w:firstLine="0" w:firstLineChars="0"/>
              <w:rPr>
                <w:sz w:val="18"/>
                <w:szCs w:val="18"/>
              </w:rPr>
            </w:pPr>
            <w:r>
              <w:rPr>
                <w:rFonts w:hint="eastAsia"/>
                <w:sz w:val="18"/>
                <w:szCs w:val="18"/>
              </w:rPr>
              <w:t xml:space="preserve">1.地插、强弱电线路正常 </w:t>
            </w:r>
          </w:p>
          <w:p>
            <w:pPr>
              <w:pStyle w:val="25"/>
              <w:ind w:firstLine="0" w:firstLineChars="0"/>
              <w:rPr>
                <w:sz w:val="18"/>
                <w:szCs w:val="18"/>
              </w:rPr>
            </w:pPr>
            <w:r>
              <w:rPr>
                <w:rFonts w:hint="eastAsia"/>
                <w:sz w:val="18"/>
                <w:szCs w:val="18"/>
              </w:rPr>
              <w:t>2.电动幕布运行正常</w:t>
            </w:r>
          </w:p>
        </w:tc>
      </w:tr>
    </w:tbl>
    <w:p>
      <w:pPr>
        <w:pStyle w:val="147"/>
        <w:spacing w:before="156" w:beforeLines="50"/>
      </w:pPr>
      <w:r>
        <w:rPr>
          <w:rFonts w:hint="eastAsia"/>
        </w:rPr>
        <w:t xml:space="preserve">若是视频会议、网络会议，应协同相关部门做好准备和保障工作。技术人员在会议前2 h对设施设备等进行调试。作为分会场使用时，会议前1 h配合主会场进行声音、图像测试；作为主会场使用时，提前2 h开机，会议前1 h对分会场进行点名测试。 </w:t>
      </w:r>
    </w:p>
    <w:p>
      <w:pPr>
        <w:pStyle w:val="147"/>
      </w:pPr>
      <w:r>
        <w:rPr>
          <w:rFonts w:hint="eastAsia"/>
        </w:rPr>
        <w:t xml:space="preserve">设备设施调试完毕后应由专人看管，并应在明显处张贴标识，防止误撞、误扯。 </w:t>
      </w:r>
    </w:p>
    <w:p>
      <w:pPr>
        <w:pStyle w:val="147"/>
      </w:pPr>
      <w:r>
        <w:rPr>
          <w:rFonts w:hint="eastAsia"/>
        </w:rPr>
        <w:t xml:space="preserve">邀请媒体的会议，宜设置摄影摄像和采访区域。 </w:t>
      </w:r>
    </w:p>
    <w:p>
      <w:pPr>
        <w:pStyle w:val="147"/>
      </w:pPr>
      <w:r>
        <w:rPr>
          <w:rFonts w:hint="eastAsia"/>
        </w:rPr>
        <w:t xml:space="preserve">会前暖场音乐按主办方要求，宜播放适宜主题且具有广东特色的背景音乐。 </w:t>
      </w:r>
    </w:p>
    <w:p>
      <w:pPr>
        <w:pStyle w:val="147"/>
      </w:pPr>
      <w:r>
        <w:rPr>
          <w:rFonts w:hint="eastAsia"/>
        </w:rPr>
        <w:t xml:space="preserve">保密会议会前准备还应满足附录F.1的要求。 </w:t>
      </w:r>
    </w:p>
    <w:p>
      <w:pPr>
        <w:pStyle w:val="147"/>
      </w:pPr>
      <w:r>
        <w:rPr>
          <w:rFonts w:hint="eastAsia"/>
        </w:rPr>
        <w:t>公共卫生事件防控阶段会议会前准备见附录G.1。</w:t>
      </w:r>
    </w:p>
    <w:p>
      <w:pPr>
        <w:pStyle w:val="43"/>
        <w:spacing w:before="156" w:after="156"/>
      </w:pPr>
      <w:bookmarkStart w:id="20" w:name="_Toc118210172"/>
      <w:r>
        <w:rPr>
          <w:rFonts w:hint="eastAsia"/>
        </w:rPr>
        <w:t>检查</w:t>
      </w:r>
      <w:r>
        <w:t>验收</w:t>
      </w:r>
      <w:bookmarkEnd w:id="20"/>
    </w:p>
    <w:p>
      <w:pPr>
        <w:pStyle w:val="147"/>
      </w:pPr>
      <w:r>
        <w:rPr>
          <w:rFonts w:hint="eastAsia"/>
        </w:rPr>
        <w:t>会务主管对会场清洁卫生、会场布置、设备设施布置和调试情况进行检查验收，检查验收应符合本文件中</w:t>
      </w:r>
      <w:r>
        <w:t>5</w:t>
      </w:r>
      <w:r>
        <w:rPr>
          <w:rFonts w:hint="eastAsia"/>
        </w:rPr>
        <w:t>.5和</w:t>
      </w:r>
      <w:r>
        <w:t>5</w:t>
      </w:r>
      <w:r>
        <w:rPr>
          <w:rFonts w:hint="eastAsia"/>
        </w:rPr>
        <w:t xml:space="preserve">.6的规定。 </w:t>
      </w:r>
    </w:p>
    <w:p>
      <w:pPr>
        <w:pStyle w:val="147"/>
      </w:pPr>
      <w:r>
        <w:rPr>
          <w:rFonts w:hint="eastAsia"/>
        </w:rPr>
        <w:t>会议开始前1 h，会务主管邀请会议主办方对会前准备工作进行验收并确认。</w:t>
      </w:r>
    </w:p>
    <w:p>
      <w:pPr>
        <w:pStyle w:val="46"/>
      </w:pPr>
      <w:bookmarkStart w:id="21" w:name="_Toc118210173"/>
      <w:r>
        <w:rPr>
          <w:rFonts w:hint="eastAsia"/>
        </w:rPr>
        <w:t>会中服务</w:t>
      </w:r>
      <w:bookmarkEnd w:id="21"/>
      <w:r>
        <w:rPr>
          <w:rFonts w:hint="eastAsia"/>
        </w:rPr>
        <w:t xml:space="preserve"> </w:t>
      </w:r>
    </w:p>
    <w:p>
      <w:pPr>
        <w:pStyle w:val="43"/>
        <w:spacing w:before="156" w:after="156"/>
      </w:pPr>
      <w:bookmarkStart w:id="22" w:name="_Toc118210174"/>
      <w:r>
        <w:rPr>
          <w:rFonts w:hint="eastAsia"/>
        </w:rPr>
        <w:t>引领服务</w:t>
      </w:r>
      <w:bookmarkEnd w:id="22"/>
      <w:r>
        <w:rPr>
          <w:rFonts w:hint="eastAsia"/>
        </w:rPr>
        <w:t xml:space="preserve"> </w:t>
      </w:r>
    </w:p>
    <w:p>
      <w:pPr>
        <w:pStyle w:val="147"/>
      </w:pPr>
      <w:r>
        <w:rPr>
          <w:rFonts w:hint="eastAsia"/>
        </w:rPr>
        <w:t xml:space="preserve">会议服务员应着统一工作服提前30 min在会场门口迎候，指引参会人员签到并引领领导至候会室。会议服务员应提醒参会人员将手机调至静音状态。 </w:t>
      </w:r>
    </w:p>
    <w:p>
      <w:pPr>
        <w:pStyle w:val="147"/>
      </w:pPr>
      <w:r>
        <w:rPr>
          <w:rFonts w:hint="eastAsia"/>
        </w:rPr>
        <w:t xml:space="preserve">会议即将开始前应关闭暖场音乐，临会前3 min宜提供提醒服务，临会前1 min引领领导出席。 </w:t>
      </w:r>
    </w:p>
    <w:p>
      <w:pPr>
        <w:pStyle w:val="147"/>
      </w:pPr>
      <w:r>
        <w:rPr>
          <w:rFonts w:hint="eastAsia"/>
        </w:rPr>
        <w:t xml:space="preserve">会议服务员配合安保人员做好参会人员车辆通行、停放等工作。如遇下雨应配备雨具并提供存放雨具场所。 </w:t>
      </w:r>
    </w:p>
    <w:p>
      <w:pPr>
        <w:pStyle w:val="43"/>
        <w:spacing w:before="156" w:after="156"/>
      </w:pPr>
      <w:bookmarkStart w:id="23" w:name="_Toc118210175"/>
      <w:r>
        <w:rPr>
          <w:rFonts w:hint="eastAsia"/>
        </w:rPr>
        <w:t>茶水服务</w:t>
      </w:r>
      <w:bookmarkEnd w:id="23"/>
      <w:r>
        <w:rPr>
          <w:rFonts w:hint="eastAsia"/>
        </w:rPr>
        <w:t xml:space="preserve"> </w:t>
      </w:r>
    </w:p>
    <w:p>
      <w:pPr>
        <w:pStyle w:val="47"/>
        <w:spacing w:before="156" w:after="156"/>
      </w:pPr>
      <w:r>
        <w:rPr>
          <w:rFonts w:hint="eastAsia"/>
        </w:rPr>
        <w:t xml:space="preserve">斟茶 </w:t>
      </w:r>
    </w:p>
    <w:p>
      <w:pPr>
        <w:pStyle w:val="25"/>
      </w:pPr>
      <w:r>
        <w:rPr>
          <w:rFonts w:hint="eastAsia"/>
        </w:rPr>
        <w:t xml:space="preserve">根据气候变化和场内温度斟茶，夏季宜在临会前30 min斟倒第1次茶水，冬季宜在临会前15 min 斟倒第1次茶水，斟7分满。 </w:t>
      </w:r>
    </w:p>
    <w:p>
      <w:pPr>
        <w:pStyle w:val="47"/>
        <w:spacing w:before="156" w:after="156"/>
      </w:pPr>
      <w:r>
        <w:rPr>
          <w:rFonts w:hint="eastAsia"/>
        </w:rPr>
        <w:t xml:space="preserve">续茶 </w:t>
      </w:r>
    </w:p>
    <w:p>
      <w:pPr>
        <w:pStyle w:val="114"/>
      </w:pPr>
      <w:r>
        <w:rPr>
          <w:rFonts w:hint="eastAsia"/>
        </w:rPr>
        <w:t xml:space="preserve">会议开始后宜每隔30 min续1次茶水。可根据饮茶速度或会议主办方要求，适当调整续茶间隔时间。 </w:t>
      </w:r>
    </w:p>
    <w:p>
      <w:pPr>
        <w:pStyle w:val="114"/>
      </w:pPr>
      <w:r>
        <w:rPr>
          <w:rFonts w:hint="eastAsia"/>
        </w:rPr>
        <w:t xml:space="preserve">会议服务员宜按照先上级再下级、先客后主依次进行续茶。续茶时，壶口不应正对参会人员，不应使茶具发出响声，沏茶续水以7分满为宜。续茶后，杯盖留有适当缝隙，将杯耳转向参会人员45°放好。 </w:t>
      </w:r>
    </w:p>
    <w:p>
      <w:pPr>
        <w:pStyle w:val="114"/>
      </w:pPr>
      <w:r>
        <w:rPr>
          <w:rFonts w:hint="eastAsia"/>
        </w:rPr>
        <w:t xml:space="preserve">会议过程中有参会人员迟到或者更换人员情况，5 min内更换相应的茶水。 </w:t>
      </w:r>
    </w:p>
    <w:p>
      <w:pPr>
        <w:pStyle w:val="114"/>
      </w:pPr>
      <w:r>
        <w:rPr>
          <w:rFonts w:hint="eastAsia"/>
        </w:rPr>
        <w:t xml:space="preserve">续茶后，会议服务员有序退出会场，并关好会场大门。 </w:t>
      </w:r>
    </w:p>
    <w:p>
      <w:pPr>
        <w:pStyle w:val="43"/>
        <w:spacing w:before="156" w:after="156"/>
      </w:pPr>
      <w:bookmarkStart w:id="24" w:name="_Toc118210176"/>
      <w:r>
        <w:rPr>
          <w:rFonts w:hint="eastAsia"/>
        </w:rPr>
        <w:t>设备保障</w:t>
      </w:r>
      <w:bookmarkEnd w:id="24"/>
      <w:r>
        <w:rPr>
          <w:rFonts w:hint="eastAsia"/>
        </w:rPr>
        <w:t xml:space="preserve"> </w:t>
      </w:r>
    </w:p>
    <w:p>
      <w:pPr>
        <w:pStyle w:val="147"/>
      </w:pPr>
      <w:r>
        <w:rPr>
          <w:rFonts w:hint="eastAsia"/>
        </w:rPr>
        <w:t xml:space="preserve">临会前应启动备用设备。会议期间，技术人员应现场值守，根据会议情况及时调节音响、音频、视频等设备。 </w:t>
      </w:r>
    </w:p>
    <w:p>
      <w:pPr>
        <w:pStyle w:val="147"/>
      </w:pPr>
      <w:r>
        <w:rPr>
          <w:rFonts w:hint="eastAsia"/>
        </w:rPr>
        <w:t xml:space="preserve">技术人员按照主办方需求做好会议的录音录像。 </w:t>
      </w:r>
    </w:p>
    <w:p>
      <w:pPr>
        <w:pStyle w:val="43"/>
        <w:spacing w:before="156" w:after="156"/>
      </w:pPr>
      <w:bookmarkStart w:id="25" w:name="_Toc118210177"/>
      <w:r>
        <w:rPr>
          <w:rFonts w:hint="eastAsia"/>
        </w:rPr>
        <w:t>会场巡查</w:t>
      </w:r>
      <w:bookmarkEnd w:id="25"/>
      <w:r>
        <w:rPr>
          <w:rFonts w:hint="eastAsia"/>
        </w:rPr>
        <w:t xml:space="preserve"> </w:t>
      </w:r>
    </w:p>
    <w:p>
      <w:pPr>
        <w:pStyle w:val="147"/>
      </w:pPr>
      <w:r>
        <w:rPr>
          <w:rFonts w:hint="eastAsia"/>
        </w:rPr>
        <w:t xml:space="preserve">会场内外应分别安排会议服务员值守。会场内，会议服务员应站立在会场后方，面朝会场方向，对会场进行巡视，确保： </w:t>
      </w:r>
    </w:p>
    <w:p>
      <w:pPr>
        <w:pStyle w:val="49"/>
      </w:pPr>
      <w:r>
        <w:rPr>
          <w:rFonts w:hint="eastAsia"/>
        </w:rPr>
        <w:t xml:space="preserve">室内温度恒定； </w:t>
      </w:r>
    </w:p>
    <w:p>
      <w:pPr>
        <w:pStyle w:val="49"/>
      </w:pPr>
      <w:r>
        <w:rPr>
          <w:rFonts w:hint="eastAsia"/>
        </w:rPr>
        <w:t xml:space="preserve">音响声音适中，将麦克风调整到最佳位置； </w:t>
      </w:r>
    </w:p>
    <w:p>
      <w:pPr>
        <w:pStyle w:val="49"/>
      </w:pPr>
      <w:r>
        <w:rPr>
          <w:rFonts w:hint="eastAsia"/>
        </w:rPr>
        <w:t xml:space="preserve">如有临时参加会议人员，为其提供座椅； </w:t>
      </w:r>
    </w:p>
    <w:p>
      <w:pPr>
        <w:pStyle w:val="49"/>
      </w:pPr>
      <w:r>
        <w:rPr>
          <w:rFonts w:hint="eastAsia"/>
        </w:rPr>
        <w:t xml:space="preserve">及时添加茶水； </w:t>
      </w:r>
    </w:p>
    <w:p>
      <w:pPr>
        <w:pStyle w:val="49"/>
      </w:pPr>
      <w:r>
        <w:rPr>
          <w:rFonts w:hint="eastAsia"/>
        </w:rPr>
        <w:t xml:space="preserve">满足与会人员的合理需求（如传递资料、传递麦克风等）。 </w:t>
      </w:r>
    </w:p>
    <w:p>
      <w:pPr>
        <w:pStyle w:val="147"/>
      </w:pPr>
      <w:r>
        <w:rPr>
          <w:rFonts w:hint="eastAsia"/>
        </w:rPr>
        <w:t xml:space="preserve">值守人员应负责保持会场通道、洗手间等公共场所清洁，如遇突发事件应立即启动应急预案，同时协助相关部门及时处置。 </w:t>
      </w:r>
    </w:p>
    <w:p>
      <w:pPr>
        <w:pStyle w:val="147"/>
      </w:pPr>
      <w:r>
        <w:rPr>
          <w:rFonts w:hint="eastAsia"/>
        </w:rPr>
        <w:t xml:space="preserve">中途如更换会议服务员，应做好交接班工作。简短休息时，会议服务员应辅助会议主办方整理会场，补充和更换相应物品。整理时不应翻动参会人员的文件、物品等。 </w:t>
      </w:r>
    </w:p>
    <w:p>
      <w:pPr>
        <w:pStyle w:val="147"/>
      </w:pPr>
      <w:r>
        <w:rPr>
          <w:rFonts w:hint="eastAsia"/>
        </w:rPr>
        <w:t xml:space="preserve">保密会议会中服务还应满足附录F.2的要求。 </w:t>
      </w:r>
    </w:p>
    <w:p>
      <w:pPr>
        <w:pStyle w:val="147"/>
      </w:pPr>
      <w:r>
        <w:rPr>
          <w:rFonts w:hint="eastAsia"/>
        </w:rPr>
        <w:t xml:space="preserve">公共卫生事件防控阶段会议会中服务见附录G.2。 </w:t>
      </w:r>
    </w:p>
    <w:p>
      <w:pPr>
        <w:pStyle w:val="46"/>
      </w:pPr>
      <w:bookmarkStart w:id="26" w:name="_Toc118210178"/>
      <w:r>
        <w:rPr>
          <w:rFonts w:hint="eastAsia"/>
        </w:rPr>
        <w:t>会后整理</w:t>
      </w:r>
      <w:bookmarkEnd w:id="26"/>
      <w:r>
        <w:rPr>
          <w:rFonts w:hint="eastAsia"/>
        </w:rPr>
        <w:t xml:space="preserve"> </w:t>
      </w:r>
    </w:p>
    <w:p>
      <w:pPr>
        <w:pStyle w:val="146"/>
      </w:pPr>
      <w:r>
        <w:rPr>
          <w:rFonts w:hint="eastAsia"/>
        </w:rPr>
        <w:t xml:space="preserve">会议结束后，会议服务员应及时有序引导参会人员离开，并仔细检查会场。检查内容包括但不限于： </w:t>
      </w:r>
    </w:p>
    <w:p>
      <w:pPr>
        <w:pStyle w:val="49"/>
      </w:pPr>
      <w:r>
        <w:rPr>
          <w:rFonts w:hint="eastAsia"/>
        </w:rPr>
        <w:t xml:space="preserve">有无参会人员遗留的物品，如有，应立即送还，未能及时送还的，应做好登记并妥善保管，并及时联系会议主办方； </w:t>
      </w:r>
    </w:p>
    <w:p>
      <w:pPr>
        <w:pStyle w:val="49"/>
      </w:pPr>
      <w:r>
        <w:rPr>
          <w:rFonts w:hint="eastAsia"/>
        </w:rPr>
        <w:t xml:space="preserve">有无损坏的设备设施及物品，如有损坏，应记录设备设施及物品的名称、数目及损坏情况，并报会务主管； </w:t>
      </w:r>
    </w:p>
    <w:p>
      <w:pPr>
        <w:pStyle w:val="49"/>
      </w:pPr>
      <w:r>
        <w:rPr>
          <w:rFonts w:hint="eastAsia"/>
        </w:rPr>
        <w:t xml:space="preserve">有无散落在会场的会议资料，如有遗落，应及时与会议主办方确认处理方式。 </w:t>
      </w:r>
    </w:p>
    <w:p>
      <w:pPr>
        <w:pStyle w:val="146"/>
      </w:pPr>
      <w:r>
        <w:rPr>
          <w:rFonts w:hint="eastAsia"/>
        </w:rPr>
        <w:t xml:space="preserve">会议结束后应及时整理会场。整理内容包括但不限于： </w:t>
      </w:r>
    </w:p>
    <w:p>
      <w:pPr>
        <w:pStyle w:val="49"/>
      </w:pPr>
      <w:r>
        <w:rPr>
          <w:rFonts w:hint="eastAsia"/>
        </w:rPr>
        <w:t xml:space="preserve">回收茶具等可重复使用的物品，清点数量并清洗入消毒柜； </w:t>
      </w:r>
    </w:p>
    <w:p>
      <w:pPr>
        <w:pStyle w:val="49"/>
      </w:pPr>
      <w:r>
        <w:rPr>
          <w:rFonts w:hint="eastAsia"/>
        </w:rPr>
        <w:t xml:space="preserve">整理党徽、党旗、国徽、国旗等； </w:t>
      </w:r>
    </w:p>
    <w:p>
      <w:pPr>
        <w:pStyle w:val="49"/>
      </w:pPr>
      <w:r>
        <w:rPr>
          <w:rFonts w:hint="eastAsia"/>
        </w:rPr>
        <w:t xml:space="preserve">收拾桌面，清扫会场，归位桌椅，撤除会标； </w:t>
      </w:r>
    </w:p>
    <w:p>
      <w:pPr>
        <w:pStyle w:val="49"/>
      </w:pPr>
      <w:r>
        <w:rPr>
          <w:rFonts w:hint="eastAsia"/>
        </w:rPr>
        <w:t xml:space="preserve">关闭设施设备，切断电源。 </w:t>
      </w:r>
    </w:p>
    <w:p>
      <w:pPr>
        <w:pStyle w:val="146"/>
      </w:pPr>
      <w:r>
        <w:rPr>
          <w:rFonts w:hint="eastAsia"/>
        </w:rPr>
        <w:t xml:space="preserve">条件允许的，可使用紫外线消毒灯进行会场消毒。 </w:t>
      </w:r>
    </w:p>
    <w:p>
      <w:pPr>
        <w:pStyle w:val="146"/>
      </w:pPr>
      <w:r>
        <w:rPr>
          <w:rFonts w:hint="eastAsia"/>
        </w:rPr>
        <w:t xml:space="preserve">做好会后整理记录，确认无误后关闭会场。 </w:t>
      </w:r>
    </w:p>
    <w:p>
      <w:pPr>
        <w:pStyle w:val="146"/>
      </w:pPr>
      <w:r>
        <w:rPr>
          <w:rFonts w:hint="eastAsia"/>
        </w:rPr>
        <w:t xml:space="preserve">定期清洗、熨烫台布、幕布、窗帘等。 </w:t>
      </w:r>
    </w:p>
    <w:p>
      <w:pPr>
        <w:pStyle w:val="146"/>
      </w:pPr>
      <w:r>
        <w:rPr>
          <w:rFonts w:hint="eastAsia"/>
        </w:rPr>
        <w:t xml:space="preserve">保密会议会后整理还应满足附录F.3的要求。 </w:t>
      </w:r>
    </w:p>
    <w:p>
      <w:pPr>
        <w:pStyle w:val="146"/>
      </w:pPr>
      <w:r>
        <w:rPr>
          <w:rFonts w:hint="eastAsia"/>
        </w:rPr>
        <w:t xml:space="preserve">公共卫生事件防控阶段会议会后整理见附录G.3。 </w:t>
      </w:r>
    </w:p>
    <w:p>
      <w:pPr>
        <w:pStyle w:val="46"/>
      </w:pPr>
      <w:bookmarkStart w:id="27" w:name="_Toc118210179"/>
      <w:r>
        <w:rPr>
          <w:rFonts w:hint="eastAsia"/>
        </w:rPr>
        <w:t>评价与改进</w:t>
      </w:r>
      <w:bookmarkEnd w:id="27"/>
      <w:r>
        <w:rPr>
          <w:rFonts w:hint="eastAsia"/>
        </w:rPr>
        <w:t xml:space="preserve"> </w:t>
      </w:r>
    </w:p>
    <w:p>
      <w:pPr>
        <w:pStyle w:val="43"/>
        <w:spacing w:before="156" w:after="156"/>
      </w:pPr>
      <w:bookmarkStart w:id="28" w:name="_Toc118210180"/>
      <w:r>
        <w:rPr>
          <w:rFonts w:hint="eastAsia"/>
        </w:rPr>
        <w:t>投诉管理</w:t>
      </w:r>
      <w:bookmarkEnd w:id="28"/>
      <w:r>
        <w:rPr>
          <w:rFonts w:hint="eastAsia"/>
        </w:rPr>
        <w:t xml:space="preserve"> </w:t>
      </w:r>
    </w:p>
    <w:p>
      <w:pPr>
        <w:pStyle w:val="25"/>
      </w:pPr>
      <w:r>
        <w:rPr>
          <w:rFonts w:hint="eastAsia"/>
        </w:rPr>
        <w:t xml:space="preserve">机关事务管理部门应建立投诉平台，畅通投诉渠道，并应按以下要求处理投诉： </w:t>
      </w:r>
    </w:p>
    <w:p>
      <w:pPr>
        <w:pStyle w:val="49"/>
      </w:pPr>
      <w:r>
        <w:rPr>
          <w:rFonts w:hint="eastAsia"/>
        </w:rPr>
        <w:t xml:space="preserve">受理投诉并予以记录； </w:t>
      </w:r>
    </w:p>
    <w:p>
      <w:pPr>
        <w:pStyle w:val="49"/>
      </w:pPr>
      <w:r>
        <w:rPr>
          <w:rFonts w:hint="eastAsia"/>
        </w:rPr>
        <w:t xml:space="preserve">能够现场解决的，协调相关人员现场解决；不能现场解决的，在约定时间内解决，作出处理 意见，及时向投诉人反馈处理意见，必要时回访投诉人； </w:t>
      </w:r>
    </w:p>
    <w:p>
      <w:pPr>
        <w:pStyle w:val="49"/>
      </w:pPr>
      <w:r>
        <w:rPr>
          <w:rFonts w:hint="eastAsia"/>
        </w:rPr>
        <w:t xml:space="preserve">记录投诉处理结果。 </w:t>
      </w:r>
    </w:p>
    <w:p>
      <w:pPr>
        <w:pStyle w:val="43"/>
        <w:spacing w:before="156" w:after="156"/>
      </w:pPr>
      <w:bookmarkStart w:id="29" w:name="_Toc118210181"/>
      <w:r>
        <w:rPr>
          <w:rFonts w:hint="eastAsia"/>
        </w:rPr>
        <w:t>服务评价</w:t>
      </w:r>
      <w:bookmarkEnd w:id="29"/>
      <w:r>
        <w:rPr>
          <w:rFonts w:hint="eastAsia"/>
        </w:rPr>
        <w:t xml:space="preserve"> </w:t>
      </w:r>
    </w:p>
    <w:p>
      <w:pPr>
        <w:pStyle w:val="147"/>
      </w:pPr>
      <w:r>
        <w:rPr>
          <w:rFonts w:hint="eastAsia"/>
        </w:rPr>
        <w:t xml:space="preserve">机关事务管理部门应建立全面有效的服务评价管理制度。 </w:t>
      </w:r>
    </w:p>
    <w:p>
      <w:pPr>
        <w:pStyle w:val="147"/>
      </w:pPr>
      <w:r>
        <w:rPr>
          <w:rFonts w:hint="eastAsia"/>
        </w:rPr>
        <w:t xml:space="preserve">评价指标应包括但不限于： </w:t>
      </w:r>
    </w:p>
    <w:p>
      <w:pPr>
        <w:pStyle w:val="49"/>
      </w:pPr>
      <w:r>
        <w:rPr>
          <w:rFonts w:hint="eastAsia"/>
        </w:rPr>
        <w:t xml:space="preserve">服务对象满意度； </w:t>
      </w:r>
    </w:p>
    <w:p>
      <w:pPr>
        <w:pStyle w:val="49"/>
      </w:pPr>
      <w:r>
        <w:rPr>
          <w:rFonts w:hint="eastAsia"/>
        </w:rPr>
        <w:t xml:space="preserve">有效投诉处理满意率。 </w:t>
      </w:r>
    </w:p>
    <w:p>
      <w:pPr>
        <w:pStyle w:val="147"/>
      </w:pPr>
      <w:r>
        <w:rPr>
          <w:rFonts w:hint="eastAsia"/>
        </w:rPr>
        <w:t xml:space="preserve">评价途径包括但不限于： </w:t>
      </w:r>
    </w:p>
    <w:p>
      <w:pPr>
        <w:pStyle w:val="49"/>
      </w:pPr>
      <w:r>
        <w:rPr>
          <w:rFonts w:hint="eastAsia"/>
        </w:rPr>
        <w:t xml:space="preserve">征求会议主办方意见和建议，开展会议服务满意度调查； </w:t>
      </w:r>
    </w:p>
    <w:p>
      <w:pPr>
        <w:pStyle w:val="49"/>
      </w:pPr>
      <w:r>
        <w:rPr>
          <w:rFonts w:hint="eastAsia"/>
        </w:rPr>
        <w:t xml:space="preserve">走访参会人员，征求对会议服务的意见和要求； </w:t>
      </w:r>
    </w:p>
    <w:p>
      <w:pPr>
        <w:pStyle w:val="49"/>
      </w:pPr>
      <w:r>
        <w:rPr>
          <w:rFonts w:hint="eastAsia"/>
        </w:rPr>
        <w:t xml:space="preserve">设立投诉电话、意见簿等； </w:t>
      </w:r>
    </w:p>
    <w:p>
      <w:pPr>
        <w:pStyle w:val="49"/>
      </w:pPr>
      <w:r>
        <w:rPr>
          <w:rFonts w:hint="eastAsia"/>
        </w:rPr>
        <w:t xml:space="preserve">网络反馈。 </w:t>
      </w:r>
    </w:p>
    <w:p>
      <w:pPr>
        <w:pStyle w:val="43"/>
        <w:spacing w:before="156" w:after="156"/>
      </w:pPr>
      <w:bookmarkStart w:id="30" w:name="_Toc118210182"/>
      <w:r>
        <w:rPr>
          <w:rFonts w:hint="eastAsia"/>
        </w:rPr>
        <w:t>服务改进</w:t>
      </w:r>
      <w:bookmarkEnd w:id="30"/>
      <w:r>
        <w:rPr>
          <w:rFonts w:hint="eastAsia"/>
        </w:rPr>
        <w:t xml:space="preserve"> </w:t>
      </w:r>
    </w:p>
    <w:p>
      <w:pPr>
        <w:pStyle w:val="147"/>
      </w:pPr>
      <w:r>
        <w:rPr>
          <w:rFonts w:hint="eastAsia"/>
        </w:rPr>
        <w:t xml:space="preserve">机关事务管理部门应根据投诉记录、回访记录和服务评价结果中的不合格项制定整改措施，跟踪整改措施的落实情况。 </w:t>
      </w:r>
    </w:p>
    <w:p>
      <w:pPr>
        <w:pStyle w:val="147"/>
      </w:pPr>
      <w:r>
        <w:rPr>
          <w:rFonts w:hint="eastAsia"/>
        </w:rPr>
        <w:t>通过信息收集与分析，持续改进服务质量。</w:t>
      </w:r>
    </w:p>
    <w:p>
      <w:pPr>
        <w:pStyle w:val="99"/>
      </w:pPr>
    </w:p>
    <w:p>
      <w:pPr>
        <w:pStyle w:val="87"/>
        <w:tabs>
          <w:tab w:val="clear" w:pos="0"/>
        </w:tabs>
      </w:pPr>
    </w:p>
    <w:p>
      <w:pPr>
        <w:pStyle w:val="85"/>
        <w:numPr>
          <w:ilvl w:val="0"/>
          <w:numId w:val="20"/>
        </w:numPr>
      </w:pPr>
      <w:r>
        <w:br w:type="textWrapping"/>
      </w:r>
      <w:bookmarkStart w:id="31" w:name="_Toc118210183"/>
      <w:r>
        <w:rPr>
          <w:rFonts w:hint="eastAsia"/>
        </w:rPr>
        <w:t>（资料性）</w:t>
      </w:r>
      <w:r>
        <w:br w:type="textWrapping"/>
      </w:r>
      <w:r>
        <w:rPr>
          <w:rFonts w:hint="eastAsia"/>
        </w:rPr>
        <w:t>附录标题</w:t>
      </w:r>
      <w:bookmarkEnd w:id="31"/>
    </w:p>
    <w:p>
      <w:pPr>
        <w:pStyle w:val="103"/>
        <w:spacing w:before="312" w:after="312"/>
      </w:pPr>
      <w:bookmarkStart w:id="32" w:name="_Toc118210184"/>
      <w:bookmarkStart w:id="33" w:name="_Toc118202337"/>
      <w:bookmarkStart w:id="34" w:name="_Toc118202481"/>
      <w:r>
        <w:rPr>
          <w:rFonts w:hint="eastAsia"/>
        </w:rPr>
        <w:t>A.1 确定会议服务外包事项和范围</w:t>
      </w:r>
      <w:bookmarkEnd w:id="32"/>
      <w:bookmarkEnd w:id="33"/>
      <w:bookmarkEnd w:id="34"/>
      <w:r>
        <w:rPr>
          <w:rFonts w:hint="eastAsia"/>
        </w:rPr>
        <w:t xml:space="preserve"> </w:t>
      </w:r>
    </w:p>
    <w:p>
      <w:pPr>
        <w:pStyle w:val="25"/>
      </w:pPr>
      <w:r>
        <w:rPr>
          <w:rFonts w:hint="eastAsia"/>
        </w:rPr>
        <w:t xml:space="preserve">机关事务管理部门根据自身的职能定位、规划，全面、科学评估会议服务事项性质和外包风险，分析会议服务事项外包的必要性和可行性，确定适宜外包的事项和范围。 </w:t>
      </w:r>
    </w:p>
    <w:p>
      <w:pPr>
        <w:pStyle w:val="103"/>
        <w:spacing w:before="312" w:after="312"/>
      </w:pPr>
      <w:bookmarkStart w:id="35" w:name="_Toc118210185"/>
      <w:bookmarkStart w:id="36" w:name="_Toc118202338"/>
      <w:bookmarkStart w:id="37" w:name="_Toc118202482"/>
      <w:r>
        <w:rPr>
          <w:rFonts w:hint="eastAsia"/>
        </w:rPr>
        <w:t>A.2 确定会议服务外包要求</w:t>
      </w:r>
      <w:bookmarkEnd w:id="35"/>
      <w:bookmarkEnd w:id="36"/>
      <w:bookmarkEnd w:id="37"/>
      <w:r>
        <w:rPr>
          <w:rFonts w:hint="eastAsia"/>
        </w:rPr>
        <w:t xml:space="preserve"> </w:t>
      </w:r>
    </w:p>
    <w:p>
      <w:pPr>
        <w:pStyle w:val="25"/>
      </w:pPr>
      <w:r>
        <w:rPr>
          <w:rFonts w:hint="eastAsia"/>
        </w:rPr>
        <w:t xml:space="preserve">机关事务管理部门根据会议服务外包的性质、监管要求和风险特征，确定会议服务的资质要求、能力要求、资源要求、合规要求和风险管理等要求。 </w:t>
      </w:r>
    </w:p>
    <w:p>
      <w:pPr>
        <w:pStyle w:val="103"/>
        <w:spacing w:before="312" w:after="312"/>
      </w:pPr>
      <w:bookmarkStart w:id="38" w:name="_Toc118202339"/>
      <w:bookmarkStart w:id="39" w:name="_Toc118210186"/>
      <w:bookmarkStart w:id="40" w:name="_Toc118202483"/>
      <w:r>
        <w:rPr>
          <w:rFonts w:hint="eastAsia"/>
        </w:rPr>
        <w:t>A.3 评价准则</w:t>
      </w:r>
      <w:bookmarkEnd w:id="38"/>
      <w:bookmarkEnd w:id="39"/>
      <w:bookmarkEnd w:id="40"/>
      <w:r>
        <w:rPr>
          <w:rFonts w:hint="eastAsia"/>
        </w:rPr>
        <w:t xml:space="preserve"> </w:t>
      </w:r>
    </w:p>
    <w:p>
      <w:pPr>
        <w:pStyle w:val="25"/>
      </w:pPr>
      <w:r>
        <w:rPr>
          <w:rFonts w:hint="eastAsia"/>
        </w:rPr>
        <w:t>机关事务管理部门根据国家法律法规、业务需要及其管理要求，确定拟接包会议服务机构的评价准</w:t>
      </w:r>
    </w:p>
    <w:p>
      <w:pPr>
        <w:pStyle w:val="25"/>
      </w:pPr>
      <w:r>
        <w:rPr>
          <w:rFonts w:hint="eastAsia"/>
        </w:rPr>
        <w:t xml:space="preserve">则。对拟接包会议服务机构评价准则包括但不限于： </w:t>
      </w:r>
    </w:p>
    <w:p>
      <w:pPr>
        <w:pStyle w:val="25"/>
      </w:pPr>
      <w:r>
        <w:rPr>
          <w:rFonts w:hint="eastAsia"/>
        </w:rPr>
        <w:t xml:space="preserve">—— 应为依法注册的法人，具有独立承担民事责任的能力； </w:t>
      </w:r>
    </w:p>
    <w:p>
      <w:pPr>
        <w:pStyle w:val="25"/>
      </w:pPr>
      <w:r>
        <w:rPr>
          <w:rFonts w:hint="eastAsia"/>
        </w:rPr>
        <w:t xml:space="preserve">—— 应具有履行会议服务所必需的服务能力、资源和行业声誉等； </w:t>
      </w:r>
    </w:p>
    <w:p>
      <w:pPr>
        <w:pStyle w:val="25"/>
      </w:pPr>
      <w:r>
        <w:rPr>
          <w:rFonts w:hint="eastAsia"/>
        </w:rPr>
        <w:t xml:space="preserve">—— 保密制度完善； </w:t>
      </w:r>
    </w:p>
    <w:p>
      <w:pPr>
        <w:pStyle w:val="25"/>
      </w:pPr>
      <w:r>
        <w:rPr>
          <w:rFonts w:hint="eastAsia"/>
        </w:rPr>
        <w:t xml:space="preserve">—— 核心管理人员和服务人员的稳定性； </w:t>
      </w:r>
    </w:p>
    <w:p>
      <w:pPr>
        <w:pStyle w:val="25"/>
      </w:pPr>
      <w:r>
        <w:rPr>
          <w:rFonts w:hint="eastAsia"/>
        </w:rPr>
        <w:t xml:space="preserve">—— 健全的内部控制和质量管理体系； </w:t>
      </w:r>
    </w:p>
    <w:p>
      <w:pPr>
        <w:pStyle w:val="25"/>
      </w:pPr>
      <w:r>
        <w:rPr>
          <w:rFonts w:hint="eastAsia"/>
        </w:rPr>
        <w:t xml:space="preserve">—— 突发事件的应对预案和处置能力。 </w:t>
      </w:r>
    </w:p>
    <w:p>
      <w:pPr>
        <w:pStyle w:val="103"/>
        <w:spacing w:before="312" w:after="312"/>
      </w:pPr>
      <w:bookmarkStart w:id="41" w:name="_Toc118202340"/>
      <w:bookmarkStart w:id="42" w:name="_Toc118210187"/>
      <w:bookmarkStart w:id="43" w:name="_Toc118202484"/>
      <w:r>
        <w:rPr>
          <w:rFonts w:hint="eastAsia"/>
        </w:rPr>
        <w:t>A.4 确定外包会议服务机构</w:t>
      </w:r>
      <w:bookmarkEnd w:id="41"/>
      <w:bookmarkEnd w:id="42"/>
      <w:bookmarkEnd w:id="43"/>
      <w:r>
        <w:rPr>
          <w:rFonts w:hint="eastAsia"/>
        </w:rPr>
        <w:t xml:space="preserve"> </w:t>
      </w:r>
    </w:p>
    <w:p>
      <w:pPr>
        <w:pStyle w:val="90"/>
      </w:pPr>
      <w:r>
        <w:rPr>
          <w:rFonts w:hint="eastAsia" w:ascii="黑体" w:hAnsi="黑体" w:eastAsia="黑体"/>
        </w:rPr>
        <w:t>A.4.1</w:t>
      </w:r>
      <w:r>
        <w:rPr>
          <w:rFonts w:hint="eastAsia"/>
        </w:rPr>
        <w:t xml:space="preserve"> 机关事务管理部门确定适宜的采购方式，选择合适的会议服务机构。 </w:t>
      </w:r>
    </w:p>
    <w:p>
      <w:pPr>
        <w:pStyle w:val="90"/>
      </w:pPr>
      <w:r>
        <w:rPr>
          <w:rFonts w:hint="eastAsia" w:ascii="黑体" w:hAnsi="黑体" w:eastAsia="黑体"/>
        </w:rPr>
        <w:t>A.4.2</w:t>
      </w:r>
      <w:r>
        <w:rPr>
          <w:rFonts w:hint="eastAsia"/>
        </w:rPr>
        <w:t xml:space="preserve"> 执行采购程序，确定合适的会议服务机构。 </w:t>
      </w:r>
    </w:p>
    <w:p>
      <w:pPr>
        <w:pStyle w:val="90"/>
      </w:pPr>
      <w:r>
        <w:rPr>
          <w:rFonts w:hint="eastAsia" w:ascii="黑体" w:hAnsi="黑体" w:eastAsia="黑体"/>
        </w:rPr>
        <w:t>A.4.3</w:t>
      </w:r>
      <w:r>
        <w:rPr>
          <w:rFonts w:hint="eastAsia"/>
        </w:rPr>
        <w:t xml:space="preserve"> 对于初次合作的接包方，必要时，在签订合同前，机关事务管理部门应开展背景调查以核实会</w:t>
      </w:r>
    </w:p>
    <w:p>
      <w:pPr>
        <w:pStyle w:val="90"/>
      </w:pPr>
      <w:r>
        <w:rPr>
          <w:rFonts w:hint="eastAsia"/>
        </w:rPr>
        <w:t xml:space="preserve">议服务机构满足评价准则（A.3）的情况。 </w:t>
      </w:r>
    </w:p>
    <w:p>
      <w:pPr>
        <w:pStyle w:val="103"/>
        <w:spacing w:before="312" w:after="312"/>
      </w:pPr>
      <w:bookmarkStart w:id="44" w:name="_Toc118202341"/>
      <w:bookmarkStart w:id="45" w:name="_Toc118210188"/>
      <w:bookmarkStart w:id="46" w:name="_Toc118202485"/>
      <w:r>
        <w:rPr>
          <w:rFonts w:hint="eastAsia"/>
        </w:rPr>
        <w:t>A.5 签订合同</w:t>
      </w:r>
      <w:bookmarkEnd w:id="44"/>
      <w:bookmarkEnd w:id="45"/>
      <w:bookmarkEnd w:id="46"/>
      <w:r>
        <w:rPr>
          <w:rFonts w:hint="eastAsia"/>
        </w:rPr>
        <w:t xml:space="preserve"> </w:t>
      </w:r>
    </w:p>
    <w:p>
      <w:pPr>
        <w:pStyle w:val="25"/>
      </w:pPr>
      <w:r>
        <w:rPr>
          <w:rFonts w:hint="eastAsia"/>
        </w:rPr>
        <w:t>确定会议服务公司后，机关事务管理部门应与会议服务机构签订书面合同，形成正式的委托与被委托的法律关系。</w:t>
      </w:r>
    </w:p>
    <w:p>
      <w:pPr>
        <w:pStyle w:val="104"/>
        <w:spacing w:before="156" w:after="156"/>
      </w:pPr>
    </w:p>
    <w:p>
      <w:pPr>
        <w:pStyle w:val="25"/>
        <w:ind w:firstLine="0" w:firstLineChars="0"/>
        <w:jc w:val="center"/>
      </w:pPr>
    </w:p>
    <w:p>
      <w:pPr>
        <w:pStyle w:val="99"/>
      </w:pPr>
    </w:p>
    <w:p>
      <w:pPr>
        <w:pStyle w:val="87"/>
        <w:tabs>
          <w:tab w:val="clear" w:pos="0"/>
        </w:tabs>
      </w:pPr>
    </w:p>
    <w:p>
      <w:pPr>
        <w:pStyle w:val="85"/>
        <w:numPr>
          <w:ilvl w:val="0"/>
          <w:numId w:val="20"/>
        </w:numPr>
      </w:pPr>
      <w:r>
        <w:br w:type="textWrapping"/>
      </w:r>
      <w:bookmarkStart w:id="47" w:name="_Toc118210189"/>
      <w:r>
        <w:rPr>
          <w:rFonts w:hint="eastAsia"/>
        </w:rPr>
        <w:t>（资料性）</w:t>
      </w:r>
      <w:r>
        <w:br w:type="textWrapping"/>
      </w:r>
      <w:r>
        <w:rPr>
          <w:rFonts w:hint="eastAsia"/>
        </w:rPr>
        <w:t>会议服务</w:t>
      </w:r>
      <w:r>
        <w:t>岗位设置及其职责</w:t>
      </w:r>
      <w:bookmarkEnd w:id="47"/>
    </w:p>
    <w:p>
      <w:pPr>
        <w:pStyle w:val="89"/>
        <w:spacing w:before="156" w:after="156"/>
      </w:pPr>
      <w:r>
        <w:rPr>
          <w:rFonts w:hint="eastAsia"/>
        </w:rPr>
        <w:t xml:space="preserve">B.1 会议预订员 </w:t>
      </w:r>
    </w:p>
    <w:p>
      <w:pPr>
        <w:pStyle w:val="90"/>
      </w:pPr>
      <w:r>
        <w:rPr>
          <w:rFonts w:hint="eastAsia" w:ascii="黑体" w:hAnsi="黑体" w:eastAsia="黑体"/>
        </w:rPr>
        <w:t>B.1.1</w:t>
      </w:r>
      <w:r>
        <w:rPr>
          <w:rFonts w:hint="eastAsia"/>
        </w:rPr>
        <w:t xml:space="preserve"> 受理预订信息，全面准确了解会议需求。 </w:t>
      </w:r>
    </w:p>
    <w:p>
      <w:pPr>
        <w:pStyle w:val="90"/>
      </w:pPr>
      <w:r>
        <w:rPr>
          <w:rFonts w:hint="eastAsia" w:ascii="黑体" w:hAnsi="黑体" w:eastAsia="黑体"/>
        </w:rPr>
        <w:t>B.1.2</w:t>
      </w:r>
      <w:r>
        <w:rPr>
          <w:rFonts w:hint="eastAsia"/>
        </w:rPr>
        <w:t xml:space="preserve"> 做好会议预订记录，根据会议预订情况安排会议室。 </w:t>
      </w:r>
    </w:p>
    <w:p>
      <w:pPr>
        <w:pStyle w:val="90"/>
      </w:pPr>
      <w:r>
        <w:rPr>
          <w:rFonts w:hint="eastAsia" w:ascii="黑体" w:hAnsi="黑体" w:eastAsia="黑体"/>
        </w:rPr>
        <w:t>B.1.3</w:t>
      </w:r>
      <w:r>
        <w:rPr>
          <w:rFonts w:hint="eastAsia"/>
        </w:rPr>
        <w:t xml:space="preserve"> 按照相关规定和会议需求，通知会务主管做好会务人员、物品等相关准备。 </w:t>
      </w:r>
    </w:p>
    <w:p>
      <w:pPr>
        <w:pStyle w:val="90"/>
      </w:pPr>
      <w:r>
        <w:rPr>
          <w:rFonts w:hint="eastAsia" w:ascii="黑体" w:hAnsi="黑体" w:eastAsia="黑体"/>
        </w:rPr>
        <w:t>B.1.4</w:t>
      </w:r>
      <w:r>
        <w:rPr>
          <w:rFonts w:hint="eastAsia"/>
        </w:rPr>
        <w:t xml:space="preserve"> 保持与会议主办方的沟通联系，如有变动，及时做好调整。 </w:t>
      </w:r>
    </w:p>
    <w:p>
      <w:pPr>
        <w:pStyle w:val="89"/>
        <w:spacing w:before="156" w:after="156"/>
      </w:pPr>
      <w:r>
        <w:rPr>
          <w:rFonts w:hint="eastAsia"/>
        </w:rPr>
        <w:t xml:space="preserve">B.2 会务主管 </w:t>
      </w:r>
    </w:p>
    <w:p>
      <w:pPr>
        <w:pStyle w:val="90"/>
      </w:pPr>
      <w:r>
        <w:rPr>
          <w:rFonts w:hint="eastAsia" w:ascii="黑体" w:hAnsi="黑体" w:eastAsia="黑体"/>
        </w:rPr>
        <w:t>B.2.1</w:t>
      </w:r>
      <w:r>
        <w:rPr>
          <w:rFonts w:hint="eastAsia"/>
        </w:rPr>
        <w:t xml:space="preserve"> 进行日常管理，带领服务人员、技术人员完成工作。 </w:t>
      </w:r>
    </w:p>
    <w:p>
      <w:pPr>
        <w:pStyle w:val="90"/>
      </w:pPr>
      <w:r>
        <w:rPr>
          <w:rFonts w:hint="eastAsia" w:ascii="黑体" w:hAnsi="黑体" w:eastAsia="黑体"/>
        </w:rPr>
        <w:t>B.2.2</w:t>
      </w:r>
      <w:r>
        <w:rPr>
          <w:rFonts w:hint="eastAsia"/>
        </w:rPr>
        <w:t xml:space="preserve"> 负责服务人员、技术人员思想政治教育和日常业务培训。 </w:t>
      </w:r>
    </w:p>
    <w:p>
      <w:pPr>
        <w:pStyle w:val="90"/>
      </w:pPr>
      <w:r>
        <w:rPr>
          <w:rFonts w:hint="eastAsia" w:ascii="黑体" w:hAnsi="黑体" w:eastAsia="黑体"/>
        </w:rPr>
        <w:t>B.2.3</w:t>
      </w:r>
      <w:r>
        <w:rPr>
          <w:rFonts w:hint="eastAsia"/>
        </w:rPr>
        <w:t xml:space="preserve"> 督促检查规章制度落实情况，及时发现和纠正问题。 </w:t>
      </w:r>
    </w:p>
    <w:p>
      <w:pPr>
        <w:pStyle w:val="90"/>
      </w:pPr>
      <w:r>
        <w:rPr>
          <w:rFonts w:hint="eastAsia" w:ascii="黑体" w:hAnsi="黑体" w:eastAsia="黑体"/>
        </w:rPr>
        <w:t>B.2.4</w:t>
      </w:r>
      <w:r>
        <w:rPr>
          <w:rFonts w:hint="eastAsia"/>
        </w:rPr>
        <w:t xml:space="preserve"> 做好新进员工的招聘及培训工作。 </w:t>
      </w:r>
    </w:p>
    <w:p>
      <w:pPr>
        <w:pStyle w:val="90"/>
      </w:pPr>
      <w:r>
        <w:rPr>
          <w:rFonts w:hint="eastAsia" w:ascii="黑体" w:hAnsi="黑体" w:eastAsia="黑体"/>
        </w:rPr>
        <w:t>B.2.5</w:t>
      </w:r>
      <w:r>
        <w:rPr>
          <w:rFonts w:hint="eastAsia"/>
        </w:rPr>
        <w:t xml:space="preserve"> 负责服务人员、技术人员的绩效考核。 </w:t>
      </w:r>
    </w:p>
    <w:p>
      <w:pPr>
        <w:pStyle w:val="90"/>
      </w:pPr>
      <w:r>
        <w:rPr>
          <w:rFonts w:hint="eastAsia" w:ascii="黑体" w:hAnsi="黑体" w:eastAsia="黑体"/>
        </w:rPr>
        <w:t>B.2.6</w:t>
      </w:r>
      <w:r>
        <w:rPr>
          <w:rFonts w:hint="eastAsia"/>
        </w:rPr>
        <w:t xml:space="preserve"> 对违纪违规人员按权限进行处罚或提出处罚意见。 </w:t>
      </w:r>
    </w:p>
    <w:p>
      <w:pPr>
        <w:pStyle w:val="89"/>
        <w:spacing w:before="156" w:after="156"/>
      </w:pPr>
      <w:r>
        <w:rPr>
          <w:rFonts w:hint="eastAsia"/>
        </w:rPr>
        <w:t xml:space="preserve">B.3 技术人员 </w:t>
      </w:r>
    </w:p>
    <w:p>
      <w:pPr>
        <w:pStyle w:val="90"/>
      </w:pPr>
      <w:r>
        <w:rPr>
          <w:rFonts w:hint="eastAsia" w:ascii="黑体" w:hAnsi="黑体" w:eastAsia="黑体"/>
        </w:rPr>
        <w:t>B.3.1</w:t>
      </w:r>
      <w:r>
        <w:rPr>
          <w:rFonts w:hint="eastAsia"/>
        </w:rPr>
        <w:t xml:space="preserve"> 负责会议室音响、投影、电脑、电子显示屏等音频、视频设备的安装调试、运行管理、日常维护，确保设备完好并正常运行。 </w:t>
      </w:r>
    </w:p>
    <w:p>
      <w:pPr>
        <w:pStyle w:val="90"/>
      </w:pPr>
      <w:r>
        <w:rPr>
          <w:rFonts w:hint="eastAsia" w:ascii="黑体" w:hAnsi="黑体" w:eastAsia="黑体"/>
        </w:rPr>
        <w:t>B.3.2</w:t>
      </w:r>
      <w:r>
        <w:rPr>
          <w:rFonts w:hint="eastAsia"/>
        </w:rPr>
        <w:t xml:space="preserve"> 负责对音响、音频、视频等会议设备的维修、保养、采购提出建议。 </w:t>
      </w:r>
    </w:p>
    <w:p>
      <w:pPr>
        <w:pStyle w:val="89"/>
        <w:spacing w:before="156" w:after="156"/>
      </w:pPr>
      <w:r>
        <w:rPr>
          <w:rFonts w:hint="eastAsia"/>
        </w:rPr>
        <w:t xml:space="preserve">B.4 会议服务员 </w:t>
      </w:r>
    </w:p>
    <w:p>
      <w:pPr>
        <w:pStyle w:val="90"/>
        <w:rPr>
          <w:rFonts w:ascii="黑体" w:hAnsi="黑体" w:eastAsia="黑体"/>
        </w:rPr>
      </w:pPr>
      <w:r>
        <w:rPr>
          <w:rFonts w:hint="eastAsia" w:ascii="黑体" w:hAnsi="黑体" w:eastAsia="黑体"/>
        </w:rPr>
        <w:t>B.4.1</w:t>
      </w:r>
      <w:r>
        <w:rPr>
          <w:rFonts w:hint="eastAsia"/>
        </w:rPr>
        <w:t xml:space="preserve"> 遵守服务程序和服务规范，热情、主动、有礼貌地接待参会人员，为参会人员提供满意的服务 </w:t>
      </w:r>
      <w:r>
        <w:rPr>
          <w:rFonts w:hint="eastAsia" w:ascii="黑体" w:hAnsi="黑体" w:eastAsia="黑体"/>
        </w:rPr>
        <w:t>B.4.2</w:t>
      </w:r>
      <w:r>
        <w:rPr>
          <w:rFonts w:hint="eastAsia"/>
        </w:rPr>
        <w:t xml:space="preserve"> 根据会议预订相关内容，做好会前准备、会中服务、会后整理工作。</w:t>
      </w:r>
    </w:p>
    <w:p>
      <w:pPr>
        <w:pStyle w:val="90"/>
      </w:pPr>
      <w:r>
        <w:rPr>
          <w:rFonts w:hint="eastAsia" w:ascii="黑体" w:hAnsi="黑体" w:eastAsia="黑体"/>
        </w:rPr>
        <w:t>B.4.3</w:t>
      </w:r>
      <w:r>
        <w:rPr>
          <w:rFonts w:hint="eastAsia"/>
        </w:rPr>
        <w:t xml:space="preserve"> 严格遵守保密工作要求，按照统一要求进行会议服务。</w:t>
      </w:r>
    </w:p>
    <w:p>
      <w:pPr>
        <w:pStyle w:val="72"/>
      </w:pPr>
      <w:bookmarkStart w:id="48" w:name="_Toc475694868"/>
      <w:bookmarkStart w:id="49" w:name="_Toc118210190"/>
      <w:r>
        <w:rPr>
          <w:rFonts w:hint="eastAsia"/>
        </w:rPr>
        <w:t>参 考 文 献</w:t>
      </w:r>
      <w:bookmarkEnd w:id="48"/>
      <w:bookmarkEnd w:id="49"/>
    </w:p>
    <w:p>
      <w:pPr>
        <w:pStyle w:val="149"/>
      </w:pPr>
      <w:r>
        <w:rPr>
          <w:rFonts w:hint="eastAsia"/>
        </w:rPr>
        <w:t>参考文献著录信息</w:t>
      </w:r>
    </w:p>
    <w:p>
      <w:pPr>
        <w:pStyle w:val="149"/>
      </w:pPr>
      <w:r>
        <w:rPr>
          <w:rFonts w:hint="eastAsia"/>
        </w:rPr>
        <w:t>参考文献著录信息</w:t>
      </w:r>
    </w:p>
    <w:p>
      <w:pPr>
        <w:pStyle w:val="149"/>
        <w:numPr>
          <w:ilvl w:val="0"/>
          <w:numId w:val="0"/>
        </w:numPr>
        <w:ind w:firstLine="420"/>
      </w:pPr>
    </w:p>
    <w:p>
      <w:pPr>
        <w:pStyle w:val="131"/>
        <w:framePr w:y="1"/>
      </w:pPr>
      <w:r>
        <mc:AlternateContent>
          <mc:Choice Requires="wps">
            <w:drawing>
              <wp:anchor distT="0" distB="0" distL="114300" distR="114300" simplePos="0" relativeHeight="251666432"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6432;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y="1"/>
      </w:pPr>
    </w:p>
    <w:p>
      <w:pPr>
        <w:pStyle w:val="149"/>
        <w:numPr>
          <w:ilvl w:val="0"/>
          <w:numId w:val="0"/>
        </w:numPr>
        <w:ind w:firstLine="420"/>
      </w:pPr>
    </w:p>
    <w:sectPr>
      <w:headerReference r:id="rId4" w:type="default"/>
      <w:footerReference r:id="rId5" w:type="default"/>
      <w:pgSz w:w="11906" w:h="16838"/>
      <w:pgMar w:top="567" w:right="1134" w:bottom="1134" w:left="1418" w:header="1418" w:footer="1134" w:gutter="0"/>
      <w:pgNumType w:fmt="decimal" w:start="69"/>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sdt>
      <w:sdtPr>
        <w:id w:val="1024825795"/>
        <w:docPartObj>
          <w:docPartGallery w:val="autotext"/>
        </w:docPartObj>
      </w:sdtPr>
      <w:sdtContent/>
    </w:sdt>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6105754"/>
                          </w:sdtPr>
                          <w:sdtContent>
                            <w:p>
                              <w:pPr>
                                <w:pStyle w:val="19"/>
                                <w:jc w:val="center"/>
                              </w:pPr>
                              <w:r>
                                <w:fldChar w:fldCharType="begin"/>
                              </w:r>
                              <w:r>
                                <w:instrText xml:space="preserve">PAGE   \* MERGEFORMAT</w:instrText>
                              </w:r>
                              <w:r>
                                <w:fldChar w:fldCharType="separate"/>
                              </w:r>
                              <w:r>
                                <w:rPr>
                                  <w:lang w:val="zh-CN"/>
                                </w:rPr>
                                <w:t>10</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sdt>
                    <w:sdtPr>
                      <w:id w:val="-1786105754"/>
                    </w:sdtPr>
                    <w:sdtContent>
                      <w:p>
                        <w:pPr>
                          <w:pStyle w:val="19"/>
                          <w:jc w:val="center"/>
                        </w:pPr>
                        <w:r>
                          <w:fldChar w:fldCharType="begin"/>
                        </w:r>
                        <w:r>
                          <w:instrText xml:space="preserve">PAGE   \* MERGEFORMAT</w:instrText>
                        </w:r>
                        <w:r>
                          <w:fldChar w:fldCharType="separate"/>
                        </w:r>
                        <w:r>
                          <w:rPr>
                            <w:lang w:val="zh-CN"/>
                          </w:rPr>
                          <w:t>10</w:t>
                        </w:r>
                        <w:r>
                          <w:fldChar w:fldCharType="end"/>
                        </w:r>
                      </w:p>
                    </w:sdtContent>
                  </w:sdt>
                  <w:p/>
                </w:txbxContent>
              </v:textbox>
            </v:shape>
          </w:pict>
        </mc:Fallback>
      </mc:AlternateContent>
    </w:r>
  </w:p>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BG</w:t>
    </w:r>
    <w:r>
      <w:rPr>
        <w:rFonts w:hint="eastAsia"/>
      </w:rPr>
      <w:t>.</w:t>
    </w:r>
    <w:r>
      <w:rPr>
        <w:rFonts w:hint="eastAsia"/>
        <w:lang w:val="en-US" w:eastAsia="zh-CN"/>
      </w:rPr>
      <w:t>410.</w:t>
    </w:r>
    <w:r>
      <w:t>009</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2836"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6">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7">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9">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6"/>
  </w:num>
  <w:num w:numId="3">
    <w:abstractNumId w:val="9"/>
  </w:num>
  <w:num w:numId="4">
    <w:abstractNumId w:val="2"/>
  </w:num>
  <w:num w:numId="5">
    <w:abstractNumId w:val="5"/>
  </w:num>
  <w:num w:numId="6">
    <w:abstractNumId w:val="18"/>
  </w:num>
  <w:num w:numId="7">
    <w:abstractNumId w:val="0"/>
  </w:num>
  <w:num w:numId="8">
    <w:abstractNumId w:val="11"/>
  </w:num>
  <w:num w:numId="9">
    <w:abstractNumId w:val="7"/>
  </w:num>
  <w:num w:numId="10">
    <w:abstractNumId w:val="15"/>
  </w:num>
  <w:num w:numId="11">
    <w:abstractNumId w:val="12"/>
  </w:num>
  <w:num w:numId="12">
    <w:abstractNumId w:val="17"/>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hMjllNmI0NzAxMDNjNzUyZjVjYzcwOGNkMWU0ZWYifQ=="/>
  </w:docVars>
  <w:rsids>
    <w:rsidRoot w:val="61542A7B"/>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64FA"/>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435"/>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3F60"/>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3B79"/>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C3A"/>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0FFB"/>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166"/>
    <w:rsid w:val="004046C4"/>
    <w:rsid w:val="0040619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6671B"/>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2789"/>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8480E"/>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E65C0"/>
    <w:rsid w:val="006F5451"/>
    <w:rsid w:val="00701D24"/>
    <w:rsid w:val="00704DF6"/>
    <w:rsid w:val="0070651C"/>
    <w:rsid w:val="007116A3"/>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769BD"/>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1E43"/>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9F6C0B"/>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15CE"/>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842"/>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E6F00"/>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666"/>
    <w:rsid w:val="00FE7D7F"/>
    <w:rsid w:val="00FF04A9"/>
    <w:rsid w:val="138B447A"/>
    <w:rsid w:val="2EA8435B"/>
    <w:rsid w:val="33251C93"/>
    <w:rsid w:val="4590011C"/>
    <w:rsid w:val="52331739"/>
    <w:rsid w:val="61542A7B"/>
    <w:rsid w:val="75FFC1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C:/Users/lenovo/Desktop/&#37026;&#21488;&#26426;&#20851;&#20107;&#21153;&#31649;&#29702;&#23616;/&#37026;&#21488;&#24066;&#26426;&#20851;&#21518;&#21220;&#26381;&#21153;&#26631;&#20934;&#27169;&#26495;1008(1).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邢台市机关后勤服务标准模板1008(1)</Template>
  <Pages>14</Pages>
  <Words>1394</Words>
  <Characters>7949</Characters>
  <Lines>66</Lines>
  <Paragraphs>18</Paragraphs>
  <TotalTime>3</TotalTime>
  <ScaleCrop>false</ScaleCrop>
  <LinksUpToDate>false</LinksUpToDate>
  <CharactersWithSpaces>9325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2022-11-01T11:39:00Z</dcterms:created>
  <dc:creator>lenovo</dc:creator>
  <cp:lastModifiedBy>kylin</cp:lastModifiedBy>
  <dcterms:modified xsi:type="dcterms:W3CDTF">2023-03-19T09:49:24Z</dcterms:modified>
  <cp:revision>10</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5DE3BE878A5C49F5B464B72F360901ED</vt:lpwstr>
  </property>
</Properties>
</file>