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4"/>
        <w:framePr/>
      </w:pPr>
      <w:r>
        <w:rPr>
          <w:rFonts w:hint="eastAsia" w:ascii="Times New Roman"/>
        </w:rPr>
        <w:t>标准</w:t>
      </w:r>
      <w:r>
        <w:rPr>
          <w:rFonts w:ascii="Times New Roman"/>
        </w:rPr>
        <w:t>体系</w:t>
      </w:r>
      <w:r>
        <w:rPr>
          <w:rFonts w:hint="eastAsia" w:ascii="Times New Roman"/>
        </w:rPr>
        <w:t>编号</w:t>
      </w:r>
      <w:r>
        <w:rPr>
          <w:rFonts w:hAnsi="黑体"/>
        </w:rPr>
        <w:t>：BG</w:t>
      </w:r>
    </w:p>
    <w:p>
      <w:pPr>
        <w:pStyle w:val="124"/>
        <w:framePr/>
      </w:pPr>
      <w:r>
        <w:rPr>
          <w:rFonts w:hint="eastAsia"/>
        </w:rPr>
        <w:t>文件</w:t>
      </w:r>
      <w:r>
        <w:t>类型</w:t>
      </w:r>
      <w:r>
        <w:rPr>
          <w:rFonts w:hint="eastAsia"/>
        </w:rPr>
        <w:t>：规程</w:t>
      </w:r>
    </w:p>
    <w:tbl>
      <w:tblPr>
        <w:tblStyle w:val="34"/>
        <w:tblW w:w="96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8" w:type="dxa"/>
            <w:tcBorders>
              <w:top w:val="nil"/>
              <w:left w:val="nil"/>
              <w:bottom w:val="nil"/>
              <w:right w:val="nil"/>
            </w:tcBorders>
            <w:shd w:val="clear" w:color="auto" w:fill="auto"/>
          </w:tcPr>
          <w:p>
            <w:pPr>
              <w:pStyle w:val="124"/>
              <w:framePr/>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710565" cy="161925"/>
                      <wp:effectExtent l="0" t="0" r="0" b="9525"/>
                      <wp:wrapNone/>
                      <wp:docPr id="72" name="BAH"/>
                      <wp:cNvGraphicFramePr/>
                      <a:graphic xmlns:a="http://schemas.openxmlformats.org/drawingml/2006/main">
                        <a:graphicData uri="http://schemas.microsoft.com/office/word/2010/wordprocessingShape">
                          <wps:wsp>
                            <wps:cNvSpPr>
                              <a:spLocks noChangeArrowheads="true"/>
                            </wps:cNvSpPr>
                            <wps:spPr bwMode="auto">
                              <a:xfrm>
                                <a:off x="0" y="0"/>
                                <a:ext cx="710565" cy="16192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2.75pt;width:55.95pt;z-index:-251653120;mso-width-relative:page;mso-height-relative:page;" fillcolor="#FFFFFF" filled="t" stroked="f" coordsize="21600,21600" o:gfxdata="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Gmdh1NUAAAAHAQAADwAAAAAAAAABACAAAAA4&#10;AAAAZHJzL2Rvd25yZXYueG1sUEsBAhQAFAAAAAgAh07iQI+WAAL3AQAA3QMAAA4AAAAAAAAAAQAg&#10;AAAAOgEAAGRycy9lMm9Eb2MueG1sUEsFBgAAAAAGAAYAWQEAAKMFAAAAAA==&#10;">
                      <v:fill on="t" focussize="0,0"/>
                      <v:stroke on="f"/>
                      <v:imagedata o:title=""/>
                      <o:lock v:ext="edit" aspectratio="f"/>
                    </v:rect>
                  </w:pict>
                </mc:Fallback>
              </mc:AlternateContent>
            </w:r>
          </w:p>
        </w:tc>
      </w:tr>
    </w:tbl>
    <w:p>
      <w:pPr>
        <w:pStyle w:val="110"/>
        <w:framePr/>
        <w:rPr>
          <w:w w:val="100"/>
        </w:rPr>
      </w:pPr>
      <w:bookmarkStart w:id="0" w:name="c3"/>
      <w:r>
        <w:rPr>
          <w:rFonts w:hint="eastAsia"/>
          <w:w w:val="100"/>
        </w:rPr>
        <w:t>邢</w:t>
      </w:r>
      <w:r>
        <w:rPr>
          <w:w w:val="100"/>
        </w:rPr>
        <w:t>JG</w:t>
      </w:r>
      <w:bookmarkEnd w:id="0"/>
    </w:p>
    <w:p>
      <w:pPr>
        <w:pStyle w:val="111"/>
        <w:framePr/>
      </w:pPr>
      <w:r>
        <w:rPr>
          <w:rFonts w:hint="eastAsia"/>
        </w:rPr>
        <w:t>邢台市机关后勤服务标准</w:t>
      </w:r>
    </w:p>
    <w:p>
      <w:pPr>
        <w:pStyle w:val="48"/>
        <w:framePr/>
        <w:wordWrap w:val="0"/>
        <w:rPr>
          <w:rFonts w:hAnsi="黑体"/>
        </w:rPr>
      </w:pPr>
      <w:r>
        <w:rPr>
          <w:rFonts w:hint="eastAsia" w:ascii="Times New Roman"/>
        </w:rPr>
        <w:t xml:space="preserve">邢JG </w:t>
      </w:r>
      <w:r>
        <w:rPr>
          <w:rFonts w:hAnsi="黑体"/>
        </w:rPr>
        <w:t>BG.</w:t>
      </w:r>
      <w:r>
        <w:rPr>
          <w:rFonts w:hint="eastAsia" w:hAnsi="黑体"/>
          <w:lang w:val="en-US" w:eastAsia="zh-CN"/>
        </w:rPr>
        <w:t>410.</w:t>
      </w:r>
      <w:r>
        <w:rPr>
          <w:rFonts w:hAnsi="黑体"/>
        </w:rPr>
        <w:t>010—2022</w:t>
      </w:r>
    </w:p>
    <w:tbl>
      <w:tblPr>
        <w:tblStyle w:val="34"/>
        <w:tblW w:w="91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40" w:type="dxa"/>
            <w:tcBorders>
              <w:top w:val="nil"/>
              <w:left w:val="nil"/>
              <w:bottom w:val="nil"/>
              <w:right w:val="nil"/>
            </w:tcBorders>
            <w:shd w:val="clear" w:color="auto" w:fill="auto"/>
          </w:tcPr>
          <w:p>
            <w:pPr>
              <w:pStyle w:val="77"/>
              <w:framePr/>
            </w:pPr>
            <w:bookmarkStart w:id="1" w:name="DT"/>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982980" cy="196215"/>
                      <wp:effectExtent l="0" t="0" r="7620" b="0"/>
                      <wp:wrapNone/>
                      <wp:docPr id="71" name="DT"/>
                      <wp:cNvGraphicFramePr/>
                      <a:graphic xmlns:a="http://schemas.openxmlformats.org/drawingml/2006/main">
                        <a:graphicData uri="http://schemas.microsoft.com/office/word/2010/wordprocessingShape">
                          <wps:wsp>
                            <wps:cNvSpPr>
                              <a:spLocks noChangeArrowheads="true"/>
                            </wps:cNvSpPr>
                            <wps:spPr bwMode="auto">
                              <a:xfrm>
                                <a:off x="0" y="0"/>
                                <a:ext cx="982980" cy="19621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5.45pt;width:77.4pt;z-index:-251656192;mso-width-relative:page;mso-height-relative:page;" fillcolor="#FFFFFF" filled="t" stroked="f" coordsize="21600,21600" o:gfxdata="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D1GGhXXAAAACAEAAA8AAAAAAAAAAQAgAAAA&#10;OAAAAGRycy9kb3ducmV2LnhtbFBLAQIUABQAAAAIAIdO4kDbXbkp9gEAANwDAAAOAAAAAAAAAAEA&#10;IAAAADwBAABkcnMvZTJvRG9jLnhtbFBLBQYAAAAABgAGAFkBAACkBQAAAAA=&#10;">
                      <v:fill on="t" focussize="0,0"/>
                      <v:stroke on="f"/>
                      <v:imagedata o:title=""/>
                      <o:lock v:ext="edit" aspectratio="f"/>
                    </v:rect>
                  </w:pict>
                </mc:Fallback>
              </mc:AlternateConten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48"/>
        <w:framePr/>
        <w:rPr>
          <w:rFonts w:hAnsi="黑体"/>
        </w:rPr>
      </w:pPr>
    </w:p>
    <w:p>
      <w:pPr>
        <w:pStyle w:val="48"/>
        <w:framePr/>
        <w:rPr>
          <w:rFonts w:hAnsi="黑体"/>
        </w:rPr>
      </w:pPr>
    </w:p>
    <w:p>
      <w:pPr>
        <w:pStyle w:val="79"/>
        <w:framePr/>
        <w:ind w:firstLine="1050"/>
      </w:pPr>
      <w:r>
        <w:rPr>
          <w:rFonts w:hint="eastAsia"/>
        </w:rPr>
        <w:t>机关突发事件应急处置规程</w:t>
      </w:r>
      <w:r>
        <w:br w:type="textWrapping"/>
      </w:r>
    </w:p>
    <w:p>
      <w:pPr>
        <w:pStyle w:val="81"/>
        <w:framePr/>
      </w:pPr>
    </w:p>
    <w:tbl>
      <w:tblPr>
        <w:tblStyle w:val="34"/>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2"/>
              <w:framePr/>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562100" cy="208280"/>
                      <wp:effectExtent l="0" t="0" r="0" b="1270"/>
                      <wp:wrapNone/>
                      <wp:docPr id="70" name="RQ"/>
                      <wp:cNvGraphicFramePr/>
                      <a:graphic xmlns:a="http://schemas.openxmlformats.org/drawingml/2006/main">
                        <a:graphicData uri="http://schemas.microsoft.com/office/word/2010/wordprocessingShape">
                          <wps:wsp>
                            <wps:cNvSpPr>
                              <a:spLocks noChangeArrowheads="true"/>
                            </wps:cNvSpPr>
                            <wps:spPr bwMode="auto">
                              <a:xfrm>
                                <a:off x="0" y="0"/>
                                <a:ext cx="1562100" cy="208280"/>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16.4pt;width:123pt;z-index:-251654144;mso-width-relative:page;mso-height-relative:page;" fillcolor="#FFFFFF" filled="t" stroked="f" coordsize="21600,21600" o:gfxdata="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ra7pn1wAAAAoBAAAPAAAAAAAAAAEAIAAA&#10;ADgAAABkcnMvZG93bnJldi54bWxQSwECFAAUAAAACACHTuJAk1qoePcBAADdAwAADgAAAAAAAAAB&#10;ACAAAAA8AQAAZHJzL2Uyb0RvYy54bWxQSwUGAAAAAAYABgBZAQAApQUAAAAA&#10;">
                      <v:fill on="t" focussize="0,0"/>
                      <v:stroke on="f"/>
                      <v:imagedata o:title=""/>
                      <o:lock v:ext="edit" aspectratio="f"/>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041400" cy="249555"/>
                      <wp:effectExtent l="0" t="0" r="6350" b="0"/>
                      <wp:wrapNone/>
                      <wp:docPr id="69" name="LB"/>
                      <wp:cNvGraphicFramePr/>
                      <a:graphic xmlns:a="http://schemas.openxmlformats.org/drawingml/2006/main">
                        <a:graphicData uri="http://schemas.microsoft.com/office/word/2010/wordprocessingShape">
                          <wps:wsp>
                            <wps:cNvSpPr>
                              <a:spLocks noChangeArrowheads="true"/>
                            </wps:cNvSpPr>
                            <wps:spPr bwMode="auto">
                              <a:xfrm>
                                <a:off x="0" y="0"/>
                                <a:ext cx="1041400" cy="249555"/>
                              </a:xfrm>
                              <a:prstGeom prst="rect">
                                <a:avLst/>
                              </a:prstGeom>
                              <a:solidFill>
                                <a:srgbClr val="FFFFFF"/>
                              </a:solidFill>
                              <a:ln>
                                <a:noFill/>
                              </a:ln>
                            </wps:spPr>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19.65pt;width:82pt;z-index:-251655168;mso-width-relative:page;mso-height-relative:page;" fillcolor="#FFFFFF" filled="t" stroked="f" coordsize="21600,21600" o:gfxdata="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ioem3XAAAACQEAAA8AAAAAAAAAAQAgAAAA&#10;OAAAAGRycy9kb3ducmV2LnhtbFBLAQIUABQAAAAIAIdO4kAJ5yrN9gEAAN0DAAAOAAAAAAAAAAEA&#10;IAAAADwBAABkcnMvZTJvRG9jLnhtbFBLBQYAAAAABgAGAFkBAACkBQ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shd w:val="clear" w:color="auto" w:fill="auto"/>
          </w:tcPr>
          <w:p>
            <w:pPr>
              <w:pStyle w:val="83"/>
              <w:framePr/>
            </w:pPr>
          </w:p>
        </w:tc>
      </w:tr>
    </w:tbl>
    <w:p>
      <w:pPr>
        <w:pStyle w:val="132"/>
        <w:framePr w:hAnchor="page" w:x="1396" w:y="14191"/>
      </w:pPr>
      <w:r>
        <w:rPr>
          <w:rFonts w:hint="eastAsia" w:ascii="黑体"/>
        </w:rPr>
        <w:t>2022</w:t>
      </w:r>
      <w:r>
        <w:rPr>
          <w:rFonts w:ascii="黑体"/>
        </w:rPr>
        <w:t xml:space="preserve"> -</w:t>
      </w:r>
      <w:r>
        <w:t xml:space="preserve"> </w:t>
      </w:r>
      <w:r>
        <w:rPr>
          <w:rFonts w:ascii="黑体"/>
        </w:rPr>
        <w:t>10 -</w:t>
      </w:r>
      <w:r>
        <w:t xml:space="preserve"> </w:t>
      </w:r>
      <w:r>
        <w:rPr>
          <w:rFonts w:ascii="黑体"/>
        </w:rPr>
        <w:t>31</w:t>
      </w:r>
      <w:r>
        <w:rPr>
          <w:rFonts w:hint="eastAsia"/>
        </w:rPr>
        <w:t>发布</w:t>
      </w:r>
    </w:p>
    <w:p>
      <w:pPr>
        <w:pStyle w:val="133"/>
        <w:framePr w:hAnchor="page" w:x="7066" w:y="14116"/>
      </w:pPr>
      <w:r>
        <w:rPr>
          <w:rFonts w:hint="eastAsia" w:ascii="黑体"/>
        </w:rPr>
        <w:t>202</w:t>
      </w:r>
      <w:r>
        <w:rPr>
          <w:rFonts w:ascii="黑体"/>
        </w:rPr>
        <w:t>2</w:t>
      </w:r>
      <w:r>
        <w:t xml:space="preserve"> </w:t>
      </w:r>
      <w:r>
        <w:rPr>
          <w:rFonts w:ascii="黑体"/>
        </w:rPr>
        <w:t>- 11</w:t>
      </w:r>
      <w:r>
        <w:t xml:space="preserve"> </w:t>
      </w:r>
      <w:r>
        <w:rPr>
          <w:rFonts w:ascii="黑体"/>
        </w:rPr>
        <w:t>-</w:t>
      </w:r>
      <w:r>
        <w:t xml:space="preserve"> </w:t>
      </w:r>
      <w:r>
        <w:rPr>
          <w:rFonts w:ascii="黑体"/>
        </w:rPr>
        <w:t>0</w:t>
      </w:r>
      <w:r>
        <w:rPr>
          <w:rFonts w:hint="eastAsia" w:ascii="黑体"/>
        </w:rPr>
        <w:t>1</w:t>
      </w:r>
      <w:r>
        <w:rPr>
          <w:rFonts w:hint="eastAsia"/>
        </w:rPr>
        <w:t>实施</w:t>
      </w:r>
    </w:p>
    <w:p>
      <w:pPr>
        <w:pStyle w:val="112"/>
        <w:framePr/>
      </w:pPr>
      <w:r>
        <w:rPr>
          <w:rFonts w:hint="eastAsia"/>
        </w:rPr>
        <w:t>邢台市机关后勤服务中心</w:t>
      </w:r>
      <w:r>
        <w:rPr>
          <w:rFonts w:hAnsi="黑体"/>
        </w:rPr>
        <w:t> </w:t>
      </w:r>
      <w:r>
        <w:rPr>
          <w:rStyle w:val="74"/>
          <w:rFonts w:hint="eastAsia"/>
        </w:rPr>
        <w:t>发布</w:t>
      </w:r>
    </w:p>
    <w:p>
      <w:pPr>
        <w:pStyle w:val="25"/>
        <w:sectPr>
          <w:footerReference r:id="rId3" w:type="default"/>
          <w:pgSz w:w="11906" w:h="16838"/>
          <w:pgMar w:top="567" w:right="850" w:bottom="1134" w:left="1418" w:header="0" w:footer="0" w:gutter="0"/>
          <w:pgNumType w:fmt="decimal" w:start="80"/>
          <w:cols w:space="425" w:num="1"/>
          <w:docGrid w:type="lines" w:linePitch="312" w:charSpace="0"/>
        </w:sectPr>
      </w:pPr>
      <w: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9046210</wp:posOffset>
                </wp:positionV>
                <wp:extent cx="6062980" cy="0"/>
                <wp:effectExtent l="0" t="0" r="33020" b="19050"/>
                <wp:wrapNone/>
                <wp:docPr id="42"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1pt;margin-top:712.3pt;height:0pt;width:477.4pt;z-index:251664384;mso-width-relative:page;mso-height-relative:page;" filled="f" stroked="t" coordsize="21600,21600" o:gfxdata="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BYAAABk&#10;cnMvUEsBAhQAFAAAAAgAh07iQM3UUFbWAAAACwEAAA8AAAAAAAAAAQAgAAAAOAAAAGRycy9kb3du&#10;cmV2LnhtbFBLAQIUABQAAAAIAIdO4kD646/esgEAAFYDAAAOAAAAAAAAAAEAIAAAADsBAABkcnMv&#10;ZTJvRG9jLnhtbFBLBQYAAAAABgAGAFkBAABf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2339340</wp:posOffset>
                </wp:positionV>
                <wp:extent cx="6062980" cy="0"/>
                <wp:effectExtent l="0" t="0" r="33020" b="19050"/>
                <wp:wrapNone/>
                <wp:docPr id="67" name="Line 11"/>
                <wp:cNvGraphicFramePr/>
                <a:graphic xmlns:a="http://schemas.openxmlformats.org/drawingml/2006/main">
                  <a:graphicData uri="http://schemas.microsoft.com/office/word/2010/wordprocessingShape">
                    <wps:wsp>
                      <wps:cNvCnPr>
                        <a:cxnSpLocks noChangeShapeType="true"/>
                      </wps:cNvCnPr>
                      <wps:spPr bwMode="auto">
                        <a:xfrm>
                          <a:off x="0" y="0"/>
                          <a:ext cx="6062980" cy="0"/>
                        </a:xfrm>
                        <a:prstGeom prst="line">
                          <a:avLst/>
                        </a:prstGeom>
                        <a:noFill/>
                        <a:ln w="9525">
                          <a:solidFill>
                            <a:srgbClr val="000000"/>
                          </a:solidFill>
                          <a:round/>
                        </a:ln>
                      </wps:spPr>
                      <wps:bodyPr/>
                    </wps:wsp>
                  </a:graphicData>
                </a:graphic>
              </wp:anchor>
            </w:drawing>
          </mc:Choice>
          <mc:Fallback>
            <w:pict>
              <v:line id="Line 11" o:spid="_x0000_s1026" o:spt="20" style="position:absolute;left:0pt;margin-left:-0.05pt;margin-top:184.2pt;height:0pt;width:477.4pt;z-index:251659264;mso-width-relative:page;mso-height-relative:page;" filled="f" stroked="t" coordsize="21600,21600" o:gfxdata="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g+je+1wAAAAkBAAAPAAAAAAAAAAEAIAAAADgAAABkcnMvZG93&#10;bnJldi54bWxQSwECFAAUAAAACACHTuJAww02KbIBAABWAwAADgAAAAAAAAABACAAAAA8AQAAZHJz&#10;L2Uyb0RvYy54bWxQSwUGAAAAAAYABgBZAQAAYAUAAAAA&#10;">
                <v:fill on="f" focussize="0,0"/>
                <v:stroke color="#000000" joinstyle="round"/>
                <v:imagedata o:title=""/>
                <o:lock v:ext="edit" aspectratio="f"/>
              </v:line>
            </w:pict>
          </mc:Fallback>
        </mc:AlternateContent>
      </w:r>
    </w:p>
    <w:p>
      <w:pPr>
        <w:pStyle w:val="113"/>
      </w:pPr>
      <w:bookmarkStart w:id="2" w:name="_Toc475694823"/>
      <w:bookmarkStart w:id="3" w:name="_Toc49518022"/>
      <w:bookmarkStart w:id="4" w:name="_Toc118288280"/>
      <w:r>
        <w:rPr>
          <w:rFonts w:hint="eastAsia"/>
        </w:rPr>
        <w:t>前</w:t>
      </w:r>
      <w:bookmarkStart w:id="5" w:name="BKQY"/>
      <w:r>
        <w:rPr>
          <w:rFonts w:hAnsi="黑体"/>
        </w:rPr>
        <w:t>  </w:t>
      </w:r>
      <w:r>
        <w:rPr>
          <w:rFonts w:hint="eastAsia"/>
        </w:rPr>
        <w:t>言</w:t>
      </w:r>
      <w:bookmarkEnd w:id="2"/>
      <w:bookmarkEnd w:id="3"/>
      <w:bookmarkEnd w:id="4"/>
      <w:bookmarkEnd w:id="5"/>
    </w:p>
    <w:p>
      <w:pPr>
        <w:ind w:firstLine="420" w:firstLineChars="200"/>
        <w:rPr>
          <w:rFonts w:asciiTheme="minorEastAsia" w:hAnsiTheme="minorEastAsia" w:eastAsiaTheme="minorEastAsia"/>
          <w:szCs w:val="28"/>
        </w:rPr>
      </w:pPr>
      <w:r>
        <w:rPr>
          <w:rFonts w:hint="eastAsia" w:asciiTheme="minorEastAsia" w:hAnsiTheme="minorEastAsia" w:eastAsiaTheme="minorEastAsia"/>
          <w:szCs w:val="28"/>
        </w:rPr>
        <w:t>本文件参照GB/T 1.1—20</w:t>
      </w:r>
      <w:r>
        <w:rPr>
          <w:rFonts w:asciiTheme="minorEastAsia" w:hAnsiTheme="minorEastAsia" w:eastAsiaTheme="minorEastAsia"/>
          <w:szCs w:val="28"/>
        </w:rPr>
        <w:t>20</w:t>
      </w:r>
      <w:r>
        <w:rPr>
          <w:rFonts w:hint="eastAsia" w:asciiTheme="minorEastAsia" w:hAnsiTheme="minorEastAsia" w:eastAsiaTheme="minorEastAsia"/>
          <w:szCs w:val="28"/>
        </w:rPr>
        <w:t>《标准化工作导则 第1部分：标准化文件的结构和起草规则》的规定起草。</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本文件归口部门：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本文件起草部门：</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办公室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本文件主要起草人：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薛绍鹏、李丹</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 xml:space="preserve">2022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pStyle w:val="25"/>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本文件主要审核人：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刘朝生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15</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cs="仿宋_GB2312" w:asciiTheme="minorEastAsia" w:hAnsiTheme="minorEastAsia" w:eastAsiaTheme="minorEastAsia"/>
          <w:szCs w:val="32"/>
        </w:rPr>
      </w:pPr>
      <w:r>
        <w:rPr>
          <w:rFonts w:hint="eastAsia" w:cs="仿宋_GB2312" w:asciiTheme="minorEastAsia" w:hAnsiTheme="minorEastAsia" w:eastAsiaTheme="minorEastAsia"/>
          <w:szCs w:val="32"/>
        </w:rPr>
        <w:t>本文件批准人：</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eastAsia="zh-CN"/>
        </w:rPr>
        <w:t>陈德礼</w:t>
      </w:r>
      <w:r>
        <w:rPr>
          <w:rFonts w:hint="eastAsia"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rPr>
        <w:t>，日期：</w:t>
      </w:r>
      <w:r>
        <w:rPr>
          <w:rFonts w:hint="eastAsia" w:cs="仿宋_GB2312" w:asciiTheme="minorEastAsia" w:hAnsiTheme="minorEastAsia" w:eastAsiaTheme="minorEastAsia"/>
          <w:szCs w:val="32"/>
          <w:u w:val="single"/>
        </w:rPr>
        <w:t xml:space="preserve">  </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2022</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年</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8</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月</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lang w:val="en-US" w:eastAsia="zh-CN"/>
        </w:rPr>
        <w:t>31</w:t>
      </w:r>
      <w:r>
        <w:rPr>
          <w:rFonts w:cs="仿宋_GB2312" w:asciiTheme="minorEastAsia" w:hAnsiTheme="minorEastAsia" w:eastAsiaTheme="minorEastAsia"/>
          <w:szCs w:val="32"/>
          <w:u w:val="single"/>
        </w:rPr>
        <w:t xml:space="preserve"> </w:t>
      </w:r>
      <w:r>
        <w:rPr>
          <w:rFonts w:hint="eastAsia" w:cs="仿宋_GB2312" w:asciiTheme="minorEastAsia" w:hAnsiTheme="minorEastAsia" w:eastAsiaTheme="minorEastAsia"/>
          <w:szCs w:val="32"/>
          <w:u w:val="single"/>
        </w:rPr>
        <w:t xml:space="preserve">日 </w:t>
      </w:r>
      <w:r>
        <w:rPr>
          <w:rFonts w:hint="eastAsia" w:cs="仿宋_GB2312" w:asciiTheme="minorEastAsia" w:hAnsiTheme="minorEastAsia" w:eastAsiaTheme="minorEastAsia"/>
          <w:szCs w:val="32"/>
        </w:rPr>
        <w:t>。</w:t>
      </w:r>
    </w:p>
    <w:p>
      <w:pPr>
        <w:ind w:firstLine="420" w:firstLineChars="200"/>
        <w:rPr>
          <w:rFonts w:ascii="仿宋_GB2312" w:hAnsi="仿宋_GB2312" w:cs="仿宋_GB2312"/>
          <w:szCs w:val="32"/>
        </w:rPr>
      </w:pPr>
    </w:p>
    <w:p>
      <w:pPr>
        <w:pStyle w:val="25"/>
        <w:rPr>
          <w:rFonts w:ascii="仿宋_GB2312" w:hAnsi="仿宋_GB2312" w:cs="仿宋_GB2312"/>
          <w:szCs w:val="32"/>
        </w:rPr>
      </w:pPr>
    </w:p>
    <w:p>
      <w:pPr>
        <w:pStyle w:val="25"/>
        <w:spacing w:before="156" w:beforeLines="50" w:after="156" w:afterLines="50"/>
        <w:rPr>
          <w:rFonts w:ascii="黑体" w:hAnsi="黑体" w:eastAsia="黑体" w:cs="黑体"/>
          <w:szCs w:val="32"/>
        </w:rPr>
      </w:pPr>
      <w:r>
        <w:rPr>
          <w:rFonts w:hint="eastAsia" w:ascii="黑体" w:hAnsi="黑体" w:eastAsia="黑体" w:cs="黑体"/>
          <w:szCs w:val="32"/>
        </w:rPr>
        <w:t>文件履历：</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1793"/>
        <w:gridCol w:w="1085"/>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版本号</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085" w:type="dxa"/>
          </w:tcPr>
          <w:p>
            <w:pPr>
              <w:ind w:firstLine="1" w:firstLineChars="1"/>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创建/更改</w:t>
            </w:r>
          </w:p>
        </w:tc>
        <w:tc>
          <w:tcPr>
            <w:tcW w:w="538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修改内容简介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1.0</w:t>
            </w:r>
          </w:p>
        </w:tc>
        <w:tc>
          <w:tcPr>
            <w:tcW w:w="1793"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2020年8月31日</w:t>
            </w:r>
          </w:p>
        </w:tc>
        <w:tc>
          <w:tcPr>
            <w:tcW w:w="1085" w:type="dxa"/>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创建</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.0</w:t>
            </w:r>
          </w:p>
        </w:tc>
        <w:tc>
          <w:tcPr>
            <w:tcW w:w="1793" w:type="dxa"/>
            <w:vAlign w:val="top"/>
          </w:tcPr>
          <w:p>
            <w:pPr>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202</w:t>
            </w:r>
            <w:r>
              <w:rPr>
                <w:rFonts w:hint="eastAsia" w:cs="仿宋_GB2312" w:asciiTheme="minorEastAsia" w:hAnsiTheme="minorEastAsia" w:eastAsiaTheme="minorEastAsia"/>
                <w:kern w:val="0"/>
                <w:sz w:val="18"/>
                <w:szCs w:val="18"/>
                <w:lang w:val="en-US" w:eastAsia="zh-CN"/>
              </w:rPr>
              <w:t>2</w:t>
            </w:r>
            <w:r>
              <w:rPr>
                <w:rFonts w:hint="eastAsia" w:cs="仿宋_GB2312" w:asciiTheme="minorEastAsia" w:hAnsiTheme="minorEastAsia" w:eastAsiaTheme="minorEastAsia"/>
                <w:kern w:val="0"/>
                <w:sz w:val="18"/>
                <w:szCs w:val="18"/>
              </w:rPr>
              <w:t>年</w:t>
            </w:r>
            <w:r>
              <w:rPr>
                <w:rFonts w:hint="eastAsia" w:cs="仿宋_GB2312" w:asciiTheme="minorEastAsia" w:hAnsiTheme="minorEastAsia" w:eastAsiaTheme="minorEastAsia"/>
                <w:kern w:val="0"/>
                <w:sz w:val="18"/>
                <w:szCs w:val="18"/>
                <w:lang w:val="en-US" w:eastAsia="zh-CN"/>
              </w:rPr>
              <w:t>9</w:t>
            </w:r>
            <w:r>
              <w:rPr>
                <w:rFonts w:hint="eastAsia" w:cs="仿宋_GB2312" w:asciiTheme="minorEastAsia" w:hAnsiTheme="minorEastAsia" w:eastAsiaTheme="minorEastAsia"/>
                <w:kern w:val="0"/>
                <w:sz w:val="18"/>
                <w:szCs w:val="18"/>
              </w:rPr>
              <w:t>月1日</w:t>
            </w:r>
          </w:p>
        </w:tc>
        <w:tc>
          <w:tcPr>
            <w:tcW w:w="1085" w:type="dxa"/>
            <w:vAlign w:val="top"/>
          </w:tcPr>
          <w:p>
            <w:pPr>
              <w:jc w:val="center"/>
              <w:rPr>
                <w:rFonts w:hint="eastAsia" w:cs="仿宋_GB2312" w:asciiTheme="minorEastAsia" w:hAnsiTheme="minorEastAsia" w:eastAsiaTheme="minorEastAsia"/>
                <w:kern w:val="0"/>
                <w:sz w:val="18"/>
                <w:szCs w:val="18"/>
                <w:lang w:eastAsia="zh-CN"/>
              </w:rPr>
            </w:pPr>
            <w:r>
              <w:rPr>
                <w:rFonts w:hint="eastAsia" w:cs="仿宋_GB2312" w:asciiTheme="minorEastAsia" w:hAnsiTheme="minorEastAsia" w:eastAsiaTheme="minorEastAsia"/>
                <w:kern w:val="0"/>
                <w:sz w:val="18"/>
                <w:szCs w:val="18"/>
                <w:lang w:eastAsia="zh-CN"/>
              </w:rPr>
              <w:t>更改</w:t>
            </w: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 w:type="dxa"/>
          </w:tcPr>
          <w:p>
            <w:pPr>
              <w:ind w:firstLine="360" w:firstLineChars="200"/>
              <w:jc w:val="center"/>
              <w:rPr>
                <w:rFonts w:cs="仿宋_GB2312" w:asciiTheme="minorEastAsia" w:hAnsiTheme="minorEastAsia" w:eastAsiaTheme="minorEastAsia"/>
                <w:kern w:val="0"/>
                <w:sz w:val="18"/>
                <w:szCs w:val="18"/>
              </w:rPr>
            </w:pPr>
          </w:p>
        </w:tc>
        <w:tc>
          <w:tcPr>
            <w:tcW w:w="1793" w:type="dxa"/>
          </w:tcPr>
          <w:p>
            <w:pPr>
              <w:ind w:firstLine="360" w:firstLineChars="200"/>
              <w:jc w:val="center"/>
              <w:rPr>
                <w:rFonts w:cs="仿宋_GB2312" w:asciiTheme="minorEastAsia" w:hAnsiTheme="minorEastAsia" w:eastAsiaTheme="minorEastAsia"/>
                <w:kern w:val="0"/>
                <w:sz w:val="18"/>
                <w:szCs w:val="18"/>
              </w:rPr>
            </w:pPr>
          </w:p>
        </w:tc>
        <w:tc>
          <w:tcPr>
            <w:tcW w:w="1085" w:type="dxa"/>
          </w:tcPr>
          <w:p>
            <w:pPr>
              <w:ind w:firstLine="360" w:firstLineChars="200"/>
              <w:jc w:val="center"/>
              <w:rPr>
                <w:rFonts w:cs="仿宋_GB2312" w:asciiTheme="minorEastAsia" w:hAnsiTheme="minorEastAsia" w:eastAsiaTheme="minorEastAsia"/>
                <w:kern w:val="0"/>
                <w:sz w:val="18"/>
                <w:szCs w:val="18"/>
              </w:rPr>
            </w:pPr>
          </w:p>
        </w:tc>
        <w:tc>
          <w:tcPr>
            <w:tcW w:w="5386" w:type="dxa"/>
          </w:tcPr>
          <w:p>
            <w:pPr>
              <w:ind w:firstLine="360" w:firstLineChars="200"/>
              <w:jc w:val="center"/>
              <w:rPr>
                <w:rFonts w:cs="仿宋_GB2312" w:asciiTheme="minorEastAsia" w:hAnsiTheme="minorEastAsia" w:eastAsiaTheme="minorEastAsia"/>
                <w:kern w:val="0"/>
                <w:sz w:val="18"/>
                <w:szCs w:val="18"/>
              </w:rPr>
            </w:pPr>
          </w:p>
        </w:tc>
      </w:tr>
    </w:tbl>
    <w:p>
      <w:pPr>
        <w:ind w:firstLine="420" w:firstLineChars="200"/>
        <w:rPr>
          <w:rFonts w:ascii="宋体" w:hAnsi="宋体"/>
          <w:szCs w:val="28"/>
        </w:rPr>
        <w:sectPr>
          <w:headerReference r:id="rId4" w:type="default"/>
          <w:footerReference r:id="rId5" w:type="default"/>
          <w:pgSz w:w="11906" w:h="16838"/>
          <w:pgMar w:top="567" w:right="1134" w:bottom="1134" w:left="1418" w:header="1418" w:footer="1134" w:gutter="0"/>
          <w:pgNumType w:fmt="decimal" w:start="81"/>
          <w:cols w:space="425" w:num="1"/>
          <w:formProt w:val="0"/>
          <w:docGrid w:type="lines" w:linePitch="312" w:charSpace="0"/>
        </w:sectPr>
      </w:pPr>
    </w:p>
    <w:p>
      <w:pPr>
        <w:pStyle w:val="51"/>
      </w:pPr>
      <w:r>
        <w:rPr>
          <w:rFonts w:hint="eastAsia"/>
        </w:rPr>
        <w:t>机关突发事件应急处置规程</w:t>
      </w:r>
    </w:p>
    <w:p>
      <w:pPr>
        <w:pStyle w:val="46"/>
      </w:pPr>
      <w:bookmarkStart w:id="6" w:name="_Toc118288281"/>
      <w:r>
        <w:rPr>
          <w:rFonts w:hint="eastAsia"/>
        </w:rPr>
        <w:t>范围</w:t>
      </w:r>
      <w:bookmarkEnd w:id="6"/>
    </w:p>
    <w:p>
      <w:pPr>
        <w:pStyle w:val="25"/>
        <w:tabs>
          <w:tab w:val="clear" w:pos="4201"/>
          <w:tab w:val="clear" w:pos="9298"/>
        </w:tabs>
      </w:pPr>
      <w:r>
        <w:rPr>
          <w:rFonts w:hint="eastAsia"/>
        </w:rPr>
        <w:t>本文件规定了突发事件应急处置的原则、分类与分级、机构职责、应急响应、信息公开、应急处置、善后工作和应急突发事件预防的要求。</w:t>
      </w:r>
    </w:p>
    <w:p>
      <w:pPr>
        <w:pStyle w:val="25"/>
      </w:pPr>
      <w:r>
        <w:rPr>
          <w:rFonts w:hint="eastAsia"/>
        </w:rPr>
        <w:t>本文件适用于邢台后勤服务中心突发事件应急处置。</w:t>
      </w:r>
    </w:p>
    <w:p>
      <w:pPr>
        <w:pStyle w:val="46"/>
      </w:pPr>
      <w:bookmarkStart w:id="7" w:name="_Toc118288282"/>
      <w:r>
        <w:rPr>
          <w:rFonts w:hint="eastAsia"/>
        </w:rPr>
        <w:t>规范性引用文件</w:t>
      </w:r>
      <w:bookmarkEnd w:id="7"/>
    </w:p>
    <w:p>
      <w:pPr>
        <w:pStyle w:val="25"/>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pPr>
      <w:r>
        <w:rPr>
          <w:rFonts w:hint="eastAsia"/>
        </w:rPr>
        <w:t>G</w:t>
      </w:r>
      <w:r>
        <w:t>B/T 29639 生产经营单位生产安全事故应急预案编制导则</w:t>
      </w:r>
    </w:p>
    <w:p>
      <w:pPr>
        <w:pStyle w:val="25"/>
      </w:pPr>
      <w:r>
        <w:rPr>
          <w:rFonts w:hint="eastAsia"/>
        </w:rPr>
        <w:t>A</w:t>
      </w:r>
      <w:r>
        <w:t>Q/T 9007 生产安全事故应急演练基本规范</w:t>
      </w:r>
    </w:p>
    <w:p>
      <w:pPr>
        <w:pStyle w:val="25"/>
      </w:pPr>
      <w:r>
        <w:rPr>
          <w:rFonts w:hint="eastAsia"/>
        </w:rPr>
        <w:t>《中华人民共和国突发事件应对法》</w:t>
      </w:r>
    </w:p>
    <w:p>
      <w:pPr>
        <w:pStyle w:val="25"/>
      </w:pPr>
      <w:r>
        <w:rPr>
          <w:rFonts w:hint="eastAsia"/>
        </w:rPr>
        <w:t>《河北省突发事件应对条例》</w:t>
      </w:r>
    </w:p>
    <w:p>
      <w:pPr>
        <w:pStyle w:val="25"/>
        <w:rPr>
          <w:color w:val="0070C0"/>
        </w:rPr>
      </w:pPr>
      <w:r>
        <w:rPr>
          <w:rFonts w:hint="eastAsia"/>
        </w:rPr>
        <w:t>《河北省人民政府突发事件应急预案》</w:t>
      </w:r>
    </w:p>
    <w:p>
      <w:pPr>
        <w:pStyle w:val="46"/>
      </w:pPr>
      <w:bookmarkStart w:id="8" w:name="_Toc118288283"/>
      <w:r>
        <w:rPr>
          <w:rFonts w:hint="eastAsia"/>
        </w:rPr>
        <w:t>术语和定义</w:t>
      </w:r>
      <w:bookmarkEnd w:id="8"/>
    </w:p>
    <w:p>
      <w:pPr>
        <w:pStyle w:val="25"/>
        <w:rPr>
          <w:color w:val="000000"/>
        </w:rPr>
      </w:pPr>
      <w:r>
        <w:rPr>
          <w:rFonts w:hint="eastAsia"/>
          <w:color w:val="000000"/>
        </w:rPr>
        <w:t>下列术语和定义适用于本文件。</w:t>
      </w:r>
    </w:p>
    <w:p>
      <w:pPr>
        <w:pStyle w:val="146"/>
      </w:pPr>
    </w:p>
    <w:p>
      <w:pPr>
        <w:pStyle w:val="148"/>
      </w:pPr>
      <w:r>
        <w:rPr>
          <w:rFonts w:hint="eastAsia"/>
        </w:rPr>
        <w:t>应急预案</w:t>
      </w:r>
    </w:p>
    <w:p>
      <w:pPr>
        <w:pStyle w:val="25"/>
        <w:rPr>
          <w:rFonts w:ascii="Tahoma" w:hAnsi="Tahoma" w:cs="Tahoma"/>
          <w:color w:val="000000"/>
          <w:szCs w:val="21"/>
          <w:shd w:val="clear" w:color="auto" w:fill="FFFFFF"/>
        </w:rPr>
      </w:pPr>
      <w:r>
        <w:rPr>
          <w:rFonts w:hint="eastAsia"/>
        </w:rPr>
        <w:t>为有效预防和控制可能发生的事件或事故，最大程度地减少事件或事故造成的损害而预先规定的工作方案。</w:t>
      </w:r>
    </w:p>
    <w:p>
      <w:pPr>
        <w:pStyle w:val="25"/>
        <w:rPr>
          <w:rFonts w:ascii="Tahoma" w:hAnsi="Tahoma" w:cs="Tahoma"/>
          <w:color w:val="000000"/>
          <w:szCs w:val="21"/>
          <w:shd w:val="clear" w:color="auto" w:fill="FFFFFF"/>
        </w:rPr>
      </w:pPr>
      <w:r>
        <w:rPr>
          <w:rFonts w:hint="eastAsia"/>
        </w:rPr>
        <w:t>[来源</w:t>
      </w:r>
      <w:r>
        <w:t>：</w:t>
      </w:r>
      <w:r>
        <w:rPr>
          <w:rFonts w:hint="eastAsia"/>
        </w:rPr>
        <w:t xml:space="preserve">GB/T </w:t>
      </w:r>
      <w:r>
        <w:t>29639</w:t>
      </w:r>
      <w:r>
        <w:rPr>
          <w:rFonts w:hint="eastAsia"/>
        </w:rPr>
        <w:t>-</w:t>
      </w:r>
      <w:r>
        <w:t>2020</w:t>
      </w:r>
      <w:r>
        <w:rPr>
          <w:rFonts w:hint="eastAsia"/>
        </w:rPr>
        <w:t>,</w:t>
      </w:r>
      <w:r>
        <w:t>3.1</w:t>
      </w:r>
      <w:r>
        <w:rPr>
          <w:rFonts w:hint="eastAsia"/>
        </w:rPr>
        <w:t>]</w:t>
      </w:r>
    </w:p>
    <w:p>
      <w:pPr>
        <w:pStyle w:val="146"/>
      </w:pPr>
    </w:p>
    <w:p>
      <w:pPr>
        <w:pStyle w:val="148"/>
      </w:pPr>
      <w:r>
        <w:rPr>
          <w:rFonts w:hint="eastAsia"/>
        </w:rPr>
        <w:t>应急准备</w:t>
      </w:r>
    </w:p>
    <w:p>
      <w:pPr>
        <w:pStyle w:val="25"/>
        <w:rPr>
          <w:rFonts w:ascii="Tahoma" w:hAnsi="Tahoma" w:cs="Tahoma"/>
          <w:color w:val="000000"/>
          <w:szCs w:val="21"/>
          <w:shd w:val="clear" w:color="auto" w:fill="FFFFFF"/>
        </w:rPr>
      </w:pPr>
      <w:r>
        <w:rPr>
          <w:rFonts w:hint="eastAsia"/>
        </w:rPr>
        <w:t>针对可能发生的事件或事故，为迅速、科学、有序地开展应急行动而预先进行的思想准备、组织准备和物资准备</w:t>
      </w:r>
      <w:r>
        <w:rPr>
          <w:rFonts w:hint="eastAsia" w:ascii="Tahoma" w:hAnsi="Tahoma" w:cs="Tahoma"/>
          <w:color w:val="000000"/>
          <w:szCs w:val="21"/>
          <w:shd w:val="clear" w:color="auto" w:fill="FFFFFF"/>
        </w:rPr>
        <w:t>。</w:t>
      </w:r>
    </w:p>
    <w:p>
      <w:pPr>
        <w:pStyle w:val="146"/>
      </w:pPr>
    </w:p>
    <w:p>
      <w:pPr>
        <w:pStyle w:val="148"/>
      </w:pPr>
      <w:r>
        <w:rPr>
          <w:rFonts w:hint="eastAsia"/>
        </w:rPr>
        <w:t>应急响应</w:t>
      </w:r>
    </w:p>
    <w:p>
      <w:pPr>
        <w:pStyle w:val="25"/>
        <w:rPr>
          <w:rFonts w:ascii="Tahoma" w:hAnsi="Tahoma" w:cs="Tahoma"/>
          <w:color w:val="000000"/>
          <w:szCs w:val="21"/>
          <w:shd w:val="clear" w:color="auto" w:fill="FFFFFF"/>
        </w:rPr>
      </w:pPr>
      <w:r>
        <w:rPr>
          <w:rFonts w:hint="eastAsia"/>
        </w:rPr>
        <w:t>针对发生的事件或事故，有关组织或人员采取的应急行动</w:t>
      </w:r>
      <w:r>
        <w:rPr>
          <w:rFonts w:hint="eastAsia" w:ascii="Tahoma" w:hAnsi="Tahoma" w:cs="Tahoma"/>
          <w:color w:val="000000"/>
          <w:szCs w:val="21"/>
          <w:shd w:val="clear" w:color="auto" w:fill="FFFFFF"/>
        </w:rPr>
        <w:t>。</w:t>
      </w:r>
    </w:p>
    <w:p>
      <w:pPr>
        <w:pStyle w:val="25"/>
      </w:pPr>
      <w:r>
        <w:rPr>
          <w:rFonts w:hint="eastAsia"/>
        </w:rPr>
        <w:t>[来源</w:t>
      </w:r>
      <w:r>
        <w:t>：</w:t>
      </w:r>
      <w:r>
        <w:rPr>
          <w:rFonts w:hint="eastAsia"/>
        </w:rPr>
        <w:t xml:space="preserve">GB/T </w:t>
      </w:r>
      <w:r>
        <w:t>29639</w:t>
      </w:r>
      <w:r>
        <w:rPr>
          <w:rFonts w:hint="eastAsia"/>
        </w:rPr>
        <w:t>-</w:t>
      </w:r>
      <w:r>
        <w:t>2020</w:t>
      </w:r>
      <w:r>
        <w:rPr>
          <w:rFonts w:hint="eastAsia"/>
        </w:rPr>
        <w:t>,</w:t>
      </w:r>
      <w:r>
        <w:t>3.2</w:t>
      </w:r>
      <w:r>
        <w:rPr>
          <w:rFonts w:hint="eastAsia"/>
        </w:rPr>
        <w:t>]</w:t>
      </w:r>
    </w:p>
    <w:p>
      <w:pPr>
        <w:pStyle w:val="146"/>
      </w:pPr>
    </w:p>
    <w:p>
      <w:pPr>
        <w:pStyle w:val="25"/>
        <w:rPr>
          <w:rFonts w:ascii="黑体" w:hAnsi="黑体" w:eastAsia="黑体"/>
        </w:rPr>
      </w:pPr>
      <w:r>
        <w:rPr>
          <w:rFonts w:ascii="黑体" w:hAnsi="黑体" w:eastAsia="黑体"/>
        </w:rPr>
        <w:t>应急救援</w:t>
      </w:r>
    </w:p>
    <w:p>
      <w:pPr>
        <w:pStyle w:val="25"/>
      </w:pPr>
      <w:r>
        <w:t>在应急响应过程中，为最大限度地降低事件或事故造成的损失或危害，防止事态扩大，而采取的紧急措施或行动。</w:t>
      </w:r>
    </w:p>
    <w:p>
      <w:pPr>
        <w:pStyle w:val="146"/>
      </w:pPr>
    </w:p>
    <w:p>
      <w:pPr>
        <w:pStyle w:val="25"/>
        <w:rPr>
          <w:rFonts w:ascii="黑体" w:hAnsi="黑体" w:eastAsia="黑体"/>
        </w:rPr>
      </w:pPr>
      <w:r>
        <w:rPr>
          <w:rFonts w:ascii="黑体" w:hAnsi="黑体" w:eastAsia="黑体"/>
        </w:rPr>
        <w:t>应急演练</w:t>
      </w:r>
    </w:p>
    <w:p>
      <w:pPr>
        <w:pStyle w:val="25"/>
      </w:pPr>
      <w:r>
        <w:t>针对可能发生的事件或事故情景，依据应急预案而模拟开展的应急活动。</w:t>
      </w:r>
    </w:p>
    <w:p>
      <w:pPr>
        <w:pStyle w:val="25"/>
      </w:pPr>
      <w:r>
        <w:rPr>
          <w:rFonts w:hint="eastAsia"/>
        </w:rPr>
        <w:t>[来源</w:t>
      </w:r>
      <w:r>
        <w:t>：</w:t>
      </w:r>
      <w:r>
        <w:rPr>
          <w:rFonts w:hint="eastAsia"/>
        </w:rPr>
        <w:t>A</w:t>
      </w:r>
      <w:r>
        <w:t>Q</w:t>
      </w:r>
      <w:r>
        <w:rPr>
          <w:rFonts w:hint="eastAsia"/>
        </w:rPr>
        <w:t xml:space="preserve">/T </w:t>
      </w:r>
      <w:r>
        <w:t>9007</w:t>
      </w:r>
      <w:r>
        <w:rPr>
          <w:rFonts w:hint="eastAsia"/>
        </w:rPr>
        <w:t>-</w:t>
      </w:r>
      <w:r>
        <w:t>2019</w:t>
      </w:r>
      <w:r>
        <w:rPr>
          <w:rFonts w:hint="eastAsia"/>
        </w:rPr>
        <w:t>,</w:t>
      </w:r>
      <w:r>
        <w:t>3.2</w:t>
      </w:r>
      <w:r>
        <w:rPr>
          <w:rFonts w:hint="eastAsia"/>
        </w:rPr>
        <w:t>]</w:t>
      </w:r>
    </w:p>
    <w:p>
      <w:pPr>
        <w:pStyle w:val="146"/>
      </w:pPr>
    </w:p>
    <w:p>
      <w:pPr>
        <w:pStyle w:val="25"/>
        <w:rPr>
          <w:rFonts w:ascii="黑体" w:hAnsi="黑体" w:eastAsia="黑体"/>
        </w:rPr>
      </w:pPr>
      <w:r>
        <w:rPr>
          <w:rFonts w:ascii="黑体" w:hAnsi="黑体" w:eastAsia="黑体"/>
        </w:rPr>
        <w:t>事件或事故</w:t>
      </w:r>
    </w:p>
    <w:p>
      <w:pPr>
        <w:pStyle w:val="25"/>
        <w:rPr>
          <w:rFonts w:ascii="Tahoma" w:hAnsi="Tahoma" w:cs="Tahoma"/>
          <w:color w:val="000000"/>
          <w:szCs w:val="21"/>
          <w:shd w:val="clear" w:color="auto" w:fill="FFFFFF"/>
        </w:rPr>
      </w:pPr>
      <w:r>
        <w:t>在机关办公楼区域内</w:t>
      </w:r>
      <w:r>
        <w:rPr>
          <w:rFonts w:hint="eastAsia"/>
        </w:rPr>
        <w:t>可能</w:t>
      </w:r>
      <w:r>
        <w:t>发生的、可能影响到正常办公秩序的事件或突发事件引起的各种事故，以及自然灾害、事故灾难、公共卫生事件、社会安全事件引起的办公中断事件。</w:t>
      </w:r>
    </w:p>
    <w:p>
      <w:pPr>
        <w:pStyle w:val="46"/>
      </w:pPr>
      <w:bookmarkStart w:id="9" w:name="_Toc118288284"/>
      <w:r>
        <w:rPr>
          <w:rFonts w:hint="eastAsia"/>
        </w:rPr>
        <w:t>原则</w:t>
      </w:r>
      <w:bookmarkEnd w:id="9"/>
    </w:p>
    <w:p>
      <w:pPr>
        <w:pStyle w:val="43"/>
        <w:spacing w:before="156" w:after="156"/>
      </w:pPr>
      <w:bookmarkStart w:id="10" w:name="_Toc118288285"/>
      <w:r>
        <w:rPr>
          <w:rFonts w:hint="eastAsia"/>
        </w:rPr>
        <w:t>以人为本，预防为主</w:t>
      </w:r>
      <w:bookmarkEnd w:id="10"/>
    </w:p>
    <w:p>
      <w:pPr>
        <w:pStyle w:val="25"/>
      </w:pPr>
      <w:r>
        <w:rPr>
          <w:rFonts w:hint="eastAsia"/>
        </w:rPr>
        <w:t>以保障干部职工健康和生命财产安全为首要任务，坚持预防与应急相结合，常态和非常态相结合，把风险管理工作融入中心内工作的各个领域、各个环节，最大限度地避免或减少突发事件及其造成的人员伤亡和社会危害。</w:t>
      </w:r>
    </w:p>
    <w:p>
      <w:pPr>
        <w:pStyle w:val="43"/>
        <w:spacing w:before="156" w:after="156"/>
      </w:pPr>
      <w:bookmarkStart w:id="11" w:name="_Toc118288286"/>
      <w:r>
        <w:rPr>
          <w:rFonts w:hint="eastAsia"/>
        </w:rPr>
        <w:t>统一领导，全员参与</w:t>
      </w:r>
      <w:bookmarkEnd w:id="11"/>
    </w:p>
    <w:p>
      <w:pPr>
        <w:pStyle w:val="25"/>
      </w:pPr>
      <w:r>
        <w:rPr>
          <w:rFonts w:hint="eastAsia"/>
        </w:rPr>
        <w:t>由中心突发事件应急工作小组统一领导，实行“谁主管、谁负责”，中心全体成员分工协作的组织体系。</w:t>
      </w:r>
    </w:p>
    <w:p>
      <w:pPr>
        <w:pStyle w:val="43"/>
        <w:spacing w:before="156" w:after="156"/>
      </w:pPr>
      <w:bookmarkStart w:id="12" w:name="_Toc118288287"/>
      <w:r>
        <w:rPr>
          <w:rFonts w:hint="eastAsia"/>
        </w:rPr>
        <w:t>依法规范，加强管理</w:t>
      </w:r>
      <w:bookmarkEnd w:id="12"/>
    </w:p>
    <w:p>
      <w:pPr>
        <w:pStyle w:val="25"/>
      </w:pPr>
      <w:r>
        <w:rPr>
          <w:rFonts w:hint="eastAsia"/>
        </w:rPr>
        <w:t>根据《中华人民共和国突发事件应对法》、《河北省突发事件应对条例》等有关法律、法规和规章，落实各项工作措施，提高预防和应对突发事件的规范化、制度化水平。贯彻落实国家、省有关安全工作的法律法规以及有关安全管理要求，制定完善并组织落实相关规章制度。</w:t>
      </w:r>
    </w:p>
    <w:p>
      <w:pPr>
        <w:pStyle w:val="43"/>
        <w:spacing w:before="156" w:after="156"/>
      </w:pPr>
      <w:bookmarkStart w:id="13" w:name="_Toc118288288"/>
      <w:r>
        <w:rPr>
          <w:rFonts w:hint="eastAsia"/>
        </w:rPr>
        <w:t>快速反应，有效应对</w:t>
      </w:r>
      <w:bookmarkEnd w:id="13"/>
    </w:p>
    <w:p>
      <w:pPr>
        <w:pStyle w:val="25"/>
      </w:pPr>
      <w:r>
        <w:rPr>
          <w:rFonts w:hint="eastAsia"/>
        </w:rPr>
        <w:t>加强中心突发事件应急队伍建设，提高中心内部</w:t>
      </w:r>
      <w:r>
        <w:rPr>
          <w:rFonts w:hint="eastAsia"/>
          <w:color w:val="FF0000"/>
          <w:lang w:val="en-US" w:eastAsia="zh-CN"/>
        </w:rPr>
        <w:t>科</w:t>
      </w:r>
      <w:r>
        <w:rPr>
          <w:rFonts w:hint="eastAsia"/>
          <w:color w:val="FF0000"/>
        </w:rPr>
        <w:t>室</w:t>
      </w:r>
      <w:r>
        <w:rPr>
          <w:rFonts w:hint="eastAsia"/>
        </w:rPr>
        <w:t>成员间协同作战能力，形成统一指挥、反应迅速、协同有序、应对有效的反应机制。</w:t>
      </w:r>
    </w:p>
    <w:p>
      <w:pPr>
        <w:pStyle w:val="43"/>
        <w:spacing w:before="156" w:after="156"/>
      </w:pPr>
      <w:bookmarkStart w:id="14" w:name="_Toc118288289"/>
      <w:r>
        <w:rPr>
          <w:rFonts w:hint="eastAsia"/>
        </w:rPr>
        <w:t>信息公开，及时发布</w:t>
      </w:r>
      <w:bookmarkEnd w:id="14"/>
    </w:p>
    <w:p>
      <w:pPr>
        <w:pStyle w:val="25"/>
      </w:pPr>
      <w:r>
        <w:rPr>
          <w:rFonts w:hint="eastAsia"/>
        </w:rPr>
        <w:t>遵循“及时准确、公开透明、有序开放、有效管理、正确引导”的方针，按照“以公开为原则，不公开为例外”的要求，及时、准确、客观、统一发布突发事件权威信息。</w:t>
      </w:r>
    </w:p>
    <w:p>
      <w:pPr>
        <w:pStyle w:val="46"/>
      </w:pPr>
      <w:bookmarkStart w:id="15" w:name="_Toc118288290"/>
      <w:r>
        <w:rPr>
          <w:rFonts w:hint="eastAsia"/>
        </w:rPr>
        <w:t>突发事件分类分级</w:t>
      </w:r>
      <w:bookmarkEnd w:id="15"/>
    </w:p>
    <w:p>
      <w:pPr>
        <w:pStyle w:val="43"/>
        <w:spacing w:before="156" w:after="156"/>
      </w:pPr>
      <w:bookmarkStart w:id="16" w:name="_Toc118288291"/>
      <w:r>
        <w:rPr>
          <w:rFonts w:hint="eastAsia"/>
        </w:rPr>
        <w:t>分类</w:t>
      </w:r>
      <w:bookmarkEnd w:id="16"/>
    </w:p>
    <w:p>
      <w:pPr>
        <w:pStyle w:val="25"/>
      </w:pPr>
      <w:r>
        <w:rPr>
          <w:rFonts w:hint="eastAsia"/>
        </w:rPr>
        <w:t>机关事务突发事件主要包括：</w:t>
      </w:r>
    </w:p>
    <w:p>
      <w:pPr>
        <w:pStyle w:val="49"/>
      </w:pPr>
      <w:r>
        <w:rPr>
          <w:rFonts w:hint="eastAsia"/>
        </w:rPr>
        <w:t>自然灾害类：包括水旱、浓雾、冰雪、地震等灾害；</w:t>
      </w:r>
    </w:p>
    <w:p>
      <w:pPr>
        <w:pStyle w:val="49"/>
      </w:pPr>
      <w:r>
        <w:rPr>
          <w:rFonts w:hint="eastAsia"/>
        </w:rPr>
        <w:t>事故灾难类：包括维修工程类突发事件、交通事故类突发事件、设备维修类突发事件、消防类突发事件；</w:t>
      </w:r>
    </w:p>
    <w:p>
      <w:pPr>
        <w:pStyle w:val="49"/>
      </w:pPr>
      <w:r>
        <w:rPr>
          <w:rFonts w:hint="eastAsia"/>
        </w:rPr>
        <w:t>公共卫生类：包括食品安全类突发事件、传染病疫情、严重影响公共健康和生命安全的事件；</w:t>
      </w:r>
    </w:p>
    <w:p>
      <w:pPr>
        <w:pStyle w:val="49"/>
      </w:pPr>
      <w:r>
        <w:rPr>
          <w:rFonts w:hint="eastAsia"/>
        </w:rPr>
        <w:t>社会安全类：包括三防类突发事件、治安类突发事件。</w:t>
      </w:r>
    </w:p>
    <w:p>
      <w:pPr>
        <w:pStyle w:val="43"/>
        <w:spacing w:before="156" w:after="156"/>
      </w:pPr>
      <w:bookmarkStart w:id="17" w:name="_Toc118288292"/>
      <w:r>
        <w:rPr>
          <w:rFonts w:hint="eastAsia"/>
        </w:rPr>
        <w:t>分级</w:t>
      </w:r>
      <w:bookmarkEnd w:id="17"/>
    </w:p>
    <w:p>
      <w:pPr>
        <w:pStyle w:val="25"/>
      </w:pPr>
      <w:r>
        <w:rPr>
          <w:rFonts w:hint="eastAsia"/>
          <w:szCs w:val="21"/>
        </w:rPr>
        <w:t>按照紧急事件的性质、严重程度、可控性和影响范围等因素，机关事务突发事件分为五级：Ⅰ级（特别重大）、Ⅱ级（重大）、Ⅲ级（较大）和Ⅳ级（一般）和Ⅳ级以下。</w:t>
      </w:r>
    </w:p>
    <w:p>
      <w:pPr>
        <w:pStyle w:val="46"/>
      </w:pPr>
      <w:bookmarkStart w:id="18" w:name="_Toc118288293"/>
      <w:r>
        <w:rPr>
          <w:rFonts w:hint="eastAsia"/>
        </w:rPr>
        <w:t>机构与职责</w:t>
      </w:r>
      <w:bookmarkEnd w:id="18"/>
    </w:p>
    <w:p>
      <w:pPr>
        <w:pStyle w:val="25"/>
      </w:pPr>
      <w:r>
        <w:rPr>
          <w:rFonts w:hint="eastAsia"/>
          <w:szCs w:val="21"/>
        </w:rPr>
        <w:t>为应对突发事件采取有效处置措施，中心成立突发事件应急工作小组，由中心主任任组长，中心领导班子其他成员为副组长，各</w:t>
      </w:r>
      <w:r>
        <w:rPr>
          <w:rFonts w:hint="eastAsia"/>
          <w:color w:val="FF0000"/>
          <w:szCs w:val="21"/>
          <w:lang w:val="en-US" w:eastAsia="zh-CN"/>
        </w:rPr>
        <w:t>科</w:t>
      </w:r>
      <w:r>
        <w:rPr>
          <w:rFonts w:hint="eastAsia"/>
          <w:color w:val="FF0000"/>
          <w:szCs w:val="21"/>
        </w:rPr>
        <w:t>室</w:t>
      </w:r>
      <w:r>
        <w:rPr>
          <w:rFonts w:hint="eastAsia"/>
          <w:szCs w:val="21"/>
        </w:rPr>
        <w:t>主要负责人为成员。</w:t>
      </w:r>
      <w:r>
        <w:rPr>
          <w:rFonts w:hint="eastAsia"/>
          <w:color w:val="000000"/>
          <w:szCs w:val="21"/>
        </w:rPr>
        <w:t>突发事件应急处置相关职责见附录A。</w:t>
      </w:r>
    </w:p>
    <w:p>
      <w:pPr>
        <w:pStyle w:val="46"/>
      </w:pPr>
      <w:bookmarkStart w:id="19" w:name="_Toc118288294"/>
      <w:r>
        <w:rPr>
          <w:rFonts w:hint="eastAsia"/>
        </w:rPr>
        <w:t>应急响应</w:t>
      </w:r>
      <w:bookmarkEnd w:id="19"/>
    </w:p>
    <w:p>
      <w:pPr>
        <w:pStyle w:val="146"/>
      </w:pPr>
      <w:r>
        <w:rPr>
          <w:rFonts w:hint="eastAsia"/>
        </w:rPr>
        <w:t>发生Ⅳ级及以上突发事件时，按照《河北省人民政府突发事件应急预案》规定，加强预警信息接收、传递并做好相应预警响应措施。</w:t>
      </w:r>
    </w:p>
    <w:p>
      <w:pPr>
        <w:pStyle w:val="146"/>
      </w:pPr>
      <w:r>
        <w:rPr>
          <w:rFonts w:hint="eastAsia"/>
        </w:rPr>
        <w:t>发生Ⅳ级以下且适用于本规范的突发事件，应做好以下一项或多项响应措施：</w:t>
      </w:r>
    </w:p>
    <w:p>
      <w:pPr>
        <w:pStyle w:val="25"/>
      </w:pPr>
      <w:r>
        <w:rPr>
          <w:rFonts w:hint="eastAsia"/>
        </w:rPr>
        <w:t>——加强突发事件监测、预警工作；</w:t>
      </w:r>
    </w:p>
    <w:p>
      <w:pPr>
        <w:pStyle w:val="25"/>
      </w:pPr>
      <w:r>
        <w:rPr>
          <w:rFonts w:hint="eastAsia"/>
        </w:rPr>
        <w:t>——及时收集和上报有关信息；</w:t>
      </w:r>
    </w:p>
    <w:p>
      <w:pPr>
        <w:pStyle w:val="25"/>
      </w:pPr>
      <w:r>
        <w:rPr>
          <w:rFonts w:hint="eastAsia"/>
        </w:rPr>
        <w:t>——向干部职工发布有关特定措施，避免和减轻危害的建议和劝告；</w:t>
      </w:r>
    </w:p>
    <w:p>
      <w:pPr>
        <w:pStyle w:val="25"/>
      </w:pPr>
      <w:r>
        <w:rPr>
          <w:rFonts w:hint="eastAsia"/>
        </w:rPr>
        <w:t>——组织相关人员进入待命状态，调集相关应急物资、设备；</w:t>
      </w:r>
    </w:p>
    <w:p>
      <w:pPr>
        <w:pStyle w:val="25"/>
      </w:pPr>
      <w:r>
        <w:rPr>
          <w:rFonts w:hint="eastAsia"/>
        </w:rPr>
        <w:t>——转移、疏散或撤离易受突发事件危害的人员并予以妥善安置，转移重要财产；</w:t>
      </w:r>
    </w:p>
    <w:p>
      <w:pPr>
        <w:pStyle w:val="25"/>
      </w:pPr>
      <w:r>
        <w:rPr>
          <w:rFonts w:hint="eastAsia"/>
        </w:rPr>
        <w:t>——关闭或限制使用易受突发事件危害的场所；</w:t>
      </w:r>
    </w:p>
    <w:p>
      <w:pPr>
        <w:pStyle w:val="25"/>
      </w:pPr>
      <w:r>
        <w:rPr>
          <w:rFonts w:hint="eastAsia"/>
        </w:rPr>
        <w:t>——其他必要的防范性、保护性措施。</w:t>
      </w:r>
    </w:p>
    <w:p>
      <w:pPr>
        <w:pStyle w:val="46"/>
      </w:pPr>
      <w:bookmarkStart w:id="20" w:name="_Toc118288295"/>
      <w:r>
        <w:t>信息公开</w:t>
      </w:r>
      <w:bookmarkEnd w:id="20"/>
    </w:p>
    <w:p>
      <w:pPr>
        <w:pStyle w:val="146"/>
      </w:pPr>
      <w:r>
        <w:t>突发事件的信息公开要及时、准确、</w:t>
      </w:r>
      <w:r>
        <w:rPr>
          <w:rFonts w:hint="eastAsia"/>
        </w:rPr>
        <w:t xml:space="preserve"> 客观、全面，有利于维护社会稳定、人心安定和公共利益。</w:t>
      </w:r>
    </w:p>
    <w:p>
      <w:pPr>
        <w:pStyle w:val="146"/>
      </w:pPr>
      <w:r>
        <w:t>个人不应发布、散布未经核实或没有事实依据的有关突发事件的信息和传言。</w:t>
      </w:r>
    </w:p>
    <w:p>
      <w:pPr>
        <w:pStyle w:val="146"/>
      </w:pPr>
      <w:r>
        <w:t>突发事件发生后，要立项向社会发布简要信息，随后发布初步核实情况、政府应对措施和公众防范措施等，并根据事件处置情况做好后续发布工作。</w:t>
      </w:r>
    </w:p>
    <w:p>
      <w:pPr>
        <w:pStyle w:val="146"/>
      </w:pPr>
      <w:r>
        <w:rPr>
          <w:rFonts w:hint="eastAsia"/>
        </w:rPr>
        <w:t>机关事务突发事件信息发布由办公室指定人员负责，主要内容包括：预警级别、起始时间、可能影响范围、警示事项、应采取的措施、发布机关等。</w:t>
      </w:r>
    </w:p>
    <w:p>
      <w:pPr>
        <w:pStyle w:val="46"/>
      </w:pPr>
      <w:bookmarkStart w:id="21" w:name="_Toc118288296"/>
      <w:r>
        <w:rPr>
          <w:rFonts w:hint="eastAsia"/>
        </w:rPr>
        <w:t>应急处置</w:t>
      </w:r>
      <w:bookmarkEnd w:id="21"/>
    </w:p>
    <w:p>
      <w:pPr>
        <w:pStyle w:val="146"/>
      </w:pPr>
      <w:r>
        <w:rPr>
          <w:rFonts w:hint="eastAsia"/>
        </w:rPr>
        <w:t>当确认发生机关事务突发事件即将或已经发生时，事发现场负责人，应按照应急预案要求，立即做出响应。按照“统一指挥、属地为主、专业处置”的要求，以现场处置组为核心，依据事件分类尽快通知属地专业机构（或应急处置机构）给予支持和帮助，同时开展现场第一时间应急处置工作。</w:t>
      </w:r>
    </w:p>
    <w:p>
      <w:pPr>
        <w:pStyle w:val="146"/>
      </w:pPr>
      <w:r>
        <w:rPr>
          <w:rFonts w:hint="eastAsia"/>
        </w:rPr>
        <w:t>中心突发事件应急工作小组，指导协调现场负责人进行现场指挥，协助、维护好现场秩序，采取有效措施，尽全力防止紧急事态的进一步扩大，及时掌握事件进展情况，同时结合现场实际情况，尽快研究确定现场应急事件处置方案。</w:t>
      </w:r>
    </w:p>
    <w:p>
      <w:pPr>
        <w:pStyle w:val="146"/>
      </w:pPr>
      <w:r>
        <w:rPr>
          <w:rFonts w:hint="eastAsia"/>
        </w:rPr>
        <w:t>事发现场负责人应随时跟踪事态进展，一旦发现事态有进一步扩大的趋势，有可能超出自身的控制能力，应立即向上级汇报。</w:t>
      </w:r>
    </w:p>
    <w:p>
      <w:pPr>
        <w:pStyle w:val="146"/>
      </w:pPr>
      <w:r>
        <w:rPr>
          <w:rFonts w:hint="eastAsia"/>
        </w:rPr>
        <w:t>突发事件事态扩大，应急处置机构现有应急资源和人力难以实施有效处置的，应立即上报市政府办公厅，寻求上级支持。</w:t>
      </w:r>
    </w:p>
    <w:p>
      <w:pPr>
        <w:pStyle w:val="46"/>
      </w:pPr>
      <w:bookmarkStart w:id="22" w:name="_Toc118288297"/>
      <w:r>
        <w:rPr>
          <w:rFonts w:hint="eastAsia"/>
        </w:rPr>
        <w:t>善后工作</w:t>
      </w:r>
      <w:bookmarkEnd w:id="22"/>
    </w:p>
    <w:p>
      <w:pPr>
        <w:pStyle w:val="43"/>
        <w:spacing w:before="156" w:after="156"/>
      </w:pPr>
      <w:bookmarkStart w:id="23" w:name="_Toc118288298"/>
      <w:r>
        <w:rPr>
          <w:rFonts w:hint="eastAsia"/>
        </w:rPr>
        <w:t>恢复重建</w:t>
      </w:r>
      <w:bookmarkEnd w:id="23"/>
    </w:p>
    <w:p>
      <w:pPr>
        <w:pStyle w:val="25"/>
        <w:rPr>
          <w:szCs w:val="21"/>
        </w:rPr>
      </w:pPr>
      <w:r>
        <w:rPr>
          <w:rFonts w:hint="eastAsia"/>
          <w:szCs w:val="21"/>
        </w:rPr>
        <w:t>宣布应急结束后，相关</w:t>
      </w:r>
      <w:r>
        <w:rPr>
          <w:rFonts w:hint="eastAsia"/>
          <w:color w:val="FF0000"/>
          <w:szCs w:val="21"/>
          <w:lang w:val="en-US" w:eastAsia="zh-CN"/>
        </w:rPr>
        <w:t>科</w:t>
      </w:r>
      <w:r>
        <w:rPr>
          <w:rFonts w:hint="eastAsia"/>
          <w:color w:val="FF0000"/>
          <w:szCs w:val="21"/>
        </w:rPr>
        <w:t>室</w:t>
      </w:r>
      <w:r>
        <w:rPr>
          <w:rFonts w:hint="eastAsia"/>
          <w:szCs w:val="21"/>
        </w:rPr>
        <w:t>、单位在各自领域内统计损失情况并及时制定恢复重建计划和救助、救治、补偿、安置等善后处置工作方案，按程序报审后组织实施，并及时联系保险理赔。</w:t>
      </w:r>
    </w:p>
    <w:p>
      <w:pPr>
        <w:pStyle w:val="43"/>
        <w:spacing w:before="156" w:after="156"/>
      </w:pPr>
      <w:bookmarkStart w:id="24" w:name="_Toc118288299"/>
      <w:r>
        <w:rPr>
          <w:rFonts w:hint="eastAsia"/>
        </w:rPr>
        <w:t>调查评估</w:t>
      </w:r>
      <w:bookmarkEnd w:id="24"/>
    </w:p>
    <w:p>
      <w:pPr>
        <w:pStyle w:val="25"/>
        <w:rPr>
          <w:szCs w:val="21"/>
        </w:rPr>
      </w:pPr>
      <w:r>
        <w:rPr>
          <w:rFonts w:hint="eastAsia"/>
          <w:color w:val="000000"/>
          <w:szCs w:val="21"/>
        </w:rPr>
        <w:t>由</w:t>
      </w:r>
      <w:r>
        <w:rPr>
          <w:rFonts w:hint="eastAsia"/>
          <w:szCs w:val="21"/>
        </w:rPr>
        <w:t>中心应急小组从各</w:t>
      </w:r>
      <w:r>
        <w:rPr>
          <w:rFonts w:hint="eastAsia"/>
          <w:color w:val="FF0000"/>
          <w:szCs w:val="21"/>
          <w:lang w:val="en-US" w:eastAsia="zh-CN"/>
        </w:rPr>
        <w:t>科</w:t>
      </w:r>
      <w:r>
        <w:rPr>
          <w:rFonts w:hint="eastAsia"/>
          <w:color w:val="FF0000"/>
          <w:szCs w:val="21"/>
        </w:rPr>
        <w:t>室</w:t>
      </w:r>
      <w:r>
        <w:rPr>
          <w:rFonts w:hint="eastAsia"/>
          <w:szCs w:val="21"/>
        </w:rPr>
        <w:t>调派人员组建突发事件调查小组，调查小组对突发事件的事发原因、发生经过、应对流程进行全面客观的调查、分析、评估，制定改进措施并形成报告上报突发事件应急工作小组。</w:t>
      </w:r>
    </w:p>
    <w:p>
      <w:pPr>
        <w:pStyle w:val="46"/>
      </w:pPr>
      <w:bookmarkStart w:id="25" w:name="_Toc118288300"/>
      <w:r>
        <w:rPr>
          <w:rFonts w:hint="eastAsia"/>
        </w:rPr>
        <w:t>突发事件预防</w:t>
      </w:r>
      <w:bookmarkEnd w:id="25"/>
    </w:p>
    <w:p>
      <w:pPr>
        <w:pStyle w:val="146"/>
        <w:jc w:val="both"/>
      </w:pPr>
      <w:r>
        <w:rPr>
          <w:rFonts w:hint="eastAsia"/>
        </w:rPr>
        <w:t>加强日常监管，定期进行监测维护，使其始终处于良好状态。</w:t>
      </w:r>
    </w:p>
    <w:p>
      <w:pPr>
        <w:pStyle w:val="146"/>
      </w:pPr>
      <w:r>
        <w:rPr>
          <w:rFonts w:hint="eastAsia"/>
        </w:rPr>
        <w:t>加强安全知识宣传、教育培训，强化各级安全防范意识。</w:t>
      </w:r>
    </w:p>
    <w:p>
      <w:pPr>
        <w:pStyle w:val="146"/>
      </w:pPr>
      <w:r>
        <w:rPr>
          <w:rFonts w:hint="eastAsia"/>
        </w:rPr>
        <w:t>完善突发事件处置预案，定期组织应急处置演练，严格值班值守制度，确保通信联络畅通、应急通道顺畅。</w:t>
      </w:r>
    </w:p>
    <w:p>
      <w:pPr>
        <w:pStyle w:val="99"/>
      </w:pPr>
    </w:p>
    <w:p>
      <w:pPr>
        <w:pStyle w:val="87"/>
        <w:tabs>
          <w:tab w:val="clear" w:pos="0"/>
        </w:tabs>
      </w:pPr>
    </w:p>
    <w:p>
      <w:pPr>
        <w:pStyle w:val="85"/>
        <w:numPr>
          <w:ilvl w:val="0"/>
          <w:numId w:val="20"/>
        </w:numPr>
      </w:pPr>
      <w:r>
        <w:br w:type="textWrapping"/>
      </w:r>
      <w:bookmarkStart w:id="26" w:name="_Toc118288301"/>
      <w:r>
        <w:rPr>
          <w:rFonts w:hint="eastAsia"/>
        </w:rPr>
        <w:t>（规范性）</w:t>
      </w:r>
      <w:r>
        <w:br w:type="textWrapping"/>
      </w:r>
      <w:r>
        <w:rPr>
          <w:rFonts w:hint="eastAsia"/>
        </w:rPr>
        <w:t>突发事件应处置相关职责</w:t>
      </w:r>
      <w:bookmarkEnd w:id="26"/>
    </w:p>
    <w:p>
      <w:pPr>
        <w:pStyle w:val="105"/>
      </w:pPr>
      <w:r>
        <w:rPr>
          <w:rFonts w:hint="eastAsia"/>
        </w:rPr>
        <w:t>A.1 中心主任是突发事件应急工作第一责任人，对全中心的突发事件应急工作负全面责任，负责：</w:t>
      </w:r>
    </w:p>
    <w:p>
      <w:pPr>
        <w:pStyle w:val="49"/>
      </w:pPr>
      <w:r>
        <w:rPr>
          <w:rFonts w:hint="eastAsia"/>
        </w:rPr>
        <w:t>认真贯彻执行国家、省有关突发事件应急工作的法律、法规和方针政策；</w:t>
      </w:r>
    </w:p>
    <w:p>
      <w:pPr>
        <w:pStyle w:val="49"/>
      </w:pPr>
      <w:r>
        <w:rPr>
          <w:rFonts w:hint="eastAsia"/>
        </w:rPr>
        <w:t>领导</w:t>
      </w:r>
      <w:r>
        <w:rPr>
          <w:rFonts w:hint="eastAsia"/>
          <w:color w:val="FF0000"/>
        </w:rPr>
        <w:t>全</w:t>
      </w:r>
      <w:r>
        <w:rPr>
          <w:rFonts w:hint="eastAsia"/>
          <w:color w:val="FF0000"/>
          <w:lang w:val="en-US" w:eastAsia="zh-CN"/>
        </w:rPr>
        <w:t>体</w:t>
      </w:r>
      <w:r>
        <w:rPr>
          <w:rFonts w:hint="eastAsia"/>
        </w:rPr>
        <w:t>工作人员积极配合市委、市政府和省应急主管部门应对突发事件；</w:t>
      </w:r>
    </w:p>
    <w:p>
      <w:pPr>
        <w:pStyle w:val="49"/>
      </w:pPr>
      <w:r>
        <w:rPr>
          <w:rFonts w:hint="eastAsia"/>
        </w:rPr>
        <w:t>组织落实突发事件应急工作管理，研究改善和提高中心应急工作条件的方法和措施，落实经费、物资和人员保障；</w:t>
      </w:r>
    </w:p>
    <w:p>
      <w:pPr>
        <w:pStyle w:val="49"/>
      </w:pPr>
      <w:r>
        <w:rPr>
          <w:rFonts w:hint="eastAsia"/>
        </w:rPr>
        <w:t>及时主持召开影响严重的突发事件应急处置工作会议，研究解决突发事件；</w:t>
      </w:r>
    </w:p>
    <w:p>
      <w:pPr>
        <w:pStyle w:val="49"/>
      </w:pPr>
      <w:r>
        <w:rPr>
          <w:rFonts w:hint="eastAsia"/>
        </w:rPr>
        <w:t>定期组织召开中心安全管理会议；</w:t>
      </w:r>
    </w:p>
    <w:p>
      <w:pPr>
        <w:pStyle w:val="49"/>
      </w:pPr>
      <w:r>
        <w:rPr>
          <w:rFonts w:hint="eastAsia"/>
        </w:rPr>
        <w:t>组织</w:t>
      </w:r>
      <w:r>
        <w:rPr>
          <w:rFonts w:hint="eastAsia"/>
          <w:color w:val="0070C0"/>
        </w:rPr>
        <w:t>全</w:t>
      </w:r>
      <w:r>
        <w:rPr>
          <w:rFonts w:hint="eastAsia"/>
          <w:color w:val="0070C0"/>
          <w:lang w:eastAsia="zh-CN"/>
        </w:rPr>
        <w:t>中心</w:t>
      </w:r>
      <w:r>
        <w:rPr>
          <w:rFonts w:hint="eastAsia"/>
        </w:rPr>
        <w:t>范围突发事件预防工作大检查，发现重大</w:t>
      </w:r>
      <w:bookmarkStart w:id="27" w:name="_GoBack"/>
      <w:bookmarkEnd w:id="27"/>
      <w:r>
        <w:rPr>
          <w:rFonts w:hint="eastAsia"/>
        </w:rPr>
        <w:t>事故隐患的，督促有关</w:t>
      </w:r>
      <w:r>
        <w:rPr>
          <w:rFonts w:hint="eastAsia"/>
          <w:color w:val="FF0000"/>
          <w:lang w:val="en-US" w:eastAsia="zh-CN"/>
        </w:rPr>
        <w:t>科</w:t>
      </w:r>
      <w:r>
        <w:rPr>
          <w:rFonts w:hint="eastAsia"/>
          <w:color w:val="FF0000"/>
        </w:rPr>
        <w:t>室</w:t>
      </w:r>
      <w:r>
        <w:rPr>
          <w:rFonts w:hint="eastAsia"/>
        </w:rPr>
        <w:t>、单位及时制定整改措施；</w:t>
      </w:r>
    </w:p>
    <w:p>
      <w:pPr>
        <w:pStyle w:val="49"/>
      </w:pPr>
      <w:r>
        <w:rPr>
          <w:rFonts w:hint="eastAsia"/>
        </w:rPr>
        <w:t>对本中心业务范围内发生突发事件并造成严重影响的，及时赶赴现场，组织指挥应急工作，向上级领导报告及协助调查，并全力做好善后工作，对事故责任者，研究处理意见；</w:t>
      </w:r>
    </w:p>
    <w:p>
      <w:pPr>
        <w:pStyle w:val="49"/>
      </w:pPr>
      <w:r>
        <w:rPr>
          <w:rFonts w:hint="eastAsia"/>
        </w:rPr>
        <w:t>总结中心年度突发事件应急工作，总结推广相关先进经验和科技成果，表彰奖励突发事件应急工作先进</w:t>
      </w:r>
      <w:r>
        <w:rPr>
          <w:rFonts w:hint="eastAsia"/>
          <w:color w:val="FF0000"/>
          <w:lang w:val="en-US" w:eastAsia="zh-CN"/>
        </w:rPr>
        <w:t>科</w:t>
      </w:r>
      <w:r>
        <w:rPr>
          <w:rFonts w:hint="eastAsia"/>
          <w:color w:val="FF0000"/>
        </w:rPr>
        <w:t>室</w:t>
      </w:r>
      <w:r>
        <w:rPr>
          <w:rFonts w:hint="eastAsia"/>
        </w:rPr>
        <w:t>、单位和个人。</w:t>
      </w:r>
    </w:p>
    <w:p>
      <w:pPr>
        <w:pStyle w:val="105"/>
      </w:pPr>
      <w:r>
        <w:rPr>
          <w:rFonts w:hint="eastAsia"/>
        </w:rPr>
        <w:t>A.2　中心领导班子其他成员按照“谁主管、谁负责”的原则，对分管范围内的突发事件应急工作负直接领导责任，负责：</w:t>
      </w:r>
    </w:p>
    <w:p>
      <w:pPr>
        <w:pStyle w:val="49"/>
      </w:pPr>
      <w:r>
        <w:rPr>
          <w:rFonts w:hint="eastAsia"/>
        </w:rPr>
        <w:t>抓好国家、省有关突发事件应急工作的法律、法规和方针政策的宣传和实施；</w:t>
      </w:r>
    </w:p>
    <w:p>
      <w:pPr>
        <w:pStyle w:val="49"/>
      </w:pPr>
      <w:r>
        <w:rPr>
          <w:rFonts w:hint="eastAsia"/>
        </w:rPr>
        <w:t>主持制定和落实分管范围内的突发事件应急预案；</w:t>
      </w:r>
    </w:p>
    <w:p>
      <w:pPr>
        <w:pStyle w:val="49"/>
      </w:pPr>
      <w:r>
        <w:rPr>
          <w:rFonts w:hint="eastAsia"/>
        </w:rPr>
        <w:t>及时召开分管范围内突发事件应急处置工作会议，研究解决突发事件；</w:t>
      </w:r>
    </w:p>
    <w:p>
      <w:pPr>
        <w:pStyle w:val="49"/>
      </w:pPr>
      <w:r>
        <w:rPr>
          <w:rFonts w:hint="eastAsia"/>
        </w:rPr>
        <w:t>定期组织召开分管范围内安全管理会议；</w:t>
      </w:r>
    </w:p>
    <w:p>
      <w:pPr>
        <w:pStyle w:val="49"/>
      </w:pPr>
      <w:r>
        <w:rPr>
          <w:rFonts w:hint="eastAsia"/>
        </w:rPr>
        <w:t>主持分管范围内突发事件预防检查工作，及时发现各类安全隐患，并督促整改；</w:t>
      </w:r>
    </w:p>
    <w:p>
      <w:pPr>
        <w:pStyle w:val="49"/>
      </w:pPr>
      <w:r>
        <w:rPr>
          <w:rFonts w:hint="eastAsia"/>
        </w:rPr>
        <w:t>对分管范围内发生的影响较大的突发事件，要及时赶赴现场，组织指挥应急工作，做好善后事宜，并配合相关部门做好事故调查处理。</w:t>
      </w:r>
    </w:p>
    <w:p>
      <w:pPr>
        <w:pStyle w:val="105"/>
      </w:pPr>
      <w:r>
        <w:rPr>
          <w:rFonts w:hint="eastAsia"/>
        </w:rPr>
        <w:t>A.3　中心各</w:t>
      </w:r>
      <w:r>
        <w:rPr>
          <w:rFonts w:hint="eastAsia"/>
          <w:color w:val="FF0000"/>
          <w:lang w:val="en-US" w:eastAsia="zh-CN"/>
        </w:rPr>
        <w:t>科</w:t>
      </w:r>
      <w:r>
        <w:rPr>
          <w:rFonts w:hint="eastAsia"/>
          <w:color w:val="FF0000"/>
        </w:rPr>
        <w:t>室</w:t>
      </w:r>
      <w:r>
        <w:rPr>
          <w:rFonts w:hint="eastAsia"/>
        </w:rPr>
        <w:t>主要负责人是本</w:t>
      </w:r>
      <w:r>
        <w:rPr>
          <w:rFonts w:hint="eastAsia"/>
          <w:color w:val="FF0000"/>
          <w:lang w:val="en-US" w:eastAsia="zh-CN"/>
        </w:rPr>
        <w:t>科</w:t>
      </w:r>
      <w:r>
        <w:rPr>
          <w:rFonts w:hint="eastAsia"/>
          <w:color w:val="FF0000"/>
        </w:rPr>
        <w:t>室</w:t>
      </w:r>
      <w:r>
        <w:rPr>
          <w:rFonts w:hint="eastAsia"/>
        </w:rPr>
        <w:t>突发事件应急工作的第一责任人，对相关工作负具体责任，负责：</w:t>
      </w:r>
    </w:p>
    <w:p>
      <w:pPr>
        <w:pStyle w:val="49"/>
      </w:pPr>
      <w:r>
        <w:rPr>
          <w:rFonts w:hint="eastAsia"/>
        </w:rPr>
        <w:t>认真贯彻执行国家、省有关突发事件应急工作的法律、法规和方针政策，按规定明确本</w:t>
      </w:r>
      <w:r>
        <w:rPr>
          <w:rFonts w:hint="eastAsia"/>
          <w:color w:val="FF0000"/>
          <w:lang w:val="en-US" w:eastAsia="zh-CN"/>
        </w:rPr>
        <w:t>科</w:t>
      </w:r>
      <w:r>
        <w:rPr>
          <w:rFonts w:hint="eastAsia"/>
          <w:color w:val="FF0000"/>
        </w:rPr>
        <w:t>室、</w:t>
      </w:r>
      <w:r>
        <w:rPr>
          <w:rFonts w:hint="eastAsia"/>
        </w:rPr>
        <w:t>单位相关工作管理职责；</w:t>
      </w:r>
    </w:p>
    <w:p>
      <w:pPr>
        <w:pStyle w:val="49"/>
      </w:pPr>
      <w:r>
        <w:rPr>
          <w:rFonts w:hint="eastAsia"/>
        </w:rPr>
        <w:t>配备专、兼职突发事件应急工作管理人员；</w:t>
      </w:r>
    </w:p>
    <w:p>
      <w:pPr>
        <w:pStyle w:val="49"/>
      </w:pPr>
      <w:r>
        <w:rPr>
          <w:rFonts w:hint="eastAsia"/>
        </w:rPr>
        <w:t>建立健全本</w:t>
      </w:r>
      <w:r>
        <w:rPr>
          <w:rFonts w:hint="eastAsia"/>
          <w:color w:val="FF0000"/>
          <w:lang w:val="en-US" w:eastAsia="zh-CN"/>
        </w:rPr>
        <w:t>科</w:t>
      </w:r>
      <w:r>
        <w:rPr>
          <w:rFonts w:hint="eastAsia"/>
          <w:color w:val="FF0000"/>
        </w:rPr>
        <w:t>室</w:t>
      </w:r>
      <w:r>
        <w:rPr>
          <w:rFonts w:hint="eastAsia"/>
        </w:rPr>
        <w:t>、单位突发事件应急工作责任制，组织制定突发事件应急预案；</w:t>
      </w:r>
    </w:p>
    <w:p>
      <w:pPr>
        <w:pStyle w:val="49"/>
      </w:pPr>
      <w:r>
        <w:rPr>
          <w:rFonts w:hint="eastAsia"/>
        </w:rPr>
        <w:t>及时召开职责范围内突发事件应急处置工作会议，研究解决突发事件；</w:t>
      </w:r>
    </w:p>
    <w:p>
      <w:pPr>
        <w:pStyle w:val="49"/>
      </w:pPr>
      <w:r>
        <w:rPr>
          <w:rFonts w:hint="eastAsia"/>
        </w:rPr>
        <w:t>定期组织召开安全管理会议；</w:t>
      </w:r>
    </w:p>
    <w:p>
      <w:pPr>
        <w:pStyle w:val="49"/>
      </w:pPr>
      <w:r>
        <w:rPr>
          <w:rFonts w:hint="eastAsia"/>
        </w:rPr>
        <w:t>组织</w:t>
      </w:r>
      <w:r>
        <w:rPr>
          <w:rFonts w:hint="eastAsia"/>
          <w:color w:val="FF0000"/>
          <w:lang w:val="en-US" w:eastAsia="zh-CN"/>
        </w:rPr>
        <w:t>科</w:t>
      </w:r>
      <w:r>
        <w:rPr>
          <w:rFonts w:hint="eastAsia"/>
          <w:color w:val="FF0000"/>
        </w:rPr>
        <w:t>室</w:t>
      </w:r>
      <w:r>
        <w:rPr>
          <w:rFonts w:hint="eastAsia"/>
        </w:rPr>
        <w:t>职责范围内突发事件预防检查工作，采取切实有效措施，及时消除隐患，确保安全；</w:t>
      </w:r>
    </w:p>
    <w:p>
      <w:pPr>
        <w:pStyle w:val="49"/>
      </w:pPr>
      <w:r>
        <w:rPr>
          <w:rFonts w:hint="eastAsia"/>
        </w:rPr>
        <w:t>发生突发事件必须第一时间赶赴现场，及时、如实报告，并迅速组织抢救，尽最大限度减少损失；</w:t>
      </w:r>
    </w:p>
    <w:p>
      <w:pPr>
        <w:pStyle w:val="49"/>
      </w:pPr>
      <w:r>
        <w:rPr>
          <w:rFonts w:hint="eastAsia"/>
        </w:rPr>
        <w:t>负责突发事件出现的原因调查工作。</w:t>
      </w:r>
    </w:p>
    <w:p>
      <w:pPr>
        <w:pStyle w:val="105"/>
      </w:pPr>
      <w:r>
        <w:rPr>
          <w:rFonts w:hint="eastAsia"/>
        </w:rPr>
        <w:t>A.4　办公室负责：</w:t>
      </w:r>
    </w:p>
    <w:p>
      <w:pPr>
        <w:pStyle w:val="49"/>
      </w:pPr>
      <w:r>
        <w:rPr>
          <w:rFonts w:hint="eastAsia"/>
        </w:rPr>
        <w:t>制定中心突发事件总的应急预案；</w:t>
      </w:r>
    </w:p>
    <w:p>
      <w:pPr>
        <w:pStyle w:val="49"/>
      </w:pPr>
      <w:r>
        <w:rPr>
          <w:rFonts w:hint="eastAsia"/>
        </w:rPr>
        <w:t>信息报送、情况沟通、通知协调，保证突发事件应急工作实施时有条不紊地高效进行；</w:t>
      </w:r>
    </w:p>
    <w:p>
      <w:pPr>
        <w:pStyle w:val="49"/>
      </w:pPr>
      <w:r>
        <w:rPr>
          <w:rFonts w:hint="eastAsia"/>
        </w:rPr>
        <w:t>突发事件期间本</w:t>
      </w:r>
      <w:r>
        <w:rPr>
          <w:rFonts w:hint="eastAsia"/>
          <w:color w:val="FF0000"/>
          <w:lang w:val="en-US" w:eastAsia="zh-CN"/>
        </w:rPr>
        <w:t>单位</w:t>
      </w:r>
      <w:r>
        <w:rPr>
          <w:rFonts w:hint="eastAsia"/>
        </w:rPr>
        <w:t>会务及政务工作；</w:t>
      </w:r>
    </w:p>
    <w:p>
      <w:pPr>
        <w:pStyle w:val="49"/>
      </w:pPr>
      <w:r>
        <w:rPr>
          <w:rFonts w:hint="eastAsia"/>
        </w:rPr>
        <w:t>突发事件总结报告以及应对培训工作。</w:t>
      </w:r>
    </w:p>
    <w:p>
      <w:pPr>
        <w:pStyle w:val="105"/>
      </w:pPr>
      <w:r>
        <w:rPr>
          <w:rFonts w:hint="eastAsia"/>
        </w:rPr>
        <w:t>A.5　中心其他综合</w:t>
      </w:r>
      <w:r>
        <w:rPr>
          <w:rFonts w:hint="eastAsia"/>
          <w:color w:val="FF0000"/>
          <w:lang w:val="en-US" w:eastAsia="zh-CN"/>
        </w:rPr>
        <w:t>科</w:t>
      </w:r>
      <w:r>
        <w:rPr>
          <w:rFonts w:hint="eastAsia"/>
          <w:color w:val="FF0000"/>
        </w:rPr>
        <w:t>室</w:t>
      </w:r>
      <w:r>
        <w:rPr>
          <w:rFonts w:hint="eastAsia"/>
        </w:rPr>
        <w:t>负责：</w:t>
      </w:r>
    </w:p>
    <w:p>
      <w:pPr>
        <w:pStyle w:val="49"/>
      </w:pPr>
      <w:r>
        <w:rPr>
          <w:rFonts w:hint="eastAsia"/>
        </w:rPr>
        <w:t>突发应急事件的配合工作；</w:t>
      </w:r>
    </w:p>
    <w:p>
      <w:pPr>
        <w:pStyle w:val="49"/>
      </w:pPr>
      <w:r>
        <w:rPr>
          <w:rFonts w:hint="eastAsia"/>
        </w:rPr>
        <w:t>在突发应急事件发生和处置过程中做好服务保障、舆论引导、人员疏导等相关工作。</w:t>
      </w:r>
    </w:p>
    <w:p>
      <w:pPr>
        <w:pStyle w:val="105"/>
      </w:pPr>
      <w:r>
        <w:rPr>
          <w:rFonts w:hint="eastAsia"/>
        </w:rPr>
        <w:t>A.6　中心业务</w:t>
      </w:r>
      <w:r>
        <w:rPr>
          <w:rFonts w:hint="eastAsia"/>
          <w:color w:val="FF0000"/>
          <w:lang w:val="en-US" w:eastAsia="zh-CN"/>
        </w:rPr>
        <w:t>科</w:t>
      </w:r>
      <w:r>
        <w:rPr>
          <w:rFonts w:hint="eastAsia"/>
          <w:color w:val="FF0000"/>
        </w:rPr>
        <w:t>室</w:t>
      </w:r>
      <w:r>
        <w:rPr>
          <w:rFonts w:hint="eastAsia"/>
        </w:rPr>
        <w:t>负责：机关事务管理系统内所辖业务范围的突发应急事件的处置培训、隐患排查、现场处理、舆论引导、善后协调等工作。</w:t>
      </w:r>
    </w:p>
    <w:p>
      <w:pPr>
        <w:pStyle w:val="104"/>
        <w:spacing w:before="156" w:after="156"/>
      </w:pPr>
    </w:p>
    <w:p>
      <w:pPr>
        <w:pStyle w:val="149"/>
        <w:numPr>
          <w:ilvl w:val="0"/>
          <w:numId w:val="0"/>
        </w:numPr>
        <w:ind w:firstLine="420"/>
      </w:pPr>
    </w:p>
    <w:p>
      <w:pPr>
        <w:pStyle w:val="131"/>
        <w:framePr w:y="1"/>
      </w:pPr>
      <w:r>
        <mc:AlternateContent>
          <mc:Choice Requires="wps">
            <w:drawing>
              <wp:anchor distT="0" distB="0" distL="114300" distR="114300" simplePos="0" relativeHeight="251665408" behindDoc="0" locked="0" layoutInCell="1" allowOverlap="1">
                <wp:simplePos x="0" y="0"/>
                <wp:positionH relativeFrom="column">
                  <wp:posOffset>1757045</wp:posOffset>
                </wp:positionH>
                <wp:positionV relativeFrom="paragraph">
                  <wp:posOffset>317500</wp:posOffset>
                </wp:positionV>
                <wp:extent cx="2419350" cy="0"/>
                <wp:effectExtent l="0" t="0" r="19050" b="19050"/>
                <wp:wrapNone/>
                <wp:docPr id="43" name="直接连接符 43"/>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8.35pt;margin-top:25pt;height:0pt;width:190.5pt;z-index:251665408;mso-width-relative:page;mso-height-relative:page;" filled="f" stroked="t" coordsize="21600,21600" o:gfxdata="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nK5ycdUAAAAJAQAADwAAAAAA&#10;AAABACAAAAA4AAAAZHJzL2Rvd25yZXYueG1sUEsBAhQAFAAAAAgAh07iQHGkqC7HAQAAZQMAAA4A&#10;AAAAAAAAAQAgAAAAOgEAAGRycy9lMm9Eb2MueG1sUEsFBgAAAAAGAAYAWQEAAHMFAAAAAA==&#10;">
                <v:fill on="f" focussize="0,0"/>
                <v:stroke weight="0.5pt" color="#000000 [3213]" miterlimit="8" joinstyle="miter"/>
                <v:imagedata o:title=""/>
                <o:lock v:ext="edit" aspectratio="f"/>
              </v:line>
            </w:pict>
          </mc:Fallback>
        </mc:AlternateContent>
      </w:r>
    </w:p>
    <w:p>
      <w:pPr>
        <w:pStyle w:val="131"/>
        <w:framePr w:y="1"/>
      </w:pPr>
    </w:p>
    <w:p>
      <w:pPr>
        <w:pStyle w:val="149"/>
        <w:numPr>
          <w:ilvl w:val="0"/>
          <w:numId w:val="0"/>
        </w:numPr>
        <w:ind w:firstLine="420"/>
      </w:pPr>
    </w:p>
    <w:sectPr>
      <w:footerReference r:id="rId6" w:type="default"/>
      <w:pgSz w:w="11906" w:h="16838"/>
      <w:pgMar w:top="567" w:right="1134" w:bottom="1134" w:left="1418" w:header="1418" w:footer="1134" w:gutter="0"/>
      <w:pgNumType w:fmt="decimal" w:start="82"/>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Calibri Light">
    <w:altName w:val="DejaVu Sans"/>
    <w:panose1 w:val="020F0302020204030204"/>
    <w:charset w:val="00"/>
    <w:family w:val="swiss"/>
    <w:pitch w:val="default"/>
    <w:sig w:usb0="00000000" w:usb1="00000000"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DejaVu Math TeX Gyre">
    <w:panose1 w:val="02000503000000000000"/>
    <w:charset w:val="00"/>
    <w:family w:val="auto"/>
    <w:pitch w:val="default"/>
    <w:sig w:usb0="A10000EF" w:usb1="4201F9EE" w:usb2="02000000" w:usb3="00000000" w:csb0="60000193" w:csb1="0DD4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1</w:t>
                    </w:r>
                    <w:r>
                      <w:fldChar w:fldCharType="end"/>
                    </w:r>
                  </w:p>
                </w:txbxContent>
              </v:textbox>
            </v:shape>
          </w:pict>
        </mc:Fallback>
      </mc:AlternateContent>
    </w:r>
    <w:sdt>
      <w:sdtPr>
        <w:id w:val="1024825795"/>
        <w:docPartObj>
          <w:docPartGallery w:val="autotext"/>
        </w:docPartObj>
      </w:sdtPr>
      <w:sdtContent/>
    </w:sdt>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3603671"/>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sdt>
                    <w:sdtPr>
                      <w:id w:val="1673603671"/>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73603671"/>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sdt>
                    <w:sdtPr>
                      <w:id w:val="1673603671"/>
                    </w:sdtPr>
                    <w:sdtContent>
                      <w:p>
                        <w:pPr>
                          <w:pStyle w:val="19"/>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4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rPr>
        <w:rFonts w:hint="eastAsia"/>
      </w:rPr>
      <w:t xml:space="preserve">邢JG </w:t>
    </w:r>
    <w:r>
      <w:t>BG</w:t>
    </w:r>
    <w:r>
      <w:rPr>
        <w:rFonts w:hint="eastAsia"/>
      </w:rPr>
      <w:t>.</w:t>
    </w:r>
    <w:r>
      <w:rPr>
        <w:rFonts w:hint="eastAsia"/>
        <w:lang w:val="en-US" w:eastAsia="zh-CN"/>
      </w:rPr>
      <w:t>410.</w:t>
    </w:r>
    <w:r>
      <w:t>010</w:t>
    </w:r>
    <w:r>
      <w:rPr>
        <w:rFonts w:hint="eastAsia"/>
      </w:rPr>
      <w:t>—202</w:t>
    </w:r>
    <w: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9"/>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3"/>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983844"/>
    <w:multiLevelType w:val="multilevel"/>
    <w:tmpl w:val="0D983844"/>
    <w:lvl w:ilvl="0" w:tentative="0">
      <w:start w:val="1"/>
      <w:numFmt w:val="decimal"/>
      <w:pStyle w:val="130"/>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0DDE2B46"/>
    <w:multiLevelType w:val="multilevel"/>
    <w:tmpl w:val="0DDE2B46"/>
    <w:lvl w:ilvl="0" w:tentative="0">
      <w:start w:val="1"/>
      <w:numFmt w:val="lowerLetter"/>
      <w:pStyle w:val="122"/>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6667BBD"/>
    <w:multiLevelType w:val="multilevel"/>
    <w:tmpl w:val="16667BBD"/>
    <w:lvl w:ilvl="0" w:tentative="0">
      <w:start w:val="1"/>
      <w:numFmt w:val="lowerLetter"/>
      <w:pStyle w:val="60"/>
      <w:lvlText w:val="%1)"/>
      <w:lvlJc w:val="left"/>
      <w:pPr>
        <w:tabs>
          <w:tab w:val="left" w:pos="840"/>
        </w:tabs>
        <w:ind w:left="839" w:hanging="419"/>
      </w:pPr>
      <w:rPr>
        <w:rFonts w:hint="eastAsia"/>
        <w:b w:val="0"/>
        <w:i w:val="0"/>
        <w:sz w:val="21"/>
        <w:szCs w:val="21"/>
      </w:rPr>
    </w:lvl>
    <w:lvl w:ilvl="1" w:tentative="0">
      <w:start w:val="1"/>
      <w:numFmt w:val="decimal"/>
      <w:pStyle w:val="55"/>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710" w:firstLine="0"/>
      </w:pPr>
      <w:rPr>
        <w:rFonts w:hint="eastAsia" w:ascii="黑体" w:hAnsi="Times New Roman" w:eastAsia="黑体"/>
        <w:b w:val="0"/>
        <w:i w:val="0"/>
        <w:sz w:val="21"/>
      </w:rPr>
    </w:lvl>
    <w:lvl w:ilvl="3" w:tentative="0">
      <w:start w:val="1"/>
      <w:numFmt w:val="decimal"/>
      <w:lvlText w:val="%1.%2.%3.%4 "/>
      <w:lvlJc w:val="left"/>
      <w:pPr>
        <w:ind w:left="0" w:firstLine="0"/>
      </w:pPr>
      <w:rPr>
        <w:rFonts w:hint="default"/>
      </w:rPr>
    </w:lvl>
    <w:lvl w:ilvl="4" w:tentative="0">
      <w:start w:val="1"/>
      <w:numFmt w:val="decimal"/>
      <w:pStyle w:val="119"/>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22827D5B"/>
    <w:multiLevelType w:val="multilevel"/>
    <w:tmpl w:val="22827D5B"/>
    <w:lvl w:ilvl="0" w:tentative="0">
      <w:start w:val="1"/>
      <w:numFmt w:val="none"/>
      <w:pStyle w:val="65"/>
      <w:suff w:val="nothing"/>
      <w:lvlText w:val="%1注："/>
      <w:lvlJc w:val="left"/>
      <w:pPr>
        <w:ind w:left="930" w:hanging="363"/>
      </w:pPr>
      <w:rPr>
        <w:rFonts w:hint="eastAsia" w:ascii="黑体" w:hAnsi="Times New Roman" w:eastAsia="黑体"/>
        <w:b w:val="0"/>
        <w:i w:val="0"/>
        <w:color w:val="000000" w:themeColor="text1"/>
        <w:sz w:val="18"/>
        <w14:textFill>
          <w14:solidFill>
            <w14:schemeClr w14:val="tx1"/>
          </w14:solidFill>
        </w14:textFill>
      </w:rPr>
    </w:lvl>
    <w:lvl w:ilvl="1" w:tentative="0">
      <w:start w:val="1"/>
      <w:numFmt w:val="lowerLetter"/>
      <w:lvlText w:val="%2)"/>
      <w:lvlJc w:val="left"/>
      <w:pPr>
        <w:tabs>
          <w:tab w:val="left" w:pos="1344"/>
        </w:tabs>
        <w:ind w:left="930" w:hanging="363"/>
      </w:pPr>
      <w:rPr>
        <w:rFonts w:hint="eastAsia"/>
      </w:rPr>
    </w:lvl>
    <w:lvl w:ilvl="2" w:tentative="0">
      <w:start w:val="1"/>
      <w:numFmt w:val="lowerRoman"/>
      <w:lvlText w:val="%3."/>
      <w:lvlJc w:val="right"/>
      <w:pPr>
        <w:tabs>
          <w:tab w:val="left" w:pos="1344"/>
        </w:tabs>
        <w:ind w:left="930" w:hanging="363"/>
      </w:pPr>
      <w:rPr>
        <w:rFonts w:hint="eastAsia"/>
      </w:rPr>
    </w:lvl>
    <w:lvl w:ilvl="3" w:tentative="0">
      <w:start w:val="1"/>
      <w:numFmt w:val="decimal"/>
      <w:lvlText w:val="%4."/>
      <w:lvlJc w:val="left"/>
      <w:pPr>
        <w:tabs>
          <w:tab w:val="left" w:pos="1344"/>
        </w:tabs>
        <w:ind w:left="930" w:hanging="363"/>
      </w:pPr>
      <w:rPr>
        <w:rFonts w:hint="eastAsia"/>
      </w:rPr>
    </w:lvl>
    <w:lvl w:ilvl="4" w:tentative="0">
      <w:start w:val="1"/>
      <w:numFmt w:val="lowerLetter"/>
      <w:lvlText w:val="%5)"/>
      <w:lvlJc w:val="left"/>
      <w:pPr>
        <w:tabs>
          <w:tab w:val="left" w:pos="1344"/>
        </w:tabs>
        <w:ind w:left="930" w:hanging="363"/>
      </w:pPr>
      <w:rPr>
        <w:rFonts w:hint="eastAsia"/>
      </w:rPr>
    </w:lvl>
    <w:lvl w:ilvl="5" w:tentative="0">
      <w:start w:val="1"/>
      <w:numFmt w:val="lowerRoman"/>
      <w:lvlText w:val="%6."/>
      <w:lvlJc w:val="right"/>
      <w:pPr>
        <w:tabs>
          <w:tab w:val="left" w:pos="1344"/>
        </w:tabs>
        <w:ind w:left="930" w:hanging="363"/>
      </w:pPr>
      <w:rPr>
        <w:rFonts w:hint="eastAsia"/>
      </w:rPr>
    </w:lvl>
    <w:lvl w:ilvl="6" w:tentative="0">
      <w:start w:val="1"/>
      <w:numFmt w:val="decimal"/>
      <w:lvlText w:val="%7."/>
      <w:lvlJc w:val="left"/>
      <w:pPr>
        <w:tabs>
          <w:tab w:val="left" w:pos="1344"/>
        </w:tabs>
        <w:ind w:left="930" w:hanging="363"/>
      </w:pPr>
      <w:rPr>
        <w:rFonts w:hint="eastAsia"/>
      </w:rPr>
    </w:lvl>
    <w:lvl w:ilvl="7" w:tentative="0">
      <w:start w:val="1"/>
      <w:numFmt w:val="lowerLetter"/>
      <w:lvlText w:val="%8)"/>
      <w:lvlJc w:val="left"/>
      <w:pPr>
        <w:tabs>
          <w:tab w:val="left" w:pos="1344"/>
        </w:tabs>
        <w:ind w:left="930" w:hanging="363"/>
      </w:pPr>
      <w:rPr>
        <w:rFonts w:hint="eastAsia"/>
      </w:rPr>
    </w:lvl>
    <w:lvl w:ilvl="8" w:tentative="0">
      <w:start w:val="1"/>
      <w:numFmt w:val="lowerRoman"/>
      <w:lvlText w:val="%9."/>
      <w:lvlJc w:val="right"/>
      <w:pPr>
        <w:tabs>
          <w:tab w:val="left" w:pos="1344"/>
        </w:tabs>
        <w:ind w:left="930" w:hanging="363"/>
      </w:pPr>
      <w:rPr>
        <w:rFonts w:hint="eastAsia"/>
      </w:rPr>
    </w:lvl>
  </w:abstractNum>
  <w:abstractNum w:abstractNumId="8">
    <w:nsid w:val="2A8F7113"/>
    <w:multiLevelType w:val="multilevel"/>
    <w:tmpl w:val="2A8F7113"/>
    <w:lvl w:ilvl="0" w:tentative="0">
      <w:start w:val="1"/>
      <w:numFmt w:val="upperLetter"/>
      <w:pStyle w:val="99"/>
      <w:suff w:val="space"/>
      <w:lvlText w:val="%1"/>
      <w:lvlJc w:val="left"/>
      <w:pPr>
        <w:ind w:left="623" w:hanging="425"/>
      </w:pPr>
      <w:rPr>
        <w:rFonts w:hint="eastAsia"/>
      </w:rPr>
    </w:lvl>
    <w:lvl w:ilvl="1" w:tentative="0">
      <w:start w:val="1"/>
      <w:numFmt w:val="decimal"/>
      <w:pStyle w:val="10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9">
    <w:nsid w:val="2C5917C3"/>
    <w:multiLevelType w:val="multilevel"/>
    <w:tmpl w:val="2C5917C3"/>
    <w:lvl w:ilvl="0" w:tentative="0">
      <w:start w:val="1"/>
      <w:numFmt w:val="none"/>
      <w:pStyle w:val="49"/>
      <w:suff w:val="nothing"/>
      <w:lvlText w:val="%1——"/>
      <w:lvlJc w:val="left"/>
      <w:pPr>
        <w:ind w:left="833" w:hanging="408"/>
      </w:pPr>
      <w:rPr>
        <w:rFonts w:hint="eastAsia"/>
        <w:lang w:val="en-US"/>
      </w:rPr>
    </w:lvl>
    <w:lvl w:ilvl="1" w:tentative="0">
      <w:start w:val="1"/>
      <w:numFmt w:val="bullet"/>
      <w:pStyle w:val="50"/>
      <w:lvlText w:val=""/>
      <w:lvlJc w:val="left"/>
      <w:pPr>
        <w:tabs>
          <w:tab w:val="left" w:pos="760"/>
        </w:tabs>
        <w:ind w:left="1264" w:hanging="413"/>
      </w:pPr>
      <w:rPr>
        <w:rFonts w:hint="default" w:ascii="Symbol" w:hAnsi="Symbol"/>
        <w:color w:val="auto"/>
      </w:rPr>
    </w:lvl>
    <w:lvl w:ilvl="2" w:tentative="0">
      <w:start w:val="1"/>
      <w:numFmt w:val="bullet"/>
      <w:pStyle w:val="6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0">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1">
    <w:nsid w:val="4B733A5F"/>
    <w:multiLevelType w:val="multilevel"/>
    <w:tmpl w:val="4B733A5F"/>
    <w:lvl w:ilvl="0" w:tentative="0">
      <w:start w:val="1"/>
      <w:numFmt w:val="decimal"/>
      <w:pStyle w:val="63"/>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2">
    <w:nsid w:val="60B55DC2"/>
    <w:multiLevelType w:val="multilevel"/>
    <w:tmpl w:val="60B55DC2"/>
    <w:lvl w:ilvl="0" w:tentative="0">
      <w:start w:val="1"/>
      <w:numFmt w:val="upperLetter"/>
      <w:pStyle w:val="87"/>
      <w:lvlText w:val="%1"/>
      <w:lvlJc w:val="left"/>
      <w:pPr>
        <w:tabs>
          <w:tab w:val="left" w:pos="0"/>
        </w:tabs>
        <w:ind w:left="0" w:hanging="425"/>
      </w:pPr>
      <w:rPr>
        <w:rFonts w:hint="eastAsia"/>
      </w:rPr>
    </w:lvl>
    <w:lvl w:ilvl="1" w:tentative="0">
      <w:start w:val="1"/>
      <w:numFmt w:val="decimal"/>
      <w:pStyle w:val="88"/>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36"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6D3780"/>
    <w:multiLevelType w:val="multilevel"/>
    <w:tmpl w:val="6A6D3780"/>
    <w:lvl w:ilvl="0" w:tentative="0">
      <w:start w:val="1"/>
      <w:numFmt w:val="decimal"/>
      <w:pStyle w:val="6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6">
    <w:nsid w:val="6CE73117"/>
    <w:multiLevelType w:val="multilevel"/>
    <w:tmpl w:val="6CE73117"/>
    <w:lvl w:ilvl="0" w:tentative="0">
      <w:start w:val="1"/>
      <w:numFmt w:val="decimal"/>
      <w:pStyle w:val="46"/>
      <w:suff w:val="space"/>
      <w:lvlText w:val="%1 "/>
      <w:lvlJc w:val="left"/>
      <w:pPr>
        <w:ind w:left="0" w:firstLine="0"/>
      </w:pPr>
      <w:rPr>
        <w:rFonts w:hint="eastAsia" w:ascii="黑体" w:hAnsi="黑体" w:eastAsia="黑体"/>
        <w:sz w:val="21"/>
      </w:rPr>
    </w:lvl>
    <w:lvl w:ilvl="1" w:tentative="0">
      <w:start w:val="1"/>
      <w:numFmt w:val="decimal"/>
      <w:pStyle w:val="43"/>
      <w:suff w:val="space"/>
      <w:lvlText w:val="%1.%2 "/>
      <w:lvlJc w:val="left"/>
      <w:pPr>
        <w:ind w:left="0" w:firstLine="0"/>
      </w:pPr>
      <w:rPr>
        <w:rFonts w:hint="eastAsia" w:ascii="黑体" w:hAnsi="黑体" w:eastAsia="黑体"/>
      </w:rPr>
    </w:lvl>
    <w:lvl w:ilvl="2" w:tentative="0">
      <w:start w:val="1"/>
      <w:numFmt w:val="decimal"/>
      <w:pStyle w:val="47"/>
      <w:suff w:val="space"/>
      <w:lvlText w:val="%1.%2.%3 "/>
      <w:lvlJc w:val="left"/>
      <w:pPr>
        <w:ind w:left="0" w:firstLine="0"/>
      </w:pPr>
      <w:rPr>
        <w:rFonts w:hint="eastAsia" w:ascii="黑体" w:hAnsi="黑体" w:eastAsia="黑体"/>
      </w:rPr>
    </w:lvl>
    <w:lvl w:ilvl="3" w:tentative="0">
      <w:start w:val="1"/>
      <w:numFmt w:val="decimal"/>
      <w:pStyle w:val="52"/>
      <w:suff w:val="space"/>
      <w:lvlText w:val="%1.%2.%3.%4 "/>
      <w:lvlJc w:val="left"/>
      <w:pPr>
        <w:ind w:left="0" w:firstLine="0"/>
      </w:pPr>
      <w:rPr>
        <w:rFonts w:hint="eastAsia" w:ascii="黑体" w:hAnsi="黑体" w:eastAsia="黑体"/>
      </w:rPr>
    </w:lvl>
    <w:lvl w:ilvl="4" w:tentative="0">
      <w:start w:val="1"/>
      <w:numFmt w:val="decimal"/>
      <w:pStyle w:val="56"/>
      <w:suff w:val="space"/>
      <w:lvlText w:val="%1.%2.%3.%4.%5 "/>
      <w:lvlJc w:val="left"/>
      <w:pPr>
        <w:ind w:left="0" w:firstLine="0"/>
      </w:pPr>
      <w:rPr>
        <w:rFonts w:hint="eastAsia" w:ascii="黑体" w:hAnsi="黑体" w:eastAsia="黑体"/>
      </w:rPr>
    </w:lvl>
    <w:lvl w:ilvl="5" w:tentative="0">
      <w:start w:val="1"/>
      <w:numFmt w:val="decimal"/>
      <w:pStyle w:val="57"/>
      <w:suff w:val="space"/>
      <w:lvlText w:val="%1.%2.%3.%4.%5.%6 "/>
      <w:lvlJc w:val="left"/>
      <w:pPr>
        <w:ind w:left="0" w:firstLine="0"/>
      </w:pPr>
      <w:rPr>
        <w:rFonts w:hint="eastAsia" w:ascii="黑体" w:hAnsi="黑体" w:eastAsia="黑体"/>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7">
    <w:nsid w:val="6D6C07CD"/>
    <w:multiLevelType w:val="multilevel"/>
    <w:tmpl w:val="6D6C07CD"/>
    <w:lvl w:ilvl="0" w:tentative="0">
      <w:start w:val="1"/>
      <w:numFmt w:val="lowerLetter"/>
      <w:pStyle w:val="106"/>
      <w:lvlText w:val="%1)"/>
      <w:lvlJc w:val="left"/>
      <w:pPr>
        <w:tabs>
          <w:tab w:val="left" w:pos="839"/>
        </w:tabs>
        <w:ind w:left="839" w:hanging="419"/>
      </w:pPr>
      <w:rPr>
        <w:rFonts w:hint="eastAsia" w:ascii="宋体" w:eastAsia="宋体"/>
        <w:b w:val="0"/>
        <w:i w:val="0"/>
        <w:sz w:val="21"/>
      </w:rPr>
    </w:lvl>
    <w:lvl w:ilvl="1" w:tentative="0">
      <w:start w:val="1"/>
      <w:numFmt w:val="decimal"/>
      <w:pStyle w:val="96"/>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8">
    <w:nsid w:val="6DBF04F4"/>
    <w:multiLevelType w:val="multilevel"/>
    <w:tmpl w:val="6DBF04F4"/>
    <w:lvl w:ilvl="0" w:tentative="0">
      <w:start w:val="1"/>
      <w:numFmt w:val="none"/>
      <w:pStyle w:val="5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9">
    <w:nsid w:val="725F7525"/>
    <w:multiLevelType w:val="multilevel"/>
    <w:tmpl w:val="725F7525"/>
    <w:lvl w:ilvl="0" w:tentative="0">
      <w:start w:val="1"/>
      <w:numFmt w:val="decimal"/>
      <w:lvlText w:val="[%1]"/>
      <w:lvlJc w:val="left"/>
      <w:pPr>
        <w:ind w:left="840" w:hanging="420"/>
      </w:pPr>
      <w:rPr>
        <w:rFonts w:hint="eastAsia"/>
      </w:rPr>
    </w:lvl>
    <w:lvl w:ilvl="1" w:tentative="0">
      <w:start w:val="1"/>
      <w:numFmt w:val="decimal"/>
      <w:pStyle w:val="149"/>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16"/>
  </w:num>
  <w:num w:numId="3">
    <w:abstractNumId w:val="9"/>
  </w:num>
  <w:num w:numId="4">
    <w:abstractNumId w:val="2"/>
  </w:num>
  <w:num w:numId="5">
    <w:abstractNumId w:val="5"/>
  </w:num>
  <w:num w:numId="6">
    <w:abstractNumId w:val="18"/>
  </w:num>
  <w:num w:numId="7">
    <w:abstractNumId w:val="0"/>
  </w:num>
  <w:num w:numId="8">
    <w:abstractNumId w:val="11"/>
  </w:num>
  <w:num w:numId="9">
    <w:abstractNumId w:val="7"/>
  </w:num>
  <w:num w:numId="10">
    <w:abstractNumId w:val="15"/>
  </w:num>
  <w:num w:numId="11">
    <w:abstractNumId w:val="12"/>
  </w:num>
  <w:num w:numId="12">
    <w:abstractNumId w:val="17"/>
  </w:num>
  <w:num w:numId="13">
    <w:abstractNumId w:val="8"/>
  </w:num>
  <w:num w:numId="14">
    <w:abstractNumId w:val="1"/>
  </w:num>
  <w:num w:numId="15">
    <w:abstractNumId w:val="6"/>
  </w:num>
  <w:num w:numId="16">
    <w:abstractNumId w:val="4"/>
  </w:num>
  <w:num w:numId="17">
    <w:abstractNumId w:val="13"/>
  </w:num>
  <w:num w:numId="18">
    <w:abstractNumId w:val="3"/>
  </w:num>
  <w:num w:numId="19">
    <w:abstractNumId w:val="1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true"/>
  <w:bordersDoNotSurroundFooter w:val="true"/>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hYmY2MDg0ZWVlZGUxNjMwYWFhNmJhZDBkNTYyNWMifQ=="/>
  </w:docVars>
  <w:rsids>
    <w:rsidRoot w:val="61542A7B"/>
    <w:rsid w:val="00000244"/>
    <w:rsid w:val="0000185F"/>
    <w:rsid w:val="000024D3"/>
    <w:rsid w:val="000053B0"/>
    <w:rsid w:val="0000586F"/>
    <w:rsid w:val="00005AEF"/>
    <w:rsid w:val="00006A6E"/>
    <w:rsid w:val="0001233B"/>
    <w:rsid w:val="00013D86"/>
    <w:rsid w:val="00013E02"/>
    <w:rsid w:val="0002121F"/>
    <w:rsid w:val="0002143C"/>
    <w:rsid w:val="000215FE"/>
    <w:rsid w:val="00025A65"/>
    <w:rsid w:val="00026C31"/>
    <w:rsid w:val="00027280"/>
    <w:rsid w:val="00027869"/>
    <w:rsid w:val="000320A7"/>
    <w:rsid w:val="00035925"/>
    <w:rsid w:val="000378F3"/>
    <w:rsid w:val="0003795C"/>
    <w:rsid w:val="0004077A"/>
    <w:rsid w:val="000456E4"/>
    <w:rsid w:val="00050549"/>
    <w:rsid w:val="00053025"/>
    <w:rsid w:val="00055016"/>
    <w:rsid w:val="0005676A"/>
    <w:rsid w:val="00056891"/>
    <w:rsid w:val="00060186"/>
    <w:rsid w:val="00060320"/>
    <w:rsid w:val="000604D3"/>
    <w:rsid w:val="00061BD7"/>
    <w:rsid w:val="000651BA"/>
    <w:rsid w:val="000659D6"/>
    <w:rsid w:val="00066E9E"/>
    <w:rsid w:val="00067CDF"/>
    <w:rsid w:val="00070887"/>
    <w:rsid w:val="00074FBE"/>
    <w:rsid w:val="00081D80"/>
    <w:rsid w:val="00082A7E"/>
    <w:rsid w:val="00083A09"/>
    <w:rsid w:val="00083FFE"/>
    <w:rsid w:val="00084969"/>
    <w:rsid w:val="00084A15"/>
    <w:rsid w:val="000873CC"/>
    <w:rsid w:val="00087F5D"/>
    <w:rsid w:val="0009005E"/>
    <w:rsid w:val="00090B04"/>
    <w:rsid w:val="00092857"/>
    <w:rsid w:val="00094926"/>
    <w:rsid w:val="000979C3"/>
    <w:rsid w:val="000A20A9"/>
    <w:rsid w:val="000A24CB"/>
    <w:rsid w:val="000A3168"/>
    <w:rsid w:val="000A37C0"/>
    <w:rsid w:val="000A3CBB"/>
    <w:rsid w:val="000A45C4"/>
    <w:rsid w:val="000A45D3"/>
    <w:rsid w:val="000A48B1"/>
    <w:rsid w:val="000A68AB"/>
    <w:rsid w:val="000B3143"/>
    <w:rsid w:val="000B3C4F"/>
    <w:rsid w:val="000C582C"/>
    <w:rsid w:val="000C6B05"/>
    <w:rsid w:val="000C6DD6"/>
    <w:rsid w:val="000C73D4"/>
    <w:rsid w:val="000D2CF3"/>
    <w:rsid w:val="000D3D4C"/>
    <w:rsid w:val="000D4F51"/>
    <w:rsid w:val="000D6CFF"/>
    <w:rsid w:val="000D718B"/>
    <w:rsid w:val="000E0C46"/>
    <w:rsid w:val="000E0D69"/>
    <w:rsid w:val="000E3966"/>
    <w:rsid w:val="000E5DF5"/>
    <w:rsid w:val="000E78FD"/>
    <w:rsid w:val="000F030C"/>
    <w:rsid w:val="000F129C"/>
    <w:rsid w:val="00100680"/>
    <w:rsid w:val="00104D5A"/>
    <w:rsid w:val="00104F16"/>
    <w:rsid w:val="001056DE"/>
    <w:rsid w:val="001124C0"/>
    <w:rsid w:val="00117DED"/>
    <w:rsid w:val="001230FD"/>
    <w:rsid w:val="00125A8B"/>
    <w:rsid w:val="0013175F"/>
    <w:rsid w:val="0013332E"/>
    <w:rsid w:val="0013554D"/>
    <w:rsid w:val="00136390"/>
    <w:rsid w:val="00137A49"/>
    <w:rsid w:val="00142131"/>
    <w:rsid w:val="0014319E"/>
    <w:rsid w:val="00144EDE"/>
    <w:rsid w:val="00147B89"/>
    <w:rsid w:val="001512B4"/>
    <w:rsid w:val="00151930"/>
    <w:rsid w:val="00152390"/>
    <w:rsid w:val="001524E7"/>
    <w:rsid w:val="001546ED"/>
    <w:rsid w:val="001559F2"/>
    <w:rsid w:val="001620A5"/>
    <w:rsid w:val="001629BC"/>
    <w:rsid w:val="00164E53"/>
    <w:rsid w:val="001668AD"/>
    <w:rsid w:val="0016699D"/>
    <w:rsid w:val="00171B84"/>
    <w:rsid w:val="00175159"/>
    <w:rsid w:val="00175AE2"/>
    <w:rsid w:val="00176208"/>
    <w:rsid w:val="00176AA8"/>
    <w:rsid w:val="0018211B"/>
    <w:rsid w:val="001840D3"/>
    <w:rsid w:val="00185E08"/>
    <w:rsid w:val="00186C51"/>
    <w:rsid w:val="00187759"/>
    <w:rsid w:val="001900F8"/>
    <w:rsid w:val="00190D4A"/>
    <w:rsid w:val="00191258"/>
    <w:rsid w:val="00192680"/>
    <w:rsid w:val="00193037"/>
    <w:rsid w:val="00193A2C"/>
    <w:rsid w:val="00195A71"/>
    <w:rsid w:val="001A288E"/>
    <w:rsid w:val="001A56ED"/>
    <w:rsid w:val="001B0AA8"/>
    <w:rsid w:val="001B0ACC"/>
    <w:rsid w:val="001B511A"/>
    <w:rsid w:val="001B5853"/>
    <w:rsid w:val="001B5B9B"/>
    <w:rsid w:val="001B6DC2"/>
    <w:rsid w:val="001B7F45"/>
    <w:rsid w:val="001C0008"/>
    <w:rsid w:val="001C149C"/>
    <w:rsid w:val="001C1C23"/>
    <w:rsid w:val="001C21AC"/>
    <w:rsid w:val="001C47BA"/>
    <w:rsid w:val="001C59EA"/>
    <w:rsid w:val="001D102C"/>
    <w:rsid w:val="001D25EF"/>
    <w:rsid w:val="001D3894"/>
    <w:rsid w:val="001D406C"/>
    <w:rsid w:val="001D41EE"/>
    <w:rsid w:val="001D4CA4"/>
    <w:rsid w:val="001D7BE1"/>
    <w:rsid w:val="001E0380"/>
    <w:rsid w:val="001E135E"/>
    <w:rsid w:val="001E13B1"/>
    <w:rsid w:val="001E13E8"/>
    <w:rsid w:val="001E35DF"/>
    <w:rsid w:val="001E4196"/>
    <w:rsid w:val="001E452D"/>
    <w:rsid w:val="001E563D"/>
    <w:rsid w:val="001E7022"/>
    <w:rsid w:val="001F3A19"/>
    <w:rsid w:val="002046D4"/>
    <w:rsid w:val="00215F0E"/>
    <w:rsid w:val="00215F95"/>
    <w:rsid w:val="002245D5"/>
    <w:rsid w:val="00225C8E"/>
    <w:rsid w:val="00226814"/>
    <w:rsid w:val="00234467"/>
    <w:rsid w:val="002346F0"/>
    <w:rsid w:val="00235AFA"/>
    <w:rsid w:val="00237D8D"/>
    <w:rsid w:val="00241DA2"/>
    <w:rsid w:val="002452C5"/>
    <w:rsid w:val="00246C16"/>
    <w:rsid w:val="00247FEE"/>
    <w:rsid w:val="00250E7D"/>
    <w:rsid w:val="0025654C"/>
    <w:rsid w:val="002565D5"/>
    <w:rsid w:val="00261E4A"/>
    <w:rsid w:val="002622C0"/>
    <w:rsid w:val="00271195"/>
    <w:rsid w:val="002717C6"/>
    <w:rsid w:val="00274D48"/>
    <w:rsid w:val="00276A65"/>
    <w:rsid w:val="002778AE"/>
    <w:rsid w:val="0028129D"/>
    <w:rsid w:val="0028269A"/>
    <w:rsid w:val="00283590"/>
    <w:rsid w:val="00283678"/>
    <w:rsid w:val="0028373D"/>
    <w:rsid w:val="00284F69"/>
    <w:rsid w:val="00286973"/>
    <w:rsid w:val="0028706C"/>
    <w:rsid w:val="00292704"/>
    <w:rsid w:val="00292BE5"/>
    <w:rsid w:val="00294AAC"/>
    <w:rsid w:val="00294E70"/>
    <w:rsid w:val="002A0F5C"/>
    <w:rsid w:val="002A141D"/>
    <w:rsid w:val="002A1924"/>
    <w:rsid w:val="002A20FF"/>
    <w:rsid w:val="002A7420"/>
    <w:rsid w:val="002B0F12"/>
    <w:rsid w:val="002B1308"/>
    <w:rsid w:val="002B1D86"/>
    <w:rsid w:val="002B4554"/>
    <w:rsid w:val="002C72D8"/>
    <w:rsid w:val="002C7823"/>
    <w:rsid w:val="002D11FA"/>
    <w:rsid w:val="002D54CA"/>
    <w:rsid w:val="002E0DDF"/>
    <w:rsid w:val="002E25BD"/>
    <w:rsid w:val="002E2906"/>
    <w:rsid w:val="002E363B"/>
    <w:rsid w:val="002E4928"/>
    <w:rsid w:val="002E50A6"/>
    <w:rsid w:val="002E5635"/>
    <w:rsid w:val="002E64C3"/>
    <w:rsid w:val="002E6A2C"/>
    <w:rsid w:val="002E6EBC"/>
    <w:rsid w:val="002F1D8C"/>
    <w:rsid w:val="002F21DA"/>
    <w:rsid w:val="002F263D"/>
    <w:rsid w:val="002F3489"/>
    <w:rsid w:val="002F4D62"/>
    <w:rsid w:val="00301F39"/>
    <w:rsid w:val="003046A8"/>
    <w:rsid w:val="00304C5F"/>
    <w:rsid w:val="00310A54"/>
    <w:rsid w:val="00314C0D"/>
    <w:rsid w:val="00315E5D"/>
    <w:rsid w:val="00325926"/>
    <w:rsid w:val="003277B3"/>
    <w:rsid w:val="00327A8A"/>
    <w:rsid w:val="00336610"/>
    <w:rsid w:val="00343F73"/>
    <w:rsid w:val="00344F93"/>
    <w:rsid w:val="00345060"/>
    <w:rsid w:val="00346FE0"/>
    <w:rsid w:val="00351B28"/>
    <w:rsid w:val="0035323B"/>
    <w:rsid w:val="0035378A"/>
    <w:rsid w:val="00356F97"/>
    <w:rsid w:val="003609D2"/>
    <w:rsid w:val="00363F22"/>
    <w:rsid w:val="003654C4"/>
    <w:rsid w:val="003674EB"/>
    <w:rsid w:val="0037334B"/>
    <w:rsid w:val="00373410"/>
    <w:rsid w:val="00375564"/>
    <w:rsid w:val="00376489"/>
    <w:rsid w:val="00382EAB"/>
    <w:rsid w:val="00383191"/>
    <w:rsid w:val="00386DED"/>
    <w:rsid w:val="003912E7"/>
    <w:rsid w:val="00393947"/>
    <w:rsid w:val="003A170B"/>
    <w:rsid w:val="003A1C6A"/>
    <w:rsid w:val="003A2275"/>
    <w:rsid w:val="003A2A45"/>
    <w:rsid w:val="003A6A4F"/>
    <w:rsid w:val="003A7088"/>
    <w:rsid w:val="003B00DF"/>
    <w:rsid w:val="003B114F"/>
    <w:rsid w:val="003B1275"/>
    <w:rsid w:val="003B1778"/>
    <w:rsid w:val="003B2EAC"/>
    <w:rsid w:val="003B6DF1"/>
    <w:rsid w:val="003C11CB"/>
    <w:rsid w:val="003C4938"/>
    <w:rsid w:val="003C75F3"/>
    <w:rsid w:val="003C78A3"/>
    <w:rsid w:val="003D0DC2"/>
    <w:rsid w:val="003D2966"/>
    <w:rsid w:val="003D396B"/>
    <w:rsid w:val="003D3AC9"/>
    <w:rsid w:val="003D6CEF"/>
    <w:rsid w:val="003E1867"/>
    <w:rsid w:val="003E5729"/>
    <w:rsid w:val="003E5EAE"/>
    <w:rsid w:val="003E6A28"/>
    <w:rsid w:val="003E7514"/>
    <w:rsid w:val="003E7529"/>
    <w:rsid w:val="003F0B58"/>
    <w:rsid w:val="003F2AF5"/>
    <w:rsid w:val="003F3E91"/>
    <w:rsid w:val="003F4EE0"/>
    <w:rsid w:val="003F5AC7"/>
    <w:rsid w:val="003F7207"/>
    <w:rsid w:val="004009C8"/>
    <w:rsid w:val="00400E9E"/>
    <w:rsid w:val="00402153"/>
    <w:rsid w:val="00402FC1"/>
    <w:rsid w:val="004035C7"/>
    <w:rsid w:val="004046C4"/>
    <w:rsid w:val="004100FE"/>
    <w:rsid w:val="004116F6"/>
    <w:rsid w:val="004133EE"/>
    <w:rsid w:val="00417027"/>
    <w:rsid w:val="00420AAD"/>
    <w:rsid w:val="00421E5E"/>
    <w:rsid w:val="00425082"/>
    <w:rsid w:val="00427D04"/>
    <w:rsid w:val="00431DEB"/>
    <w:rsid w:val="0043263E"/>
    <w:rsid w:val="00436B51"/>
    <w:rsid w:val="00445A1D"/>
    <w:rsid w:val="00446B29"/>
    <w:rsid w:val="00453F9A"/>
    <w:rsid w:val="00455CE5"/>
    <w:rsid w:val="00462CEC"/>
    <w:rsid w:val="004672B1"/>
    <w:rsid w:val="00471E91"/>
    <w:rsid w:val="00474675"/>
    <w:rsid w:val="0047470C"/>
    <w:rsid w:val="00485BDC"/>
    <w:rsid w:val="00492D95"/>
    <w:rsid w:val="00492FDB"/>
    <w:rsid w:val="00493BC3"/>
    <w:rsid w:val="0049613A"/>
    <w:rsid w:val="004969B2"/>
    <w:rsid w:val="004A35F9"/>
    <w:rsid w:val="004A55DF"/>
    <w:rsid w:val="004B15D8"/>
    <w:rsid w:val="004B24C1"/>
    <w:rsid w:val="004B6742"/>
    <w:rsid w:val="004C292F"/>
    <w:rsid w:val="004C5C89"/>
    <w:rsid w:val="004C711D"/>
    <w:rsid w:val="004D4F0A"/>
    <w:rsid w:val="004D56B9"/>
    <w:rsid w:val="004E3212"/>
    <w:rsid w:val="004F0D37"/>
    <w:rsid w:val="004F49A3"/>
    <w:rsid w:val="004F49F6"/>
    <w:rsid w:val="005008F7"/>
    <w:rsid w:val="00501F7B"/>
    <w:rsid w:val="00510280"/>
    <w:rsid w:val="00512F3E"/>
    <w:rsid w:val="00513D73"/>
    <w:rsid w:val="0051476D"/>
    <w:rsid w:val="00514A43"/>
    <w:rsid w:val="00516C20"/>
    <w:rsid w:val="005174E5"/>
    <w:rsid w:val="005175E7"/>
    <w:rsid w:val="00522393"/>
    <w:rsid w:val="00522620"/>
    <w:rsid w:val="00525656"/>
    <w:rsid w:val="0053046D"/>
    <w:rsid w:val="00532043"/>
    <w:rsid w:val="00532518"/>
    <w:rsid w:val="00534C02"/>
    <w:rsid w:val="00535E75"/>
    <w:rsid w:val="00540BCD"/>
    <w:rsid w:val="00541D7D"/>
    <w:rsid w:val="0054264B"/>
    <w:rsid w:val="00543786"/>
    <w:rsid w:val="0054387C"/>
    <w:rsid w:val="005533D7"/>
    <w:rsid w:val="00557D42"/>
    <w:rsid w:val="0056293D"/>
    <w:rsid w:val="00564C39"/>
    <w:rsid w:val="00570354"/>
    <w:rsid w:val="005703DE"/>
    <w:rsid w:val="00570CF6"/>
    <w:rsid w:val="0057196D"/>
    <w:rsid w:val="00572B02"/>
    <w:rsid w:val="0057501A"/>
    <w:rsid w:val="00575F5E"/>
    <w:rsid w:val="00581128"/>
    <w:rsid w:val="0058189B"/>
    <w:rsid w:val="0058464E"/>
    <w:rsid w:val="0058610C"/>
    <w:rsid w:val="005864BC"/>
    <w:rsid w:val="0059030D"/>
    <w:rsid w:val="00593B48"/>
    <w:rsid w:val="00596272"/>
    <w:rsid w:val="005A01CB"/>
    <w:rsid w:val="005A0D62"/>
    <w:rsid w:val="005A58FF"/>
    <w:rsid w:val="005A5EAF"/>
    <w:rsid w:val="005A64C0"/>
    <w:rsid w:val="005A7487"/>
    <w:rsid w:val="005B0023"/>
    <w:rsid w:val="005B0A4B"/>
    <w:rsid w:val="005B0AD0"/>
    <w:rsid w:val="005B1E4E"/>
    <w:rsid w:val="005B3C11"/>
    <w:rsid w:val="005B4FF9"/>
    <w:rsid w:val="005B5A19"/>
    <w:rsid w:val="005B651D"/>
    <w:rsid w:val="005C05AF"/>
    <w:rsid w:val="005C1706"/>
    <w:rsid w:val="005C1C28"/>
    <w:rsid w:val="005C53B2"/>
    <w:rsid w:val="005C6DB5"/>
    <w:rsid w:val="005C74FE"/>
    <w:rsid w:val="005D03A6"/>
    <w:rsid w:val="005D39B7"/>
    <w:rsid w:val="005D5E6F"/>
    <w:rsid w:val="005D736F"/>
    <w:rsid w:val="005E19E7"/>
    <w:rsid w:val="005E232A"/>
    <w:rsid w:val="005E259F"/>
    <w:rsid w:val="005E59DE"/>
    <w:rsid w:val="005E60CE"/>
    <w:rsid w:val="005F052C"/>
    <w:rsid w:val="005F0D35"/>
    <w:rsid w:val="005F3A96"/>
    <w:rsid w:val="005F7640"/>
    <w:rsid w:val="005F7E9E"/>
    <w:rsid w:val="0060413E"/>
    <w:rsid w:val="00604B74"/>
    <w:rsid w:val="00607EC9"/>
    <w:rsid w:val="006126C0"/>
    <w:rsid w:val="006128E9"/>
    <w:rsid w:val="006149F1"/>
    <w:rsid w:val="0061716C"/>
    <w:rsid w:val="00620D38"/>
    <w:rsid w:val="006243A1"/>
    <w:rsid w:val="006278EC"/>
    <w:rsid w:val="00627DCC"/>
    <w:rsid w:val="0063162D"/>
    <w:rsid w:val="00631E62"/>
    <w:rsid w:val="00632E56"/>
    <w:rsid w:val="00635CBA"/>
    <w:rsid w:val="006407B5"/>
    <w:rsid w:val="0064338B"/>
    <w:rsid w:val="00644F98"/>
    <w:rsid w:val="00646542"/>
    <w:rsid w:val="006504F4"/>
    <w:rsid w:val="006507F4"/>
    <w:rsid w:val="00652745"/>
    <w:rsid w:val="00654BC9"/>
    <w:rsid w:val="006552CA"/>
    <w:rsid w:val="006552FD"/>
    <w:rsid w:val="00663AF3"/>
    <w:rsid w:val="00664FA6"/>
    <w:rsid w:val="00666B6C"/>
    <w:rsid w:val="0066776B"/>
    <w:rsid w:val="0066799C"/>
    <w:rsid w:val="00676405"/>
    <w:rsid w:val="00682682"/>
    <w:rsid w:val="00682702"/>
    <w:rsid w:val="00682CAE"/>
    <w:rsid w:val="00684333"/>
    <w:rsid w:val="006853C3"/>
    <w:rsid w:val="00692368"/>
    <w:rsid w:val="00692519"/>
    <w:rsid w:val="00693782"/>
    <w:rsid w:val="00693C38"/>
    <w:rsid w:val="006A0055"/>
    <w:rsid w:val="006A01CA"/>
    <w:rsid w:val="006A2EBC"/>
    <w:rsid w:val="006A5EA0"/>
    <w:rsid w:val="006A783B"/>
    <w:rsid w:val="006A7B33"/>
    <w:rsid w:val="006B204A"/>
    <w:rsid w:val="006B230C"/>
    <w:rsid w:val="006B4E13"/>
    <w:rsid w:val="006B6B00"/>
    <w:rsid w:val="006B75DD"/>
    <w:rsid w:val="006C08B7"/>
    <w:rsid w:val="006C67E0"/>
    <w:rsid w:val="006C7ABA"/>
    <w:rsid w:val="006D0D60"/>
    <w:rsid w:val="006D1122"/>
    <w:rsid w:val="006D2F81"/>
    <w:rsid w:val="006D3C00"/>
    <w:rsid w:val="006D6CF4"/>
    <w:rsid w:val="006E05BB"/>
    <w:rsid w:val="006E11C4"/>
    <w:rsid w:val="006E2AF4"/>
    <w:rsid w:val="006E3675"/>
    <w:rsid w:val="006E431E"/>
    <w:rsid w:val="006E4A7F"/>
    <w:rsid w:val="006E59DB"/>
    <w:rsid w:val="006F5451"/>
    <w:rsid w:val="00701D24"/>
    <w:rsid w:val="00704DF6"/>
    <w:rsid w:val="0070651C"/>
    <w:rsid w:val="007132A3"/>
    <w:rsid w:val="0071447D"/>
    <w:rsid w:val="00716421"/>
    <w:rsid w:val="00717681"/>
    <w:rsid w:val="00717C30"/>
    <w:rsid w:val="00724EFB"/>
    <w:rsid w:val="00726FFE"/>
    <w:rsid w:val="007328CC"/>
    <w:rsid w:val="00732A9E"/>
    <w:rsid w:val="007334E0"/>
    <w:rsid w:val="007419C3"/>
    <w:rsid w:val="0074261B"/>
    <w:rsid w:val="00744814"/>
    <w:rsid w:val="00744F22"/>
    <w:rsid w:val="007454DE"/>
    <w:rsid w:val="00745EE3"/>
    <w:rsid w:val="007467A7"/>
    <w:rsid w:val="007469DD"/>
    <w:rsid w:val="0074741B"/>
    <w:rsid w:val="0074759E"/>
    <w:rsid w:val="007478EA"/>
    <w:rsid w:val="0075415C"/>
    <w:rsid w:val="007549D1"/>
    <w:rsid w:val="00756A6C"/>
    <w:rsid w:val="00762B7C"/>
    <w:rsid w:val="00763502"/>
    <w:rsid w:val="00766ABD"/>
    <w:rsid w:val="00774FCA"/>
    <w:rsid w:val="00781AB5"/>
    <w:rsid w:val="007823C1"/>
    <w:rsid w:val="007845F9"/>
    <w:rsid w:val="007913AB"/>
    <w:rsid w:val="007914F7"/>
    <w:rsid w:val="007972CC"/>
    <w:rsid w:val="00797409"/>
    <w:rsid w:val="007A6D6B"/>
    <w:rsid w:val="007B1625"/>
    <w:rsid w:val="007B5A52"/>
    <w:rsid w:val="007B5DBA"/>
    <w:rsid w:val="007B65F0"/>
    <w:rsid w:val="007B6C5B"/>
    <w:rsid w:val="007B706E"/>
    <w:rsid w:val="007B71EB"/>
    <w:rsid w:val="007B7457"/>
    <w:rsid w:val="007C6205"/>
    <w:rsid w:val="007C6359"/>
    <w:rsid w:val="007C686A"/>
    <w:rsid w:val="007C728E"/>
    <w:rsid w:val="007D2C53"/>
    <w:rsid w:val="007D3D60"/>
    <w:rsid w:val="007D5EC5"/>
    <w:rsid w:val="007D66C9"/>
    <w:rsid w:val="007E1980"/>
    <w:rsid w:val="007E1EEB"/>
    <w:rsid w:val="007E4B76"/>
    <w:rsid w:val="007E5EA8"/>
    <w:rsid w:val="007F052A"/>
    <w:rsid w:val="007F0CF1"/>
    <w:rsid w:val="007F12A5"/>
    <w:rsid w:val="007F1923"/>
    <w:rsid w:val="007F26FD"/>
    <w:rsid w:val="007F2DED"/>
    <w:rsid w:val="007F4CF1"/>
    <w:rsid w:val="007F758D"/>
    <w:rsid w:val="007F7D52"/>
    <w:rsid w:val="00801608"/>
    <w:rsid w:val="00801B16"/>
    <w:rsid w:val="00802672"/>
    <w:rsid w:val="00803503"/>
    <w:rsid w:val="00803C33"/>
    <w:rsid w:val="0080654C"/>
    <w:rsid w:val="00806796"/>
    <w:rsid w:val="008071C6"/>
    <w:rsid w:val="008127A2"/>
    <w:rsid w:val="00813900"/>
    <w:rsid w:val="00814471"/>
    <w:rsid w:val="00815D7E"/>
    <w:rsid w:val="00817A00"/>
    <w:rsid w:val="0082108D"/>
    <w:rsid w:val="00821CAE"/>
    <w:rsid w:val="00831AA2"/>
    <w:rsid w:val="00835DB3"/>
    <w:rsid w:val="0083617B"/>
    <w:rsid w:val="008370D2"/>
    <w:rsid w:val="008371BD"/>
    <w:rsid w:val="0084297F"/>
    <w:rsid w:val="008446E3"/>
    <w:rsid w:val="008447FF"/>
    <w:rsid w:val="008504A8"/>
    <w:rsid w:val="0085202D"/>
    <w:rsid w:val="00852108"/>
    <w:rsid w:val="0085282E"/>
    <w:rsid w:val="00853DEE"/>
    <w:rsid w:val="00855EF4"/>
    <w:rsid w:val="008652BC"/>
    <w:rsid w:val="0087198C"/>
    <w:rsid w:val="00872C1F"/>
    <w:rsid w:val="008735C6"/>
    <w:rsid w:val="00873620"/>
    <w:rsid w:val="00873B42"/>
    <w:rsid w:val="00873F6C"/>
    <w:rsid w:val="008768B0"/>
    <w:rsid w:val="00885446"/>
    <w:rsid w:val="008856D8"/>
    <w:rsid w:val="0089069C"/>
    <w:rsid w:val="00892E82"/>
    <w:rsid w:val="00893D49"/>
    <w:rsid w:val="00896411"/>
    <w:rsid w:val="008A1536"/>
    <w:rsid w:val="008A236D"/>
    <w:rsid w:val="008A3B7C"/>
    <w:rsid w:val="008A5E08"/>
    <w:rsid w:val="008A6C52"/>
    <w:rsid w:val="008A753A"/>
    <w:rsid w:val="008B276C"/>
    <w:rsid w:val="008B73DB"/>
    <w:rsid w:val="008C06EB"/>
    <w:rsid w:val="008C1B4A"/>
    <w:rsid w:val="008C1B58"/>
    <w:rsid w:val="008C39AE"/>
    <w:rsid w:val="008C590D"/>
    <w:rsid w:val="008C67C7"/>
    <w:rsid w:val="008D0215"/>
    <w:rsid w:val="008D2FAF"/>
    <w:rsid w:val="008D564F"/>
    <w:rsid w:val="008D565B"/>
    <w:rsid w:val="008D6781"/>
    <w:rsid w:val="008D758F"/>
    <w:rsid w:val="008E031B"/>
    <w:rsid w:val="008E059C"/>
    <w:rsid w:val="008E1C59"/>
    <w:rsid w:val="008E5E48"/>
    <w:rsid w:val="008E7029"/>
    <w:rsid w:val="008E7749"/>
    <w:rsid w:val="008E7EF6"/>
    <w:rsid w:val="008F1F98"/>
    <w:rsid w:val="008F4675"/>
    <w:rsid w:val="008F650E"/>
    <w:rsid w:val="008F6758"/>
    <w:rsid w:val="008F692D"/>
    <w:rsid w:val="008F716A"/>
    <w:rsid w:val="00900275"/>
    <w:rsid w:val="009040DD"/>
    <w:rsid w:val="00904828"/>
    <w:rsid w:val="00905B47"/>
    <w:rsid w:val="00911190"/>
    <w:rsid w:val="00911E73"/>
    <w:rsid w:val="0091331C"/>
    <w:rsid w:val="00913C03"/>
    <w:rsid w:val="00913C85"/>
    <w:rsid w:val="00915E33"/>
    <w:rsid w:val="009228E2"/>
    <w:rsid w:val="00922A59"/>
    <w:rsid w:val="0092513A"/>
    <w:rsid w:val="00925774"/>
    <w:rsid w:val="009279DE"/>
    <w:rsid w:val="00930116"/>
    <w:rsid w:val="00930D34"/>
    <w:rsid w:val="00935495"/>
    <w:rsid w:val="00935F2F"/>
    <w:rsid w:val="0094212C"/>
    <w:rsid w:val="009438A2"/>
    <w:rsid w:val="009468EF"/>
    <w:rsid w:val="00950C5A"/>
    <w:rsid w:val="009543BE"/>
    <w:rsid w:val="00954689"/>
    <w:rsid w:val="009617C9"/>
    <w:rsid w:val="00961C93"/>
    <w:rsid w:val="00963DD4"/>
    <w:rsid w:val="00965324"/>
    <w:rsid w:val="0097091E"/>
    <w:rsid w:val="009739DE"/>
    <w:rsid w:val="009760D3"/>
    <w:rsid w:val="009770CC"/>
    <w:rsid w:val="00977132"/>
    <w:rsid w:val="009805EA"/>
    <w:rsid w:val="00981A4B"/>
    <w:rsid w:val="00982501"/>
    <w:rsid w:val="00986B9C"/>
    <w:rsid w:val="009877D3"/>
    <w:rsid w:val="00987806"/>
    <w:rsid w:val="00990471"/>
    <w:rsid w:val="0099200F"/>
    <w:rsid w:val="00992F76"/>
    <w:rsid w:val="009939DD"/>
    <w:rsid w:val="00994E0E"/>
    <w:rsid w:val="00994E8F"/>
    <w:rsid w:val="009951DC"/>
    <w:rsid w:val="009959BB"/>
    <w:rsid w:val="00997158"/>
    <w:rsid w:val="009A1324"/>
    <w:rsid w:val="009A2D72"/>
    <w:rsid w:val="009A3A7C"/>
    <w:rsid w:val="009A6F7F"/>
    <w:rsid w:val="009B2293"/>
    <w:rsid w:val="009B2ADB"/>
    <w:rsid w:val="009B5825"/>
    <w:rsid w:val="009B603A"/>
    <w:rsid w:val="009C0DF3"/>
    <w:rsid w:val="009C1CE9"/>
    <w:rsid w:val="009C2D0E"/>
    <w:rsid w:val="009C3DAC"/>
    <w:rsid w:val="009C42E0"/>
    <w:rsid w:val="009D206E"/>
    <w:rsid w:val="009D42F1"/>
    <w:rsid w:val="009D5362"/>
    <w:rsid w:val="009E1415"/>
    <w:rsid w:val="009E14B8"/>
    <w:rsid w:val="009E4D58"/>
    <w:rsid w:val="009E5BC3"/>
    <w:rsid w:val="009E60F2"/>
    <w:rsid w:val="009E6116"/>
    <w:rsid w:val="009E7AC6"/>
    <w:rsid w:val="009F096B"/>
    <w:rsid w:val="009F14AB"/>
    <w:rsid w:val="009F31C5"/>
    <w:rsid w:val="00A020A7"/>
    <w:rsid w:val="00A02E43"/>
    <w:rsid w:val="00A04340"/>
    <w:rsid w:val="00A04913"/>
    <w:rsid w:val="00A05ACB"/>
    <w:rsid w:val="00A065F9"/>
    <w:rsid w:val="00A07F34"/>
    <w:rsid w:val="00A16306"/>
    <w:rsid w:val="00A22154"/>
    <w:rsid w:val="00A24CA6"/>
    <w:rsid w:val="00A25C38"/>
    <w:rsid w:val="00A27CA2"/>
    <w:rsid w:val="00A311A5"/>
    <w:rsid w:val="00A31896"/>
    <w:rsid w:val="00A31C69"/>
    <w:rsid w:val="00A3328C"/>
    <w:rsid w:val="00A3618A"/>
    <w:rsid w:val="00A36B07"/>
    <w:rsid w:val="00A36BBE"/>
    <w:rsid w:val="00A40DA4"/>
    <w:rsid w:val="00A4307A"/>
    <w:rsid w:val="00A45884"/>
    <w:rsid w:val="00A47EBB"/>
    <w:rsid w:val="00A515A3"/>
    <w:rsid w:val="00A51890"/>
    <w:rsid w:val="00A51CDD"/>
    <w:rsid w:val="00A54FD3"/>
    <w:rsid w:val="00A618F3"/>
    <w:rsid w:val="00A6457A"/>
    <w:rsid w:val="00A66513"/>
    <w:rsid w:val="00A6730D"/>
    <w:rsid w:val="00A7086D"/>
    <w:rsid w:val="00A70B14"/>
    <w:rsid w:val="00A71625"/>
    <w:rsid w:val="00A71B9B"/>
    <w:rsid w:val="00A7443B"/>
    <w:rsid w:val="00A751C7"/>
    <w:rsid w:val="00A769E6"/>
    <w:rsid w:val="00A77E57"/>
    <w:rsid w:val="00A8178C"/>
    <w:rsid w:val="00A81974"/>
    <w:rsid w:val="00A836A4"/>
    <w:rsid w:val="00A84816"/>
    <w:rsid w:val="00A86922"/>
    <w:rsid w:val="00A873DE"/>
    <w:rsid w:val="00A87798"/>
    <w:rsid w:val="00A87844"/>
    <w:rsid w:val="00A87ED0"/>
    <w:rsid w:val="00AA012A"/>
    <w:rsid w:val="00AA038C"/>
    <w:rsid w:val="00AA3705"/>
    <w:rsid w:val="00AA7A09"/>
    <w:rsid w:val="00AB1805"/>
    <w:rsid w:val="00AB3235"/>
    <w:rsid w:val="00AB3B50"/>
    <w:rsid w:val="00AB5E69"/>
    <w:rsid w:val="00AB78F9"/>
    <w:rsid w:val="00AC05B1"/>
    <w:rsid w:val="00AC08AB"/>
    <w:rsid w:val="00AC26EC"/>
    <w:rsid w:val="00AC2820"/>
    <w:rsid w:val="00AC5220"/>
    <w:rsid w:val="00AC63DF"/>
    <w:rsid w:val="00AC7CBF"/>
    <w:rsid w:val="00AD356C"/>
    <w:rsid w:val="00AD5177"/>
    <w:rsid w:val="00AD7634"/>
    <w:rsid w:val="00AD7D5B"/>
    <w:rsid w:val="00AE0EE4"/>
    <w:rsid w:val="00AE1F9B"/>
    <w:rsid w:val="00AE2914"/>
    <w:rsid w:val="00AE375D"/>
    <w:rsid w:val="00AE4FD7"/>
    <w:rsid w:val="00AE6D15"/>
    <w:rsid w:val="00AF28B2"/>
    <w:rsid w:val="00B00E13"/>
    <w:rsid w:val="00B017DA"/>
    <w:rsid w:val="00B02CB7"/>
    <w:rsid w:val="00B04182"/>
    <w:rsid w:val="00B05887"/>
    <w:rsid w:val="00B07AE3"/>
    <w:rsid w:val="00B07CCD"/>
    <w:rsid w:val="00B11430"/>
    <w:rsid w:val="00B11D69"/>
    <w:rsid w:val="00B23A84"/>
    <w:rsid w:val="00B242BD"/>
    <w:rsid w:val="00B26FAF"/>
    <w:rsid w:val="00B3383A"/>
    <w:rsid w:val="00B353EB"/>
    <w:rsid w:val="00B3550C"/>
    <w:rsid w:val="00B40B8C"/>
    <w:rsid w:val="00B435AA"/>
    <w:rsid w:val="00B439C4"/>
    <w:rsid w:val="00B4535E"/>
    <w:rsid w:val="00B52554"/>
    <w:rsid w:val="00B52A8C"/>
    <w:rsid w:val="00B57EF4"/>
    <w:rsid w:val="00B60B5F"/>
    <w:rsid w:val="00B61351"/>
    <w:rsid w:val="00B61764"/>
    <w:rsid w:val="00B620DA"/>
    <w:rsid w:val="00B636A8"/>
    <w:rsid w:val="00B665C6"/>
    <w:rsid w:val="00B71E88"/>
    <w:rsid w:val="00B7732A"/>
    <w:rsid w:val="00B805AF"/>
    <w:rsid w:val="00B869EC"/>
    <w:rsid w:val="00B86DC7"/>
    <w:rsid w:val="00B93704"/>
    <w:rsid w:val="00B9397A"/>
    <w:rsid w:val="00B9633D"/>
    <w:rsid w:val="00BA0447"/>
    <w:rsid w:val="00BA0B75"/>
    <w:rsid w:val="00BA2EBE"/>
    <w:rsid w:val="00BA6D23"/>
    <w:rsid w:val="00BB0E1E"/>
    <w:rsid w:val="00BB0F28"/>
    <w:rsid w:val="00BB2F33"/>
    <w:rsid w:val="00BB458A"/>
    <w:rsid w:val="00BC6A9F"/>
    <w:rsid w:val="00BD00D3"/>
    <w:rsid w:val="00BD1659"/>
    <w:rsid w:val="00BD3AA9"/>
    <w:rsid w:val="00BD3B94"/>
    <w:rsid w:val="00BD4A18"/>
    <w:rsid w:val="00BD5ABE"/>
    <w:rsid w:val="00BD69A8"/>
    <w:rsid w:val="00BD6DB2"/>
    <w:rsid w:val="00BE11CF"/>
    <w:rsid w:val="00BE1AF3"/>
    <w:rsid w:val="00BE21AB"/>
    <w:rsid w:val="00BE42CB"/>
    <w:rsid w:val="00BE55CB"/>
    <w:rsid w:val="00BF617A"/>
    <w:rsid w:val="00BF6714"/>
    <w:rsid w:val="00BF6FCE"/>
    <w:rsid w:val="00C0379D"/>
    <w:rsid w:val="00C038E9"/>
    <w:rsid w:val="00C03931"/>
    <w:rsid w:val="00C04233"/>
    <w:rsid w:val="00C04D89"/>
    <w:rsid w:val="00C05A76"/>
    <w:rsid w:val="00C05FE3"/>
    <w:rsid w:val="00C0714D"/>
    <w:rsid w:val="00C147B1"/>
    <w:rsid w:val="00C153C6"/>
    <w:rsid w:val="00C2136D"/>
    <w:rsid w:val="00C214EE"/>
    <w:rsid w:val="00C2314B"/>
    <w:rsid w:val="00C24971"/>
    <w:rsid w:val="00C2677C"/>
    <w:rsid w:val="00C26BE5"/>
    <w:rsid w:val="00C26E4D"/>
    <w:rsid w:val="00C27084"/>
    <w:rsid w:val="00C27357"/>
    <w:rsid w:val="00C27909"/>
    <w:rsid w:val="00C27B03"/>
    <w:rsid w:val="00C3076F"/>
    <w:rsid w:val="00C30D69"/>
    <w:rsid w:val="00C31471"/>
    <w:rsid w:val="00C314E1"/>
    <w:rsid w:val="00C3173E"/>
    <w:rsid w:val="00C34397"/>
    <w:rsid w:val="00C34927"/>
    <w:rsid w:val="00C34E41"/>
    <w:rsid w:val="00C35EF7"/>
    <w:rsid w:val="00C361CD"/>
    <w:rsid w:val="00C3788B"/>
    <w:rsid w:val="00C4095D"/>
    <w:rsid w:val="00C447C4"/>
    <w:rsid w:val="00C4529D"/>
    <w:rsid w:val="00C47D1A"/>
    <w:rsid w:val="00C538A0"/>
    <w:rsid w:val="00C601D2"/>
    <w:rsid w:val="00C64A98"/>
    <w:rsid w:val="00C65BCC"/>
    <w:rsid w:val="00C65FBC"/>
    <w:rsid w:val="00C66970"/>
    <w:rsid w:val="00C7069A"/>
    <w:rsid w:val="00C73093"/>
    <w:rsid w:val="00C732CC"/>
    <w:rsid w:val="00C74886"/>
    <w:rsid w:val="00C8340D"/>
    <w:rsid w:val="00C83950"/>
    <w:rsid w:val="00C85A67"/>
    <w:rsid w:val="00C8691C"/>
    <w:rsid w:val="00C8772C"/>
    <w:rsid w:val="00C97F28"/>
    <w:rsid w:val="00CA0C6E"/>
    <w:rsid w:val="00CA15B9"/>
    <w:rsid w:val="00CA168A"/>
    <w:rsid w:val="00CA3025"/>
    <w:rsid w:val="00CA357E"/>
    <w:rsid w:val="00CA44F9"/>
    <w:rsid w:val="00CA49C9"/>
    <w:rsid w:val="00CA4A69"/>
    <w:rsid w:val="00CB2D56"/>
    <w:rsid w:val="00CB6799"/>
    <w:rsid w:val="00CB6968"/>
    <w:rsid w:val="00CB6E9C"/>
    <w:rsid w:val="00CC3E0C"/>
    <w:rsid w:val="00CC4599"/>
    <w:rsid w:val="00CC56E2"/>
    <w:rsid w:val="00CC58D3"/>
    <w:rsid w:val="00CC6BC3"/>
    <w:rsid w:val="00CC784D"/>
    <w:rsid w:val="00CD0A66"/>
    <w:rsid w:val="00CD11F7"/>
    <w:rsid w:val="00CE095F"/>
    <w:rsid w:val="00CE2DDE"/>
    <w:rsid w:val="00CE50BB"/>
    <w:rsid w:val="00CE5BF1"/>
    <w:rsid w:val="00CE7211"/>
    <w:rsid w:val="00CF2C7A"/>
    <w:rsid w:val="00CF425A"/>
    <w:rsid w:val="00CF4B8D"/>
    <w:rsid w:val="00CF4FEB"/>
    <w:rsid w:val="00CF50A6"/>
    <w:rsid w:val="00CF5580"/>
    <w:rsid w:val="00D00C42"/>
    <w:rsid w:val="00D01A9E"/>
    <w:rsid w:val="00D02467"/>
    <w:rsid w:val="00D0337B"/>
    <w:rsid w:val="00D04DD5"/>
    <w:rsid w:val="00D079B2"/>
    <w:rsid w:val="00D114E9"/>
    <w:rsid w:val="00D116CD"/>
    <w:rsid w:val="00D17A82"/>
    <w:rsid w:val="00D258AB"/>
    <w:rsid w:val="00D30301"/>
    <w:rsid w:val="00D324D3"/>
    <w:rsid w:val="00D362A9"/>
    <w:rsid w:val="00D42231"/>
    <w:rsid w:val="00D42827"/>
    <w:rsid w:val="00D429C6"/>
    <w:rsid w:val="00D44E80"/>
    <w:rsid w:val="00D47748"/>
    <w:rsid w:val="00D54CC3"/>
    <w:rsid w:val="00D57710"/>
    <w:rsid w:val="00D603DE"/>
    <w:rsid w:val="00D6041A"/>
    <w:rsid w:val="00D62B03"/>
    <w:rsid w:val="00D633EB"/>
    <w:rsid w:val="00D650D8"/>
    <w:rsid w:val="00D66B2B"/>
    <w:rsid w:val="00D7517B"/>
    <w:rsid w:val="00D81822"/>
    <w:rsid w:val="00D82FF7"/>
    <w:rsid w:val="00D847FE"/>
    <w:rsid w:val="00D87922"/>
    <w:rsid w:val="00D9055F"/>
    <w:rsid w:val="00D9070D"/>
    <w:rsid w:val="00D9262C"/>
    <w:rsid w:val="00D9303B"/>
    <w:rsid w:val="00D964EA"/>
    <w:rsid w:val="00D966D0"/>
    <w:rsid w:val="00DA0C59"/>
    <w:rsid w:val="00DA13E0"/>
    <w:rsid w:val="00DA3991"/>
    <w:rsid w:val="00DA40E3"/>
    <w:rsid w:val="00DA799C"/>
    <w:rsid w:val="00DA79E0"/>
    <w:rsid w:val="00DB0990"/>
    <w:rsid w:val="00DB2C4C"/>
    <w:rsid w:val="00DB3ABA"/>
    <w:rsid w:val="00DB7A00"/>
    <w:rsid w:val="00DB7E6C"/>
    <w:rsid w:val="00DC0C1B"/>
    <w:rsid w:val="00DC296C"/>
    <w:rsid w:val="00DD17E6"/>
    <w:rsid w:val="00DD3D6E"/>
    <w:rsid w:val="00DD4A93"/>
    <w:rsid w:val="00DD4DEA"/>
    <w:rsid w:val="00DD5A29"/>
    <w:rsid w:val="00DD5D9D"/>
    <w:rsid w:val="00DD6CAC"/>
    <w:rsid w:val="00DD7BD3"/>
    <w:rsid w:val="00DE0C56"/>
    <w:rsid w:val="00DE35CB"/>
    <w:rsid w:val="00DF1440"/>
    <w:rsid w:val="00DF19EC"/>
    <w:rsid w:val="00DF21E9"/>
    <w:rsid w:val="00DF53EF"/>
    <w:rsid w:val="00E0018E"/>
    <w:rsid w:val="00E00F14"/>
    <w:rsid w:val="00E0104C"/>
    <w:rsid w:val="00E01E5D"/>
    <w:rsid w:val="00E01FFC"/>
    <w:rsid w:val="00E0302E"/>
    <w:rsid w:val="00E06386"/>
    <w:rsid w:val="00E117D0"/>
    <w:rsid w:val="00E15072"/>
    <w:rsid w:val="00E214BC"/>
    <w:rsid w:val="00E24B93"/>
    <w:rsid w:val="00E24EB4"/>
    <w:rsid w:val="00E26AB3"/>
    <w:rsid w:val="00E320ED"/>
    <w:rsid w:val="00E32C33"/>
    <w:rsid w:val="00E33AFB"/>
    <w:rsid w:val="00E34218"/>
    <w:rsid w:val="00E34361"/>
    <w:rsid w:val="00E36530"/>
    <w:rsid w:val="00E40A14"/>
    <w:rsid w:val="00E44E1F"/>
    <w:rsid w:val="00E46282"/>
    <w:rsid w:val="00E5216E"/>
    <w:rsid w:val="00E63E42"/>
    <w:rsid w:val="00E64F9D"/>
    <w:rsid w:val="00E67142"/>
    <w:rsid w:val="00E724F5"/>
    <w:rsid w:val="00E7378A"/>
    <w:rsid w:val="00E73E16"/>
    <w:rsid w:val="00E7509E"/>
    <w:rsid w:val="00E807F5"/>
    <w:rsid w:val="00E81D77"/>
    <w:rsid w:val="00E82344"/>
    <w:rsid w:val="00E84626"/>
    <w:rsid w:val="00E84C82"/>
    <w:rsid w:val="00E84D64"/>
    <w:rsid w:val="00E86E3C"/>
    <w:rsid w:val="00E87408"/>
    <w:rsid w:val="00E914C4"/>
    <w:rsid w:val="00E934F5"/>
    <w:rsid w:val="00E94024"/>
    <w:rsid w:val="00E95524"/>
    <w:rsid w:val="00E96961"/>
    <w:rsid w:val="00E978C6"/>
    <w:rsid w:val="00EA3C1C"/>
    <w:rsid w:val="00EA72EC"/>
    <w:rsid w:val="00EB11CB"/>
    <w:rsid w:val="00EB275A"/>
    <w:rsid w:val="00EB29A1"/>
    <w:rsid w:val="00EB468B"/>
    <w:rsid w:val="00EB6345"/>
    <w:rsid w:val="00EB786A"/>
    <w:rsid w:val="00EC0879"/>
    <w:rsid w:val="00EC1578"/>
    <w:rsid w:val="00EC1C72"/>
    <w:rsid w:val="00EC385A"/>
    <w:rsid w:val="00EC3CC9"/>
    <w:rsid w:val="00EC6047"/>
    <w:rsid w:val="00EC680A"/>
    <w:rsid w:val="00ED14EF"/>
    <w:rsid w:val="00ED35D0"/>
    <w:rsid w:val="00ED532B"/>
    <w:rsid w:val="00ED7999"/>
    <w:rsid w:val="00EE0BE1"/>
    <w:rsid w:val="00EE2BED"/>
    <w:rsid w:val="00EE374B"/>
    <w:rsid w:val="00EE430A"/>
    <w:rsid w:val="00EE62B1"/>
    <w:rsid w:val="00EE7AF7"/>
    <w:rsid w:val="00EF1500"/>
    <w:rsid w:val="00EF30D1"/>
    <w:rsid w:val="00EF508D"/>
    <w:rsid w:val="00EF76AB"/>
    <w:rsid w:val="00F024F6"/>
    <w:rsid w:val="00F04D4C"/>
    <w:rsid w:val="00F11BB5"/>
    <w:rsid w:val="00F12B73"/>
    <w:rsid w:val="00F1417B"/>
    <w:rsid w:val="00F14EE5"/>
    <w:rsid w:val="00F15129"/>
    <w:rsid w:val="00F2605B"/>
    <w:rsid w:val="00F30184"/>
    <w:rsid w:val="00F327DD"/>
    <w:rsid w:val="00F328CE"/>
    <w:rsid w:val="00F34311"/>
    <w:rsid w:val="00F34B99"/>
    <w:rsid w:val="00F363DC"/>
    <w:rsid w:val="00F40985"/>
    <w:rsid w:val="00F4103F"/>
    <w:rsid w:val="00F42F3E"/>
    <w:rsid w:val="00F44DB6"/>
    <w:rsid w:val="00F45921"/>
    <w:rsid w:val="00F474A7"/>
    <w:rsid w:val="00F47529"/>
    <w:rsid w:val="00F512B5"/>
    <w:rsid w:val="00F51DFB"/>
    <w:rsid w:val="00F52DAB"/>
    <w:rsid w:val="00F5325B"/>
    <w:rsid w:val="00F543F0"/>
    <w:rsid w:val="00F60887"/>
    <w:rsid w:val="00F61A57"/>
    <w:rsid w:val="00F63464"/>
    <w:rsid w:val="00F63DB1"/>
    <w:rsid w:val="00F6661A"/>
    <w:rsid w:val="00F66F8A"/>
    <w:rsid w:val="00F72932"/>
    <w:rsid w:val="00F74DC5"/>
    <w:rsid w:val="00F77003"/>
    <w:rsid w:val="00F77DB4"/>
    <w:rsid w:val="00F81675"/>
    <w:rsid w:val="00F8197E"/>
    <w:rsid w:val="00F81D29"/>
    <w:rsid w:val="00F84A0E"/>
    <w:rsid w:val="00F85769"/>
    <w:rsid w:val="00F8694B"/>
    <w:rsid w:val="00F86CA1"/>
    <w:rsid w:val="00F91C4D"/>
    <w:rsid w:val="00F91F6B"/>
    <w:rsid w:val="00F92FD9"/>
    <w:rsid w:val="00F95B00"/>
    <w:rsid w:val="00FA190C"/>
    <w:rsid w:val="00FA2BE5"/>
    <w:rsid w:val="00FA46F4"/>
    <w:rsid w:val="00FA489D"/>
    <w:rsid w:val="00FA5F83"/>
    <w:rsid w:val="00FA6684"/>
    <w:rsid w:val="00FA731E"/>
    <w:rsid w:val="00FB0F2B"/>
    <w:rsid w:val="00FB2B38"/>
    <w:rsid w:val="00FC6358"/>
    <w:rsid w:val="00FD01CF"/>
    <w:rsid w:val="00FD229E"/>
    <w:rsid w:val="00FD320D"/>
    <w:rsid w:val="00FE1C50"/>
    <w:rsid w:val="00FE23DE"/>
    <w:rsid w:val="00FE4D17"/>
    <w:rsid w:val="00FE57AB"/>
    <w:rsid w:val="00FE7D7F"/>
    <w:rsid w:val="00FF04A9"/>
    <w:rsid w:val="138B447A"/>
    <w:rsid w:val="2EA8435B"/>
    <w:rsid w:val="33251C93"/>
    <w:rsid w:val="3FF7F350"/>
    <w:rsid w:val="4590011C"/>
    <w:rsid w:val="52331739"/>
    <w:rsid w:val="5DB8294B"/>
    <w:rsid w:val="61542A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uiPriority="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40"/>
    <w:unhideWhenUsed/>
    <w:qFormat/>
    <w:uiPriority w:val="9"/>
    <w:pPr>
      <w:keepNext/>
      <w:keepLines/>
      <w:spacing w:before="260" w:after="260" w:line="416" w:lineRule="auto"/>
      <w:outlineLvl w:val="1"/>
    </w:pPr>
    <w:rPr>
      <w:rFonts w:ascii="Cambria" w:hAnsi="Cambria"/>
      <w:b/>
      <w:bCs/>
      <w:sz w:val="32"/>
      <w:szCs w:val="32"/>
      <w:lang w:val="zh-CN"/>
    </w:rPr>
  </w:style>
  <w:style w:type="paragraph" w:styleId="4">
    <w:name w:val="heading 3"/>
    <w:basedOn w:val="1"/>
    <w:next w:val="1"/>
    <w:link w:val="141"/>
    <w:unhideWhenUsed/>
    <w:qFormat/>
    <w:uiPriority w:val="9"/>
    <w:pPr>
      <w:keepNext/>
      <w:keepLines/>
      <w:spacing w:before="260" w:after="260" w:line="416" w:lineRule="auto"/>
      <w:outlineLvl w:val="2"/>
    </w:pPr>
    <w:rPr>
      <w:rFonts w:ascii="Calibri" w:hAnsi="Calibri"/>
      <w:b/>
      <w:bCs/>
      <w:sz w:val="32"/>
      <w:szCs w:val="32"/>
      <w:lang w:val="zh-CN"/>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Salutation"/>
    <w:basedOn w:val="1"/>
    <w:next w:val="1"/>
    <w:link w:val="152"/>
    <w:qFormat/>
    <w:uiPriority w:val="0"/>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0"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2"/>
    <w:qFormat/>
    <w:uiPriority w:val="0"/>
    <w:rPr>
      <w:sz w:val="18"/>
      <w:szCs w:val="18"/>
    </w:rPr>
  </w:style>
  <w:style w:type="paragraph" w:styleId="19">
    <w:name w:val="footer"/>
    <w:basedOn w:val="1"/>
    <w:link w:val="154"/>
    <w:qFormat/>
    <w:uiPriority w:val="99"/>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2"/>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200"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0"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2"/>
      </w:tabs>
      <w:ind w:left="100" w:leftChars="100"/>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3">
    <w:name w:val="index 2"/>
    <w:basedOn w:val="1"/>
    <w:next w:val="1"/>
    <w:qFormat/>
    <w:uiPriority w:val="0"/>
    <w:pPr>
      <w:ind w:left="420" w:hanging="210"/>
      <w:jc w:val="left"/>
    </w:pPr>
    <w:rPr>
      <w:rFonts w:ascii="Calibri" w:hAnsi="Calibri"/>
      <w:sz w:val="20"/>
      <w:szCs w:val="20"/>
    </w:rPr>
  </w:style>
  <w:style w:type="table" w:styleId="35">
    <w:name w:val="Table Grid"/>
    <w:basedOn w:val="34"/>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Strong"/>
    <w:qFormat/>
    <w:uiPriority w:val="22"/>
    <w:rPr>
      <w:b/>
      <w:bCs/>
    </w:rPr>
  </w:style>
  <w:style w:type="character" w:styleId="38">
    <w:name w:val="endnote reference"/>
    <w:semiHidden/>
    <w:qFormat/>
    <w:uiPriority w:val="0"/>
    <w:rPr>
      <w:vertAlign w:val="superscript"/>
    </w:rPr>
  </w:style>
  <w:style w:type="character" w:styleId="39">
    <w:name w:val="page number"/>
    <w:qFormat/>
    <w:uiPriority w:val="0"/>
    <w:rPr>
      <w:rFonts w:ascii="Times New Roman" w:hAnsi="Times New Roman" w:eastAsia="宋体"/>
      <w:sz w:val="18"/>
    </w:rPr>
  </w:style>
  <w:style w:type="character" w:styleId="40">
    <w:name w:val="Hyperlink"/>
    <w:qFormat/>
    <w:uiPriority w:val="99"/>
    <w:rPr>
      <w:color w:val="0000FF"/>
      <w:spacing w:val="0"/>
      <w:w w:val="100"/>
      <w:szCs w:val="21"/>
      <w:u w:val="single"/>
    </w:rPr>
  </w:style>
  <w:style w:type="character" w:styleId="41">
    <w:name w:val="footnote reference"/>
    <w:semiHidden/>
    <w:qFormat/>
    <w:uiPriority w:val="0"/>
    <w:rPr>
      <w:vertAlign w:val="superscript"/>
    </w:rPr>
  </w:style>
  <w:style w:type="character" w:customStyle="1" w:styleId="42">
    <w:name w:val="段 Char"/>
    <w:link w:val="25"/>
    <w:qFormat/>
    <w:uiPriority w:val="0"/>
    <w:rPr>
      <w:rFonts w:ascii="宋体"/>
      <w:sz w:val="21"/>
      <w:lang w:val="en-US" w:eastAsia="zh-CN" w:bidi="ar-SA"/>
    </w:rPr>
  </w:style>
  <w:style w:type="paragraph" w:customStyle="1" w:styleId="43">
    <w:name w:val="一级条标题"/>
    <w:next w:val="25"/>
    <w:qFormat/>
    <w:uiPriority w:val="0"/>
    <w:pPr>
      <w:numPr>
        <w:ilvl w:val="1"/>
        <w:numId w:val="2"/>
      </w:num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4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章标题"/>
    <w:next w:val="25"/>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47">
    <w:name w:val="二级条标题"/>
    <w:basedOn w:val="43"/>
    <w:next w:val="25"/>
    <w:qFormat/>
    <w:uiPriority w:val="0"/>
    <w:pPr>
      <w:numPr>
        <w:ilvl w:val="2"/>
      </w:numPr>
      <w:outlineLvl w:val="3"/>
    </w:pPr>
  </w:style>
  <w:style w:type="paragraph" w:customStyle="1" w:styleId="4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0">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1">
    <w:name w:val="目次、标准名称标题"/>
    <w:basedOn w:val="1"/>
    <w:next w:val="25"/>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2">
    <w:name w:val="三级条标题"/>
    <w:basedOn w:val="47"/>
    <w:next w:val="25"/>
    <w:qFormat/>
    <w:uiPriority w:val="0"/>
    <w:pPr>
      <w:numPr>
        <w:ilvl w:val="3"/>
      </w:numPr>
      <w:spacing w:before="156" w:after="156"/>
      <w:outlineLvl w:val="4"/>
    </w:pPr>
    <w:rPr>
      <w:rFonts w:asciiTheme="minorEastAsia" w:hAnsiTheme="minorEastAsia"/>
    </w:rPr>
  </w:style>
  <w:style w:type="paragraph" w:customStyle="1" w:styleId="53">
    <w:name w:val="示例"/>
    <w:next w:val="54"/>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4">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6">
    <w:name w:val="四级条标题"/>
    <w:basedOn w:val="52"/>
    <w:next w:val="25"/>
    <w:qFormat/>
    <w:uiPriority w:val="0"/>
    <w:pPr>
      <w:numPr>
        <w:ilvl w:val="4"/>
      </w:numPr>
      <w:outlineLvl w:val="5"/>
    </w:pPr>
  </w:style>
  <w:style w:type="paragraph" w:customStyle="1" w:styleId="57">
    <w:name w:val="五级条标题"/>
    <w:basedOn w:val="56"/>
    <w:next w:val="25"/>
    <w:qFormat/>
    <w:uiPriority w:val="0"/>
    <w:pPr>
      <w:numPr>
        <w:ilvl w:val="5"/>
      </w:numPr>
      <w:spacing w:before="50" w:after="50"/>
      <w:outlineLvl w:val="6"/>
    </w:pPr>
  </w:style>
  <w:style w:type="paragraph" w:customStyle="1" w:styleId="58">
    <w:name w:val="注："/>
    <w:next w:val="25"/>
    <w:qFormat/>
    <w:uiPriority w:val="0"/>
    <w:pPr>
      <w:widowControl w:val="0"/>
      <w:numPr>
        <w:ilvl w:val="0"/>
        <w:numId w:val="6"/>
      </w:numPr>
      <w:autoSpaceDE w:val="0"/>
      <w:autoSpaceDN w:val="0"/>
      <w:jc w:val="both"/>
    </w:pPr>
    <w:rPr>
      <w:rFonts w:ascii="宋体" w:hAnsi="Times New Roman" w:eastAsia="宋体" w:cs="Times New Roman"/>
      <w:sz w:val="18"/>
      <w:szCs w:val="18"/>
      <w:lang w:val="en-US" w:eastAsia="zh-CN" w:bidi="ar-SA"/>
    </w:rPr>
  </w:style>
  <w:style w:type="paragraph" w:customStyle="1" w:styleId="59">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60">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1">
    <w:name w:val="列项◆（三级）"/>
    <w:basedOn w:val="1"/>
    <w:qFormat/>
    <w:uiPriority w:val="0"/>
    <w:pPr>
      <w:numPr>
        <w:ilvl w:val="2"/>
        <w:numId w:val="3"/>
      </w:numPr>
    </w:pPr>
    <w:rPr>
      <w:rFonts w:ascii="宋体"/>
      <w:szCs w:val="21"/>
    </w:rPr>
  </w:style>
  <w:style w:type="paragraph" w:customStyle="1" w:styleId="62">
    <w:name w:val="编号列项（三级）"/>
    <w:qFormat/>
    <w:uiPriority w:val="0"/>
    <w:rPr>
      <w:rFonts w:ascii="宋体" w:hAnsi="Times New Roman" w:eastAsia="宋体" w:cs="Times New Roman"/>
      <w:sz w:val="21"/>
      <w:lang w:val="en-US" w:eastAsia="zh-CN" w:bidi="ar-SA"/>
    </w:rPr>
  </w:style>
  <w:style w:type="paragraph" w:customStyle="1" w:styleId="63">
    <w:name w:val="示例×："/>
    <w:basedOn w:val="46"/>
    <w:qFormat/>
    <w:uiPriority w:val="0"/>
    <w:pPr>
      <w:numPr>
        <w:ilvl w:val="0"/>
        <w:numId w:val="8"/>
      </w:numPr>
      <w:spacing w:beforeLines="0" w:afterLines="0"/>
      <w:outlineLvl w:val="9"/>
    </w:pPr>
    <w:rPr>
      <w:rFonts w:ascii="宋体" w:eastAsia="宋体"/>
      <w:sz w:val="18"/>
      <w:szCs w:val="18"/>
    </w:rPr>
  </w:style>
  <w:style w:type="paragraph" w:customStyle="1" w:styleId="64">
    <w:name w:val="五级无标题条"/>
    <w:basedOn w:val="57"/>
    <w:qFormat/>
    <w:uiPriority w:val="0"/>
    <w:pPr>
      <w:spacing w:before="0" w:beforeLines="0" w:after="0" w:afterLines="0"/>
    </w:pPr>
    <w:rPr>
      <w:rFonts w:eastAsiaTheme="minorEastAsia"/>
    </w:rPr>
  </w:style>
  <w:style w:type="paragraph" w:customStyle="1" w:styleId="65">
    <w:name w:val="注：（正文）"/>
    <w:basedOn w:val="58"/>
    <w:next w:val="25"/>
    <w:qFormat/>
    <w:uiPriority w:val="0"/>
    <w:pPr>
      <w:numPr>
        <w:ilvl w:val="0"/>
        <w:numId w:val="9"/>
      </w:numPr>
    </w:pPr>
  </w:style>
  <w:style w:type="paragraph" w:customStyle="1" w:styleId="66">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6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9">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0">
    <w:name w:val="标准书眉_偶数页"/>
    <w:basedOn w:val="45"/>
    <w:next w:val="1"/>
    <w:qFormat/>
    <w:uiPriority w:val="0"/>
    <w:pPr>
      <w:jc w:val="left"/>
    </w:pPr>
  </w:style>
  <w:style w:type="paragraph" w:customStyle="1" w:styleId="71">
    <w:name w:val="标准书眉一"/>
    <w:qFormat/>
    <w:uiPriority w:val="0"/>
    <w:pPr>
      <w:jc w:val="both"/>
    </w:pPr>
    <w:rPr>
      <w:rFonts w:ascii="Times New Roman" w:hAnsi="Times New Roman" w:eastAsia="宋体" w:cs="Times New Roman"/>
      <w:lang w:val="en-US" w:eastAsia="zh-CN" w:bidi="ar-SA"/>
    </w:rPr>
  </w:style>
  <w:style w:type="paragraph" w:customStyle="1" w:styleId="72">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3">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4">
    <w:name w:val="发布"/>
    <w:qFormat/>
    <w:uiPriority w:val="0"/>
    <w:rPr>
      <w:rFonts w:ascii="黑体" w:eastAsia="黑体"/>
      <w:spacing w:val="85"/>
      <w:w w:val="100"/>
      <w:position w:val="3"/>
      <w:sz w:val="28"/>
      <w:szCs w:val="28"/>
    </w:rPr>
  </w:style>
  <w:style w:type="paragraph" w:customStyle="1" w:styleId="75">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6">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7">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8">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9">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0">
    <w:name w:val="封面标准英文名称"/>
    <w:basedOn w:val="79"/>
    <w:qFormat/>
    <w:uiPriority w:val="0"/>
    <w:pPr>
      <w:framePr/>
      <w:spacing w:before="370" w:line="400" w:lineRule="exact"/>
    </w:pPr>
    <w:rPr>
      <w:rFonts w:ascii="Times New Roman"/>
      <w:sz w:val="28"/>
      <w:szCs w:val="28"/>
    </w:rPr>
  </w:style>
  <w:style w:type="paragraph" w:customStyle="1" w:styleId="81">
    <w:name w:val="封面一致性程度标识"/>
    <w:basedOn w:val="80"/>
    <w:qFormat/>
    <w:uiPriority w:val="0"/>
    <w:pPr>
      <w:framePr/>
      <w:spacing w:before="440"/>
    </w:pPr>
    <w:rPr>
      <w:rFonts w:ascii="宋体" w:eastAsia="宋体"/>
    </w:rPr>
  </w:style>
  <w:style w:type="paragraph" w:customStyle="1" w:styleId="82">
    <w:name w:val="封面标准文稿类别"/>
    <w:basedOn w:val="81"/>
    <w:qFormat/>
    <w:uiPriority w:val="0"/>
    <w:pPr>
      <w:framePr/>
      <w:spacing w:after="160" w:line="240" w:lineRule="auto"/>
    </w:pPr>
    <w:rPr>
      <w:sz w:val="24"/>
    </w:rPr>
  </w:style>
  <w:style w:type="paragraph" w:customStyle="1" w:styleId="83">
    <w:name w:val="封面标准文稿编辑信息"/>
    <w:basedOn w:val="82"/>
    <w:qFormat/>
    <w:uiPriority w:val="0"/>
    <w:pPr>
      <w:framePr/>
      <w:spacing w:before="180" w:line="180" w:lineRule="exact"/>
    </w:pPr>
    <w:rPr>
      <w:sz w:val="21"/>
    </w:rPr>
  </w:style>
  <w:style w:type="paragraph" w:customStyle="1" w:styleId="84">
    <w:name w:val="封面正文"/>
    <w:qFormat/>
    <w:uiPriority w:val="0"/>
    <w:pPr>
      <w:jc w:val="both"/>
    </w:pPr>
    <w:rPr>
      <w:rFonts w:ascii="Times New Roman" w:hAnsi="Times New Roman" w:eastAsia="宋体" w:cs="Times New Roman"/>
      <w:lang w:val="en-US" w:eastAsia="zh-CN" w:bidi="ar-SA"/>
    </w:rPr>
  </w:style>
  <w:style w:type="paragraph" w:customStyle="1" w:styleId="85">
    <w:name w:val="附录标识"/>
    <w:basedOn w:val="1"/>
    <w:next w:val="25"/>
    <w:qFormat/>
    <w:uiPriority w:val="0"/>
    <w:pPr>
      <w:keepNext/>
      <w:widowControl/>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6">
    <w:name w:val="附录标题"/>
    <w:basedOn w:val="25"/>
    <w:next w:val="25"/>
    <w:qFormat/>
    <w:uiPriority w:val="0"/>
    <w:pPr>
      <w:ind w:firstLine="0" w:firstLineChars="0"/>
      <w:jc w:val="center"/>
    </w:pPr>
    <w:rPr>
      <w:rFonts w:ascii="黑体" w:eastAsia="黑体"/>
    </w:rPr>
  </w:style>
  <w:style w:type="paragraph" w:customStyle="1" w:styleId="87">
    <w:name w:val="附录表标号"/>
    <w:basedOn w:val="1"/>
    <w:next w:val="25"/>
    <w:qFormat/>
    <w:uiPriority w:val="0"/>
    <w:pPr>
      <w:numPr>
        <w:ilvl w:val="0"/>
        <w:numId w:val="11"/>
      </w:numPr>
      <w:spacing w:line="14" w:lineRule="exact"/>
      <w:ind w:left="811" w:hanging="448"/>
      <w:jc w:val="center"/>
      <w:outlineLvl w:val="0"/>
    </w:pPr>
    <w:rPr>
      <w:color w:val="FFFFFF"/>
    </w:rPr>
  </w:style>
  <w:style w:type="paragraph" w:customStyle="1" w:styleId="88">
    <w:name w:val="附录表标题"/>
    <w:basedOn w:val="1"/>
    <w:next w:val="25"/>
    <w:qFormat/>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9">
    <w:name w:val="附录二级条标题"/>
    <w:basedOn w:val="1"/>
    <w:next w:val="25"/>
    <w:qFormat/>
    <w:uiPriority w:val="0"/>
    <w:pPr>
      <w:widowControl/>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0">
    <w:name w:val="附录二级无"/>
    <w:basedOn w:val="89"/>
    <w:qFormat/>
    <w:uiPriority w:val="0"/>
    <w:pPr>
      <w:tabs>
        <w:tab w:val="clear" w:pos="360"/>
      </w:tabs>
      <w:spacing w:beforeLines="0" w:afterLines="0"/>
    </w:pPr>
    <w:rPr>
      <w:rFonts w:ascii="宋体" w:eastAsia="宋体"/>
      <w:szCs w:val="21"/>
    </w:rPr>
  </w:style>
  <w:style w:type="paragraph" w:customStyle="1" w:styleId="91">
    <w:name w:val="附录公式"/>
    <w:basedOn w:val="25"/>
    <w:next w:val="25"/>
    <w:link w:val="92"/>
    <w:qFormat/>
    <w:uiPriority w:val="0"/>
  </w:style>
  <w:style w:type="character" w:customStyle="1" w:styleId="92">
    <w:name w:val="附录公式 Char"/>
    <w:basedOn w:val="42"/>
    <w:link w:val="91"/>
    <w:qFormat/>
    <w:uiPriority w:val="0"/>
    <w:rPr>
      <w:rFonts w:ascii="宋体"/>
      <w:sz w:val="21"/>
      <w:lang w:val="en-US" w:eastAsia="zh-CN" w:bidi="ar-SA"/>
    </w:rPr>
  </w:style>
  <w:style w:type="paragraph" w:customStyle="1" w:styleId="93">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4">
    <w:name w:val="附录三级条标题"/>
    <w:basedOn w:val="89"/>
    <w:next w:val="25"/>
    <w:qFormat/>
    <w:uiPriority w:val="0"/>
    <w:pPr>
      <w:outlineLvl w:val="4"/>
    </w:pPr>
  </w:style>
  <w:style w:type="paragraph" w:customStyle="1" w:styleId="95">
    <w:name w:val="附录三级无"/>
    <w:basedOn w:val="94"/>
    <w:qFormat/>
    <w:uiPriority w:val="0"/>
    <w:pPr>
      <w:tabs>
        <w:tab w:val="clear" w:pos="360"/>
      </w:tabs>
      <w:spacing w:beforeLines="0" w:afterLines="0"/>
    </w:pPr>
    <w:rPr>
      <w:rFonts w:ascii="宋体" w:eastAsia="宋体"/>
      <w:szCs w:val="21"/>
    </w:rPr>
  </w:style>
  <w:style w:type="paragraph" w:customStyle="1" w:styleId="96">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7">
    <w:name w:val="附录四级条标题"/>
    <w:basedOn w:val="94"/>
    <w:next w:val="25"/>
    <w:qFormat/>
    <w:uiPriority w:val="0"/>
    <w:pPr>
      <w:outlineLvl w:val="5"/>
    </w:pPr>
  </w:style>
  <w:style w:type="paragraph" w:customStyle="1" w:styleId="98">
    <w:name w:val="附录四级无"/>
    <w:basedOn w:val="97"/>
    <w:qFormat/>
    <w:uiPriority w:val="0"/>
    <w:pPr>
      <w:tabs>
        <w:tab w:val="clear" w:pos="360"/>
      </w:tabs>
      <w:spacing w:beforeLines="0" w:afterLines="0"/>
    </w:pPr>
    <w:rPr>
      <w:rFonts w:ascii="宋体" w:eastAsia="宋体"/>
      <w:szCs w:val="21"/>
    </w:rPr>
  </w:style>
  <w:style w:type="paragraph" w:customStyle="1" w:styleId="99">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100">
    <w:name w:val="附录图标题"/>
    <w:basedOn w:val="1"/>
    <w:next w:val="25"/>
    <w:qFormat/>
    <w:uiPriority w:val="0"/>
    <w:pPr>
      <w:numPr>
        <w:ilvl w:val="1"/>
        <w:numId w:val="13"/>
      </w:numPr>
      <w:tabs>
        <w:tab w:val="left" w:pos="363"/>
      </w:tabs>
      <w:spacing w:beforeLines="50" w:afterLines="50"/>
      <w:jc w:val="center"/>
    </w:pPr>
    <w:rPr>
      <w:rFonts w:ascii="黑体" w:eastAsia="黑体"/>
      <w:szCs w:val="21"/>
    </w:rPr>
  </w:style>
  <w:style w:type="paragraph" w:customStyle="1" w:styleId="101">
    <w:name w:val="附录五级条标题"/>
    <w:basedOn w:val="97"/>
    <w:next w:val="25"/>
    <w:qFormat/>
    <w:uiPriority w:val="0"/>
    <w:pPr>
      <w:outlineLvl w:val="6"/>
    </w:pPr>
  </w:style>
  <w:style w:type="paragraph" w:customStyle="1" w:styleId="102">
    <w:name w:val="附录五级无"/>
    <w:basedOn w:val="101"/>
    <w:qFormat/>
    <w:uiPriority w:val="0"/>
    <w:pPr>
      <w:tabs>
        <w:tab w:val="clear" w:pos="360"/>
      </w:tabs>
      <w:spacing w:beforeLines="0" w:afterLines="0"/>
    </w:pPr>
    <w:rPr>
      <w:rFonts w:ascii="宋体" w:eastAsia="宋体"/>
      <w:szCs w:val="21"/>
    </w:rPr>
  </w:style>
  <w:style w:type="paragraph" w:customStyle="1" w:styleId="103">
    <w:name w:val="附录章标题"/>
    <w:next w:val="25"/>
    <w:qFormat/>
    <w:uiPriority w:val="0"/>
    <w:p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4">
    <w:name w:val="附录一级条标题"/>
    <w:basedOn w:val="103"/>
    <w:next w:val="25"/>
    <w:qFormat/>
    <w:uiPriority w:val="0"/>
    <w:pPr>
      <w:autoSpaceDN w:val="0"/>
      <w:spacing w:beforeLines="50" w:afterLines="50"/>
      <w:outlineLvl w:val="2"/>
    </w:pPr>
  </w:style>
  <w:style w:type="paragraph" w:customStyle="1" w:styleId="105">
    <w:name w:val="附录一级无"/>
    <w:basedOn w:val="104"/>
    <w:qFormat/>
    <w:uiPriority w:val="0"/>
    <w:pPr>
      <w:tabs>
        <w:tab w:val="clear" w:pos="360"/>
      </w:tabs>
      <w:spacing w:beforeLines="0" w:afterLines="0"/>
    </w:pPr>
    <w:rPr>
      <w:rFonts w:ascii="宋体" w:eastAsia="宋体"/>
      <w:szCs w:val="21"/>
    </w:rPr>
  </w:style>
  <w:style w:type="paragraph" w:customStyle="1" w:styleId="106">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7">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8">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0">
    <w:name w:val="其他标准标志"/>
    <w:basedOn w:val="67"/>
    <w:qFormat/>
    <w:uiPriority w:val="0"/>
    <w:pPr>
      <w:framePr w:w="6101" w:vAnchor="page" w:hAnchor="page" w:x="4673" w:y="942"/>
    </w:pPr>
    <w:rPr>
      <w:w w:val="130"/>
    </w:rPr>
  </w:style>
  <w:style w:type="paragraph" w:customStyle="1" w:styleId="111">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2">
    <w:name w:val="其他发布部门"/>
    <w:basedOn w:val="75"/>
    <w:qFormat/>
    <w:uiPriority w:val="0"/>
    <w:pPr>
      <w:framePr w:y="15310"/>
      <w:spacing w:line="0" w:lineRule="atLeast"/>
    </w:pPr>
    <w:rPr>
      <w:rFonts w:ascii="黑体" w:eastAsia="黑体"/>
      <w:b w:val="0"/>
    </w:rPr>
  </w:style>
  <w:style w:type="paragraph" w:customStyle="1" w:styleId="113">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4">
    <w:name w:val="三级无标题条"/>
    <w:basedOn w:val="52"/>
    <w:qFormat/>
    <w:uiPriority w:val="0"/>
    <w:pPr>
      <w:spacing w:before="0" w:beforeLines="0" w:after="0" w:afterLines="0"/>
    </w:pPr>
    <w:rPr>
      <w:rFonts w:eastAsiaTheme="minorEastAsia"/>
    </w:rPr>
  </w:style>
  <w:style w:type="paragraph" w:customStyle="1" w:styleId="115">
    <w:name w:val="实施日期"/>
    <w:basedOn w:val="76"/>
    <w:qFormat/>
    <w:uiPriority w:val="0"/>
    <w:pPr>
      <w:framePr w:vAnchor="page" w:hAnchor="text"/>
      <w:jc w:val="right"/>
    </w:pPr>
  </w:style>
  <w:style w:type="paragraph" w:customStyle="1" w:styleId="116">
    <w:name w:val="示例后文字"/>
    <w:basedOn w:val="25"/>
    <w:next w:val="25"/>
    <w:qFormat/>
    <w:uiPriority w:val="0"/>
    <w:pPr>
      <w:ind w:firstLine="360"/>
    </w:pPr>
    <w:rPr>
      <w:sz w:val="18"/>
    </w:rPr>
  </w:style>
  <w:style w:type="paragraph" w:customStyle="1" w:styleId="117">
    <w:name w:val="首示例"/>
    <w:next w:val="25"/>
    <w:link w:val="118"/>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8">
    <w:name w:val="首示例 Char"/>
    <w:link w:val="117"/>
    <w:qFormat/>
    <w:uiPriority w:val="0"/>
    <w:rPr>
      <w:rFonts w:ascii="宋体" w:hAnsi="宋体"/>
      <w:kern w:val="2"/>
      <w:sz w:val="18"/>
      <w:szCs w:val="18"/>
    </w:rPr>
  </w:style>
  <w:style w:type="paragraph" w:customStyle="1" w:styleId="119">
    <w:name w:val="四级无"/>
    <w:basedOn w:val="56"/>
    <w:qFormat/>
    <w:uiPriority w:val="0"/>
    <w:pPr>
      <w:numPr>
        <w:numId w:val="15"/>
      </w:numPr>
      <w:spacing w:beforeLines="0" w:afterLines="0"/>
    </w:pPr>
    <w:rPr>
      <w:rFonts w:ascii="宋体" w:eastAsia="宋体"/>
    </w:rPr>
  </w:style>
  <w:style w:type="paragraph" w:customStyle="1" w:styleId="120">
    <w:name w:val="条文脚注"/>
    <w:basedOn w:val="26"/>
    <w:qFormat/>
    <w:uiPriority w:val="0"/>
    <w:pPr>
      <w:numPr>
        <w:numId w:val="0"/>
      </w:numPr>
      <w:jc w:val="both"/>
    </w:pPr>
  </w:style>
  <w:style w:type="paragraph" w:customStyle="1" w:styleId="121">
    <w:name w:val="图标脚注说明"/>
    <w:basedOn w:val="25"/>
    <w:qFormat/>
    <w:uiPriority w:val="0"/>
    <w:pPr>
      <w:ind w:left="840" w:hanging="420" w:firstLineChars="0"/>
    </w:pPr>
    <w:rPr>
      <w:sz w:val="18"/>
      <w:szCs w:val="18"/>
    </w:rPr>
  </w:style>
  <w:style w:type="paragraph" w:customStyle="1" w:styleId="122">
    <w:name w:val="图表脚注说明"/>
    <w:basedOn w:val="1"/>
    <w:qFormat/>
    <w:uiPriority w:val="0"/>
    <w:pPr>
      <w:numPr>
        <w:ilvl w:val="0"/>
        <w:numId w:val="16"/>
      </w:numPr>
    </w:pPr>
    <w:rPr>
      <w:rFonts w:ascii="宋体"/>
      <w:sz w:val="18"/>
      <w:szCs w:val="18"/>
    </w:rPr>
  </w:style>
  <w:style w:type="paragraph" w:customStyle="1" w:styleId="123">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5">
    <w:name w:val="五级无"/>
    <w:basedOn w:val="57"/>
    <w:qFormat/>
    <w:uiPriority w:val="0"/>
    <w:pPr>
      <w:numPr>
        <w:numId w:val="15"/>
      </w:numPr>
      <w:spacing w:beforeLines="0" w:afterLines="0"/>
    </w:pPr>
    <w:rPr>
      <w:rFonts w:ascii="宋体" w:eastAsia="宋体"/>
    </w:rPr>
  </w:style>
  <w:style w:type="paragraph" w:customStyle="1" w:styleId="126">
    <w:name w:val="四级无标题条"/>
    <w:basedOn w:val="56"/>
    <w:qFormat/>
    <w:uiPriority w:val="0"/>
    <w:pPr>
      <w:spacing w:before="0" w:beforeLines="0" w:after="0" w:afterLines="0"/>
    </w:pPr>
    <w:rPr>
      <w:rFonts w:eastAsiaTheme="minorEastAsia"/>
    </w:rPr>
  </w:style>
  <w:style w:type="character" w:customStyle="1" w:styleId="127">
    <w:name w:val="已访问的超链接1"/>
    <w:qFormat/>
    <w:uiPriority w:val="0"/>
    <w:rPr>
      <w:color w:val="800080"/>
      <w:u w:val="single"/>
    </w:rPr>
  </w:style>
  <w:style w:type="paragraph" w:customStyle="1" w:styleId="128">
    <w:name w:val="正文表标题"/>
    <w:next w:val="25"/>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basedOn w:val="76"/>
    <w:qFormat/>
    <w:uiPriority w:val="0"/>
    <w:pPr>
      <w:framePr w:vAnchor="page" w:hAnchor="text" w:x="1419"/>
    </w:pPr>
  </w:style>
  <w:style w:type="paragraph" w:customStyle="1" w:styleId="133">
    <w:name w:val="其他实施日期"/>
    <w:basedOn w:val="115"/>
    <w:qFormat/>
    <w:uiPriority w:val="0"/>
    <w:pPr>
      <w:framePr/>
    </w:pPr>
  </w:style>
  <w:style w:type="paragraph" w:customStyle="1" w:styleId="134">
    <w:name w:val="封面标准名称2"/>
    <w:basedOn w:val="79"/>
    <w:qFormat/>
    <w:uiPriority w:val="0"/>
    <w:pPr>
      <w:framePr w:y="4469"/>
      <w:spacing w:beforeLines="630"/>
    </w:pPr>
  </w:style>
  <w:style w:type="paragraph" w:customStyle="1" w:styleId="135">
    <w:name w:val="封面标准英文名称2"/>
    <w:basedOn w:val="80"/>
    <w:qFormat/>
    <w:uiPriority w:val="0"/>
    <w:pPr>
      <w:framePr w:y="4469"/>
    </w:pPr>
  </w:style>
  <w:style w:type="paragraph" w:customStyle="1" w:styleId="136">
    <w:name w:val="封面一致性程度标识2"/>
    <w:basedOn w:val="81"/>
    <w:qFormat/>
    <w:uiPriority w:val="0"/>
    <w:pPr>
      <w:framePr w:y="4469"/>
    </w:pPr>
  </w:style>
  <w:style w:type="paragraph" w:customStyle="1" w:styleId="137">
    <w:name w:val="封面标准文稿类别2"/>
    <w:basedOn w:val="82"/>
    <w:qFormat/>
    <w:uiPriority w:val="0"/>
    <w:pPr>
      <w:framePr w:y="4469"/>
    </w:pPr>
  </w:style>
  <w:style w:type="paragraph" w:customStyle="1" w:styleId="138">
    <w:name w:val="封面标准文稿编辑信息2"/>
    <w:basedOn w:val="83"/>
    <w:qFormat/>
    <w:uiPriority w:val="0"/>
    <w:pPr>
      <w:framePr w:y="4469"/>
    </w:pPr>
  </w:style>
  <w:style w:type="paragraph" w:customStyle="1" w:styleId="139">
    <w:name w:val="列出段落1"/>
    <w:basedOn w:val="1"/>
    <w:qFormat/>
    <w:uiPriority w:val="34"/>
    <w:pPr>
      <w:ind w:firstLine="420" w:firstLineChars="200"/>
    </w:pPr>
    <w:rPr>
      <w:rFonts w:ascii="Calibri" w:hAnsi="Calibri"/>
      <w:sz w:val="28"/>
      <w:szCs w:val="22"/>
    </w:rPr>
  </w:style>
  <w:style w:type="character" w:customStyle="1" w:styleId="140">
    <w:name w:val="标题 2 Char"/>
    <w:link w:val="3"/>
    <w:qFormat/>
    <w:uiPriority w:val="9"/>
    <w:rPr>
      <w:rFonts w:ascii="Cambria" w:hAnsi="Cambria" w:eastAsia="宋体" w:cs="Times New Roman"/>
      <w:b/>
      <w:bCs/>
      <w:kern w:val="2"/>
      <w:sz w:val="32"/>
      <w:szCs w:val="32"/>
    </w:rPr>
  </w:style>
  <w:style w:type="character" w:customStyle="1" w:styleId="141">
    <w:name w:val="标题 3 Char"/>
    <w:link w:val="4"/>
    <w:qFormat/>
    <w:uiPriority w:val="9"/>
    <w:rPr>
      <w:rFonts w:ascii="Calibri" w:hAnsi="Calibri" w:eastAsia="宋体" w:cs="Times New Roman"/>
      <w:b/>
      <w:bCs/>
      <w:kern w:val="2"/>
      <w:sz w:val="32"/>
      <w:szCs w:val="32"/>
    </w:rPr>
  </w:style>
  <w:style w:type="character" w:customStyle="1" w:styleId="142">
    <w:name w:val="批注框文本 Char"/>
    <w:link w:val="18"/>
    <w:qFormat/>
    <w:uiPriority w:val="0"/>
    <w:rPr>
      <w:kern w:val="2"/>
      <w:sz w:val="18"/>
      <w:szCs w:val="18"/>
    </w:rPr>
  </w:style>
  <w:style w:type="character" w:customStyle="1" w:styleId="143">
    <w:name w:val="标题 1 Char"/>
    <w:link w:val="2"/>
    <w:qFormat/>
    <w:uiPriority w:val="0"/>
    <w:rPr>
      <w:b/>
      <w:bCs/>
      <w:kern w:val="44"/>
      <w:sz w:val="44"/>
      <w:szCs w:val="44"/>
    </w:rPr>
  </w:style>
  <w:style w:type="paragraph" w:customStyle="1" w:styleId="144">
    <w:name w:val="TOC 标题1"/>
    <w:basedOn w:val="2"/>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46">
    <w:name w:val="一级无标题条"/>
    <w:basedOn w:val="43"/>
    <w:qFormat/>
    <w:uiPriority w:val="0"/>
    <w:pPr>
      <w:spacing w:before="0" w:beforeLines="0" w:after="0" w:afterLines="0"/>
    </w:pPr>
    <w:rPr>
      <w:rFonts w:asciiTheme="majorEastAsia" w:hAnsiTheme="majorEastAsia" w:eastAsiaTheme="majorEastAsia"/>
    </w:rPr>
  </w:style>
  <w:style w:type="paragraph" w:customStyle="1" w:styleId="147">
    <w:name w:val="二级无标题条"/>
    <w:basedOn w:val="47"/>
    <w:qFormat/>
    <w:uiPriority w:val="0"/>
    <w:pPr>
      <w:spacing w:before="0" w:beforeLines="0" w:after="0" w:afterLines="0"/>
    </w:pPr>
    <w:rPr>
      <w:rFonts w:asciiTheme="minorEastAsia" w:hAnsiTheme="minorEastAsia" w:eastAsiaTheme="minorEastAsia"/>
    </w:rPr>
  </w:style>
  <w:style w:type="paragraph" w:customStyle="1" w:styleId="148">
    <w:name w:val="术语"/>
    <w:basedOn w:val="25"/>
    <w:next w:val="25"/>
    <w:qFormat/>
    <w:uiPriority w:val="0"/>
    <w:rPr>
      <w:rFonts w:ascii="黑体" w:hAnsi="黑体" w:eastAsia="黑体"/>
      <w:color w:val="000000" w:themeColor="text1"/>
      <w14:textFill>
        <w14:solidFill>
          <w14:schemeClr w14:val="tx1"/>
        </w14:solidFill>
      </w14:textFill>
    </w:rPr>
  </w:style>
  <w:style w:type="paragraph" w:customStyle="1" w:styleId="149">
    <w:name w:val="参考文献正文"/>
    <w:basedOn w:val="25"/>
    <w:qFormat/>
    <w:uiPriority w:val="0"/>
    <w:pPr>
      <w:numPr>
        <w:ilvl w:val="1"/>
        <w:numId w:val="19"/>
      </w:numPr>
      <w:tabs>
        <w:tab w:val="clear" w:pos="4201"/>
        <w:tab w:val="clear" w:pos="9298"/>
      </w:tabs>
      <w:ind w:left="0" w:firstLine="420"/>
      <w:jc w:val="left"/>
    </w:pPr>
  </w:style>
  <w:style w:type="paragraph" w:customStyle="1" w:styleId="150">
    <w:name w:val="Char Char Char Char Char Char Char"/>
    <w:basedOn w:val="1"/>
    <w:qFormat/>
    <w:uiPriority w:val="0"/>
    <w:pPr>
      <w:widowControl/>
      <w:spacing w:after="160" w:line="240" w:lineRule="exact"/>
      <w:jc w:val="left"/>
    </w:pPr>
    <w:rPr>
      <w:szCs w:val="22"/>
    </w:rPr>
  </w:style>
  <w:style w:type="paragraph" w:customStyle="1" w:styleId="151">
    <w:name w:val="Char Char Char Char Char Char Char1"/>
    <w:basedOn w:val="1"/>
    <w:qFormat/>
    <w:uiPriority w:val="0"/>
    <w:pPr>
      <w:widowControl/>
      <w:spacing w:after="160" w:line="240" w:lineRule="exact"/>
      <w:jc w:val="left"/>
    </w:pPr>
    <w:rPr>
      <w:szCs w:val="22"/>
    </w:rPr>
  </w:style>
  <w:style w:type="character" w:customStyle="1" w:styleId="152">
    <w:name w:val="称呼 Char"/>
    <w:basedOn w:val="36"/>
    <w:link w:val="11"/>
    <w:qFormat/>
    <w:uiPriority w:val="0"/>
    <w:rPr>
      <w:kern w:val="2"/>
      <w:sz w:val="21"/>
      <w:szCs w:val="24"/>
    </w:rPr>
  </w:style>
  <w:style w:type="paragraph" w:customStyle="1" w:styleId="153">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154">
    <w:name w:val="页脚 Char"/>
    <w:basedOn w:val="36"/>
    <w:link w:val="19"/>
    <w:qFormat/>
    <w:uiPriority w:val="99"/>
    <w:rPr>
      <w:kern w:val="2"/>
      <w:sz w:val="18"/>
      <w:szCs w:val="18"/>
    </w:rPr>
  </w:style>
  <w:style w:type="paragraph" w:customStyle="1" w:styleId="155">
    <w:name w:val="附录章无标题"/>
    <w:qFormat/>
    <w:uiPriority w:val="0"/>
    <w:rPr>
      <w:rFonts w:ascii="宋体" w:hAnsi="Times New Roman" w:eastAsia="宋体" w:cs="Times New Roman"/>
      <w:sz w:val="21"/>
      <w:lang w:val="en-US"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footer3.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_rels/settings.xml.rels><?xml version="1.0" encoding="UTF-8" standalone="no"?><Relationships xmlns="http://schemas.openxmlformats.org/package/2006/relationships"><Relationship Id="rId1" Target="/home/kylin/C:/Users/lenovo/Desktop/&#37026;&#21488;&#26426;&#20851;&#20107;&#21153;&#31649;&#29702;&#23616;/&#37026;&#21488;&#24066;&#26426;&#20851;&#21518;&#21220;&#26381;&#21153;&#26631;&#20934;&#27169;&#26495;1008(1).dotx" TargetMode="External" Type="http://schemas.openxmlformats.org/officeDocument/2006/relationships/attachedTemplat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邢台市机关后勤服务标准模板1008(1)</Template>
  <Pages>9</Pages>
  <Words>4047</Words>
  <Characters>4187</Characters>
  <Lines>43</Lines>
  <Paragraphs>12</Paragraphs>
  <TotalTime>1</TotalTime>
  <ScaleCrop>false</ScaleCrop>
  <LinksUpToDate>false</LinksUpToDate>
  <CharactersWithSpaces>4368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2022-11-02T12:30:00Z</dcterms:created>
  <dc:creator>lenovo</dc:creator>
  <cp:lastModifiedBy>kylin</cp:lastModifiedBy>
  <dcterms:modified xsi:type="dcterms:W3CDTF">2023-03-19T09:55:31Z</dcterms:modified>
  <cp:revision>12</cp:revision>
  <dc:title>标准名称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5DE3BE878A5C49F5B464B72F360901ED</vt:lpwstr>
  </property>
</Properties>
</file>