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014—2022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事业单位工资管理规范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200"/>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667956"/>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tabs>
          <w:tab w:val="center" w:pos="4677"/>
          <w:tab w:val="left" w:pos="7500"/>
        </w:tabs>
        <w:jc w:val="left"/>
      </w:pPr>
      <w:r>
        <w:tab/>
      </w:r>
      <w:r>
        <w:rPr>
          <w:rFonts w:hint="eastAsia"/>
        </w:rPr>
        <w:t>事业单位工资管理规范</w:t>
      </w:r>
      <w:r>
        <w:tab/>
      </w:r>
    </w:p>
    <w:p>
      <w:pPr>
        <w:pStyle w:val="46"/>
      </w:pPr>
      <w:bookmarkStart w:id="6" w:name="_Toc118667957"/>
      <w:r>
        <w:rPr>
          <w:rFonts w:hint="eastAsia"/>
        </w:rPr>
        <w:t>范围</w:t>
      </w:r>
      <w:bookmarkEnd w:id="6"/>
    </w:p>
    <w:p>
      <w:pPr>
        <w:pStyle w:val="25"/>
        <w:tabs>
          <w:tab w:val="clear" w:pos="4201"/>
          <w:tab w:val="clear" w:pos="9298"/>
        </w:tabs>
      </w:pPr>
      <w:r>
        <w:rPr>
          <w:rFonts w:hint="eastAsia"/>
        </w:rPr>
        <w:t>本文件规定了事业单位工资管理的工作流程要求。</w:t>
      </w:r>
    </w:p>
    <w:p>
      <w:pPr>
        <w:pStyle w:val="25"/>
      </w:pPr>
      <w:r>
        <w:rPr>
          <w:rFonts w:hint="eastAsia"/>
        </w:rPr>
        <w:t>本文件适用于事业单位工资管理。</w:t>
      </w:r>
    </w:p>
    <w:p>
      <w:pPr>
        <w:pStyle w:val="46"/>
      </w:pPr>
      <w:bookmarkStart w:id="7" w:name="_Toc118667958"/>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《河北省人民政府关于印发公务员工资制度改革等四个&lt;实施办法&gt;的通知》（冀政〔2006〕88号）</w:t>
      </w:r>
    </w:p>
    <w:p>
      <w:pPr>
        <w:pStyle w:val="46"/>
      </w:pPr>
      <w:bookmarkStart w:id="8" w:name="_Toc118667959"/>
      <w:r>
        <w:rPr>
          <w:rFonts w:hint="eastAsia"/>
        </w:rPr>
        <w:t>术语和定义</w:t>
      </w:r>
      <w:bookmarkEnd w:id="8"/>
    </w:p>
    <w:p>
      <w:pPr>
        <w:pStyle w:val="25"/>
        <w:rPr>
          <w:rFonts w:ascii="Tahoma" w:hAnsi="Tahoma" w:cs="Tahoma"/>
          <w:color w:val="000000"/>
          <w:szCs w:val="21"/>
          <w:shd w:val="clear" w:color="auto" w:fill="FFFFFF"/>
        </w:rPr>
      </w:pPr>
      <w:r>
        <w:rPr>
          <w:rFonts w:hint="eastAsia"/>
        </w:rPr>
        <w:t>本文件没有需要界定的术语和定义。</w:t>
      </w:r>
    </w:p>
    <w:p>
      <w:pPr>
        <w:pStyle w:val="46"/>
      </w:pPr>
      <w:bookmarkStart w:id="9" w:name="_Toc118667960"/>
      <w:r>
        <w:t>办理流程</w:t>
      </w:r>
      <w:bookmarkEnd w:id="9"/>
      <w:bookmarkStart w:id="10" w:name="_GoBack"/>
      <w:bookmarkEnd w:id="10"/>
    </w:p>
    <w:p>
      <w:pPr>
        <w:pStyle w:val="25"/>
      </w:pPr>
      <w:r>
        <w:rPr>
          <w:rFonts w:hint="eastAsia"/>
        </w:rPr>
        <w:t>根据政策规定和年度考核结果向市委组织部申报中心干部职工日常工资福利（包括职务工资、级别工资、工作津贴、生活补贴）调整、审批事项，此项工作在“</w:t>
      </w:r>
      <w:r>
        <w:rPr>
          <w:rFonts w:hint="eastAsia"/>
          <w:color w:val="FF0000"/>
        </w:rPr>
        <w:t>河北省机关事业单位工资管理信息系统”</w:t>
      </w:r>
      <w:r>
        <w:rPr>
          <w:rFonts w:hint="eastAsia"/>
        </w:rPr>
        <w:t>中操作完成。</w:t>
      </w:r>
    </w:p>
    <w:p>
      <w:pPr>
        <w:pStyle w:val="149"/>
        <w:numPr>
          <w:ilvl w:val="0"/>
          <w:numId w:val="0"/>
        </w:numPr>
        <w:ind w:firstLine="420"/>
      </w:pPr>
    </w:p>
    <w:p>
      <w:pPr>
        <w:pStyle w:val="131"/>
        <w:framePr w:y="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4" w:type="default"/>
      <w:footerReference r:id="rId5" w:type="default"/>
      <w:pgSz w:w="11906" w:h="16838"/>
      <w:pgMar w:top="567" w:right="1134" w:bottom="1134" w:left="1418" w:header="1418" w:footer="1134" w:gutter="0"/>
      <w:pgNumType w:fmt="decimal" w:start="20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邢JG R</w:t>
    </w:r>
    <w:r>
      <w:t>S.</w:t>
    </w:r>
    <w:r>
      <w:rPr>
        <w:rFonts w:hint="eastAsia"/>
        <w:lang w:val="en-US" w:eastAsia="zh-CN"/>
      </w:rPr>
      <w:t>420.</w:t>
    </w:r>
    <w:r>
      <w:t>014—2022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076C1"/>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86B94"/>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1BE3"/>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05D"/>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30C4"/>
    <w:rsid w:val="00FE4D17"/>
    <w:rsid w:val="00FE57AB"/>
    <w:rsid w:val="00FE7D7F"/>
    <w:rsid w:val="00FF04A9"/>
    <w:rsid w:val="138B447A"/>
    <w:rsid w:val="2EA8435B"/>
    <w:rsid w:val="33251C93"/>
    <w:rsid w:val="4590011C"/>
    <w:rsid w:val="4E6D1E43"/>
    <w:rsid w:val="52331739"/>
    <w:rsid w:val="61542A7B"/>
    <w:rsid w:val="66F393BF"/>
    <w:rsid w:val="EEBF46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4</Pages>
  <Words>187</Words>
  <Characters>1066</Characters>
  <Lines>8</Lines>
  <Paragraphs>2</Paragraphs>
  <TotalTime>1</TotalTime>
  <ScaleCrop>false</ScaleCrop>
  <LinksUpToDate>false</LinksUpToDate>
  <CharactersWithSpaces>1251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2022-11-06T22:47:00Z</dcterms:created>
  <dc:creator>lenovo</dc:creator>
  <cp:lastModifiedBy>kylin</cp:lastModifiedBy>
  <dcterms:modified xsi:type="dcterms:W3CDTF">2023-03-19T11:08:10Z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