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019—2022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领导干部重大事项报告制度</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21"/>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67483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组宣人事科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领导干部重大事项报告制度</w:t>
      </w:r>
    </w:p>
    <w:p>
      <w:pPr>
        <w:pStyle w:val="46"/>
      </w:pPr>
      <w:bookmarkStart w:id="6" w:name="_Toc118674838"/>
      <w:r>
        <w:rPr>
          <w:rFonts w:hint="eastAsia"/>
        </w:rPr>
        <w:t>范围</w:t>
      </w:r>
      <w:bookmarkEnd w:id="6"/>
      <w:bookmarkStart w:id="27" w:name="_GoBack"/>
      <w:bookmarkEnd w:id="27"/>
    </w:p>
    <w:p>
      <w:pPr>
        <w:pStyle w:val="25"/>
        <w:tabs>
          <w:tab w:val="clear" w:pos="4201"/>
          <w:tab w:val="clear" w:pos="9298"/>
        </w:tabs>
      </w:pPr>
      <w:r>
        <w:rPr>
          <w:rFonts w:hint="eastAsia"/>
        </w:rPr>
        <w:t>本文件规定了领导干部重大事项报告的范围、事项、工作流程、纪律监督的要求。</w:t>
      </w:r>
    </w:p>
    <w:p>
      <w:pPr>
        <w:pStyle w:val="25"/>
      </w:pPr>
      <w:r>
        <w:rPr>
          <w:rFonts w:hint="eastAsia"/>
        </w:rPr>
        <w:t>本文件适用于领导干部重大事项报告。</w:t>
      </w:r>
    </w:p>
    <w:p>
      <w:pPr>
        <w:pStyle w:val="46"/>
      </w:pPr>
      <w:bookmarkStart w:id="7" w:name="_Toc11867483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《领导干部报告个人有关事项规定》</w:t>
      </w:r>
    </w:p>
    <w:p>
      <w:pPr>
        <w:pStyle w:val="25"/>
        <w:rPr>
          <w:color w:val="0070C0"/>
        </w:rPr>
      </w:pPr>
      <w:r>
        <w:rPr>
          <w:rFonts w:hint="eastAsia"/>
        </w:rPr>
        <w:t>《领导干部个人有关事项报告查核结果处理办法》</w:t>
      </w:r>
    </w:p>
    <w:p>
      <w:pPr>
        <w:pStyle w:val="46"/>
      </w:pPr>
      <w:bookmarkStart w:id="8" w:name="_Toc118674840"/>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8674841"/>
      <w:r>
        <w:rPr>
          <w:rFonts w:hint="eastAsia"/>
        </w:rPr>
        <w:t>报告范围</w:t>
      </w:r>
      <w:bookmarkEnd w:id="9"/>
    </w:p>
    <w:p>
      <w:pPr>
        <w:pStyle w:val="25"/>
      </w:pPr>
      <w:r>
        <w:rPr>
          <w:rFonts w:hint="eastAsia"/>
        </w:rPr>
        <w:t>纳入个人有关事项报告范围的领导干部包括副处级及以上领导职务人员，二级调研员及以上职级公务员，以及担任副处级领导职务的三级调研员。</w:t>
      </w:r>
    </w:p>
    <w:p>
      <w:pPr>
        <w:pStyle w:val="46"/>
      </w:pPr>
      <w:bookmarkStart w:id="10" w:name="_Toc118674842"/>
      <w:r>
        <w:rPr>
          <w:rFonts w:hint="eastAsia"/>
        </w:rPr>
        <w:t>报告事项</w:t>
      </w:r>
      <w:bookmarkEnd w:id="10"/>
    </w:p>
    <w:p>
      <w:pPr>
        <w:pStyle w:val="146"/>
      </w:pPr>
      <w:r>
        <w:rPr>
          <w:rFonts w:hint="eastAsia"/>
        </w:rPr>
        <w:t>领导干部应当报告下列本人婚姻和配偶、子女移居国（境）外、从业等事项：</w:t>
      </w:r>
    </w:p>
    <w:p>
      <w:pPr>
        <w:pStyle w:val="49"/>
      </w:pPr>
      <w:r>
        <w:rPr>
          <w:rFonts w:hint="eastAsia"/>
        </w:rPr>
        <w:t>本人的婚姻情况；</w:t>
      </w:r>
    </w:p>
    <w:p>
      <w:pPr>
        <w:pStyle w:val="49"/>
      </w:pPr>
      <w:r>
        <w:rPr>
          <w:rFonts w:hint="eastAsia"/>
        </w:rPr>
        <w:t>本人持有普通护照以及因私出国的情况；</w:t>
      </w:r>
    </w:p>
    <w:p>
      <w:pPr>
        <w:pStyle w:val="49"/>
      </w:pPr>
      <w:r>
        <w:rPr>
          <w:rFonts w:hint="eastAsia"/>
        </w:rPr>
        <w:t>本人持有往来港澳通行证、因私持有大陆居民往来台湾通行证以及因私往来港澳、台湾的情况；</w:t>
      </w:r>
    </w:p>
    <w:p>
      <w:pPr>
        <w:pStyle w:val="49"/>
      </w:pPr>
      <w:r>
        <w:rPr>
          <w:rFonts w:hint="eastAsia"/>
        </w:rPr>
        <w:t>子女与外国人、无国籍人通婚的情况；</w:t>
      </w:r>
    </w:p>
    <w:p>
      <w:pPr>
        <w:pStyle w:val="49"/>
      </w:pPr>
      <w:r>
        <w:rPr>
          <w:rFonts w:hint="eastAsia"/>
        </w:rPr>
        <w:t>子女与港澳以及台湾居民通婚的情况；</w:t>
      </w:r>
    </w:p>
    <w:p>
      <w:pPr>
        <w:pStyle w:val="49"/>
      </w:pPr>
      <w:r>
        <w:rPr>
          <w:rFonts w:hint="eastAsia"/>
        </w:rPr>
        <w:t>配偶、子女移居国（境）外的情况，或者虽未移居国（境）外，但连续在国（境）外工作、生活一年以上的情况；</w:t>
      </w:r>
    </w:p>
    <w:p>
      <w:pPr>
        <w:pStyle w:val="49"/>
      </w:pPr>
      <w:r>
        <w:rPr>
          <w:rFonts w:hint="eastAsia"/>
        </w:rPr>
        <w:t>配偶、子女及其配偶的从业情况，含受聘担任私营企业的高级职务，在外商独资企业、中外合资企业、境外非政府组织在境内设立的代表机构中担任由外方委派、聘任的高级职务，以及在国（境）外的从业情况和职务情况；</w:t>
      </w:r>
    </w:p>
    <w:p>
      <w:pPr>
        <w:pStyle w:val="49"/>
      </w:pPr>
      <w:r>
        <w:rPr>
          <w:rFonts w:hint="eastAsia"/>
        </w:rPr>
        <w:t>配偶、子女及其配偶被司法机关追究刑事责任的情况。</w:t>
      </w:r>
    </w:p>
    <w:p>
      <w:pPr>
        <w:pStyle w:val="25"/>
        <w:ind w:firstLine="360"/>
        <w:rPr>
          <w:sz w:val="18"/>
          <w:szCs w:val="18"/>
        </w:rPr>
      </w:pPr>
      <w:r>
        <w:rPr>
          <w:rFonts w:ascii="黑体" w:hAnsi="黑体" w:eastAsia="黑体"/>
          <w:sz w:val="18"/>
          <w:szCs w:val="18"/>
        </w:rPr>
        <w:t>注</w:t>
      </w:r>
      <w:r>
        <w:rPr>
          <w:rFonts w:hint="eastAsia" w:ascii="黑体" w:hAnsi="黑体" w:eastAsia="黑体"/>
          <w:sz w:val="18"/>
          <w:szCs w:val="18"/>
        </w:rPr>
        <w:t>1：</w:t>
      </w:r>
      <w:r>
        <w:rPr>
          <w:rFonts w:hint="eastAsia"/>
          <w:sz w:val="18"/>
          <w:szCs w:val="18"/>
        </w:rPr>
        <w:t>“子女”，包括领导干部的婚生子女、非婚生子女、养子女和有抚养关系的继子女。</w:t>
      </w:r>
    </w:p>
    <w:p>
      <w:pPr>
        <w:pStyle w:val="25"/>
        <w:ind w:firstLine="360"/>
        <w:rPr>
          <w:sz w:val="18"/>
          <w:szCs w:val="18"/>
        </w:rPr>
      </w:pPr>
      <w:r>
        <w:rPr>
          <w:rFonts w:hint="eastAsia" w:ascii="黑体" w:hAnsi="黑体" w:eastAsia="黑体"/>
          <w:sz w:val="18"/>
          <w:szCs w:val="18"/>
        </w:rPr>
        <w:t>注2：</w:t>
      </w:r>
      <w:r>
        <w:rPr>
          <w:rFonts w:hint="eastAsia"/>
          <w:sz w:val="18"/>
          <w:szCs w:val="18"/>
        </w:rPr>
        <w:t>“移居国（境）外”，是指取得外国国籍或者获取国（境）外永久居留资格、长期居留许可。</w:t>
      </w:r>
    </w:p>
    <w:p>
      <w:pPr>
        <w:pStyle w:val="146"/>
      </w:pPr>
      <w:r>
        <w:rPr>
          <w:rFonts w:hint="eastAsia"/>
        </w:rPr>
        <w:t>领导干部应当报告下列收入、房产、投资等事项：</w:t>
      </w:r>
    </w:p>
    <w:p>
      <w:pPr>
        <w:pStyle w:val="49"/>
      </w:pPr>
      <w:r>
        <w:rPr>
          <w:rFonts w:hint="eastAsia"/>
        </w:rPr>
        <w:t>本人的工资及各类奖金、津贴、补贴等；</w:t>
      </w:r>
    </w:p>
    <w:p>
      <w:pPr>
        <w:pStyle w:val="49"/>
      </w:pPr>
      <w:r>
        <w:rPr>
          <w:rFonts w:hint="eastAsia"/>
        </w:rPr>
        <w:t>本人从事讲学、写作、咨询、审稿、书画等劳务所得；</w:t>
      </w:r>
    </w:p>
    <w:p>
      <w:pPr>
        <w:pStyle w:val="49"/>
      </w:pPr>
      <w:r>
        <w:rPr>
          <w:rFonts w:hint="eastAsia"/>
        </w:rPr>
        <w:t>本人、配偶、共同生活的子女为所有权人或者共有人的房产情况，含有单独产权证书的车库、车位、储藏间等（已登记的房产，面积以不动产权证、房屋所有权证记载的为准，未登记的房产，面积以经备案的房屋买卖合同记载的为准）；</w:t>
      </w:r>
    </w:p>
    <w:p>
      <w:pPr>
        <w:pStyle w:val="49"/>
      </w:pPr>
      <w:r>
        <w:rPr>
          <w:rFonts w:hint="eastAsia"/>
        </w:rPr>
        <w:t>本人、配偶、共同生活的子女投资或者以其他方式持有股票、基金、投资型保险等的情况；</w:t>
      </w:r>
    </w:p>
    <w:p>
      <w:pPr>
        <w:pStyle w:val="49"/>
      </w:pPr>
      <w:r>
        <w:rPr>
          <w:rFonts w:hint="eastAsia"/>
        </w:rPr>
        <w:t>配偶、子女及其配偶经商办企业的情况，包括投资非上市股份有限公司、有限责任公司，注册个体工商户、个人独资企业、合伙企业等，以及在国（境）外注册公司或者投资入股等的情况；</w:t>
      </w:r>
    </w:p>
    <w:p>
      <w:pPr>
        <w:pStyle w:val="49"/>
      </w:pPr>
      <w:r>
        <w:rPr>
          <w:rFonts w:hint="eastAsia"/>
        </w:rPr>
        <w:t>本人、配偶、共同生活的子女在国（境）外的存款和投资情况。</w:t>
      </w:r>
    </w:p>
    <w:p>
      <w:pPr>
        <w:pStyle w:val="25"/>
        <w:ind w:firstLine="360"/>
        <w:rPr>
          <w:sz w:val="18"/>
          <w:szCs w:val="18"/>
        </w:rPr>
      </w:pPr>
      <w:r>
        <w:rPr>
          <w:rFonts w:ascii="黑体" w:hAnsi="黑体" w:eastAsia="黑体"/>
          <w:sz w:val="18"/>
          <w:szCs w:val="18"/>
        </w:rPr>
        <w:t>注</w:t>
      </w:r>
      <w:r>
        <w:rPr>
          <w:rFonts w:hint="eastAsia" w:ascii="黑体" w:hAnsi="黑体" w:eastAsia="黑体"/>
          <w:sz w:val="18"/>
          <w:szCs w:val="18"/>
        </w:rPr>
        <w:t>1：</w:t>
      </w:r>
      <w:r>
        <w:rPr>
          <w:rFonts w:hint="eastAsia"/>
          <w:sz w:val="18"/>
          <w:szCs w:val="18"/>
        </w:rPr>
        <w:t>“共同生活的子女”，指领导干部不满18周岁的未成年子女和由其抚养的不能独立生活的成年子女。</w:t>
      </w:r>
    </w:p>
    <w:p>
      <w:pPr>
        <w:pStyle w:val="25"/>
        <w:ind w:firstLine="360"/>
        <w:rPr>
          <w:sz w:val="18"/>
          <w:szCs w:val="18"/>
        </w:rPr>
      </w:pPr>
      <w:r>
        <w:rPr>
          <w:rFonts w:hint="eastAsia" w:ascii="黑体" w:hAnsi="黑体" w:eastAsia="黑体"/>
          <w:sz w:val="18"/>
          <w:szCs w:val="18"/>
        </w:rPr>
        <w:t>注2：</w:t>
      </w:r>
      <w:r>
        <w:rPr>
          <w:rFonts w:hint="eastAsia"/>
          <w:sz w:val="18"/>
          <w:szCs w:val="18"/>
        </w:rPr>
        <w:t>“股票”，指在上海证券交易所、深圳证券交易所、全国中小企业股份转让系统等发行、交易或者转让的股票。</w:t>
      </w:r>
    </w:p>
    <w:p>
      <w:pPr>
        <w:pStyle w:val="25"/>
        <w:ind w:firstLine="360"/>
        <w:rPr>
          <w:sz w:val="18"/>
          <w:szCs w:val="18"/>
        </w:rPr>
      </w:pPr>
      <w:r>
        <w:rPr>
          <w:rFonts w:ascii="黑体" w:hAnsi="黑体" w:eastAsia="黑体"/>
          <w:sz w:val="18"/>
          <w:szCs w:val="18"/>
        </w:rPr>
        <w:t>注</w:t>
      </w:r>
      <w:r>
        <w:rPr>
          <w:rFonts w:hint="eastAsia" w:ascii="黑体" w:hAnsi="黑体" w:eastAsia="黑体"/>
          <w:sz w:val="18"/>
          <w:szCs w:val="18"/>
        </w:rPr>
        <w:t>3：</w:t>
      </w:r>
      <w:r>
        <w:rPr>
          <w:rFonts w:hint="eastAsia"/>
          <w:sz w:val="18"/>
          <w:szCs w:val="18"/>
        </w:rPr>
        <w:t>“基金”，指在我国境内发行的公募基金和私募基金。</w:t>
      </w:r>
    </w:p>
    <w:p>
      <w:pPr>
        <w:pStyle w:val="25"/>
        <w:ind w:firstLine="360"/>
        <w:rPr>
          <w:sz w:val="18"/>
          <w:szCs w:val="18"/>
        </w:rPr>
      </w:pPr>
      <w:r>
        <w:rPr>
          <w:rFonts w:ascii="黑体" w:hAnsi="黑体" w:eastAsia="黑体"/>
          <w:sz w:val="18"/>
          <w:szCs w:val="18"/>
        </w:rPr>
        <w:t>注</w:t>
      </w:r>
      <w:r>
        <w:rPr>
          <w:rFonts w:hint="eastAsia" w:ascii="黑体" w:hAnsi="黑体" w:eastAsia="黑体"/>
          <w:sz w:val="18"/>
          <w:szCs w:val="18"/>
        </w:rPr>
        <w:t>4：</w:t>
      </w:r>
      <w:r>
        <w:rPr>
          <w:rFonts w:hint="eastAsia"/>
          <w:sz w:val="18"/>
          <w:szCs w:val="18"/>
        </w:rPr>
        <w:t>“投资型保险”，指具有保障和投资双重功能的保险产品，包括人身保险投资型保险和财产保险投资型保险。</w:t>
      </w:r>
    </w:p>
    <w:p>
      <w:pPr>
        <w:pStyle w:val="46"/>
      </w:pPr>
      <w:bookmarkStart w:id="11" w:name="_Toc49158807"/>
      <w:bookmarkStart w:id="12" w:name="_Toc118674843"/>
      <w:r>
        <w:rPr>
          <w:rFonts w:hint="eastAsia"/>
        </w:rPr>
        <w:t>工作流程</w:t>
      </w:r>
      <w:bookmarkEnd w:id="11"/>
      <w:bookmarkEnd w:id="12"/>
    </w:p>
    <w:p>
      <w:pPr>
        <w:pStyle w:val="43"/>
        <w:spacing w:before="156" w:after="156"/>
        <w:jc w:val="both"/>
      </w:pPr>
      <w:bookmarkStart w:id="13" w:name="_Toc49158808"/>
      <w:bookmarkStart w:id="14" w:name="_Toc118674844"/>
      <w:r>
        <w:rPr>
          <w:rFonts w:hint="eastAsia"/>
        </w:rPr>
        <w:t>年度集中填报</w:t>
      </w:r>
      <w:bookmarkEnd w:id="13"/>
      <w:bookmarkEnd w:id="14"/>
    </w:p>
    <w:p>
      <w:pPr>
        <w:pStyle w:val="147"/>
        <w:jc w:val="both"/>
      </w:pPr>
      <w:r>
        <w:rPr>
          <w:rFonts w:hint="eastAsia"/>
        </w:rPr>
        <w:t>根据市委组织部统一部署，组织中心列入个人有关事项报告的领导干部集中填报一次上一年度领导干部个人有关事项，填报人应对报告内容的真实性、完整性负责，自觉接受监督。</w:t>
      </w:r>
    </w:p>
    <w:p>
      <w:pPr>
        <w:pStyle w:val="147"/>
        <w:jc w:val="both"/>
      </w:pPr>
      <w:r>
        <w:rPr>
          <w:rFonts w:hint="eastAsia"/>
        </w:rPr>
        <w:t>按照时限要求和干部管理权限，将省管干部的个人有关事项报告表报送省委组织部；</w:t>
      </w:r>
      <w:r>
        <w:rPr>
          <w:rFonts w:hint="eastAsia"/>
          <w:color w:val="0000FF"/>
        </w:rPr>
        <w:t>局管范围</w:t>
      </w:r>
      <w:r>
        <w:rPr>
          <w:rFonts w:hint="eastAsia"/>
        </w:rPr>
        <w:t>内领导干部个人有关事项报告表汇总、审核后，录入领导干部报告个人有关事项信息管理系统，并导出有关数据后，报送市委组织部。</w:t>
      </w:r>
    </w:p>
    <w:p>
      <w:pPr>
        <w:pStyle w:val="43"/>
        <w:spacing w:before="156" w:after="156"/>
        <w:jc w:val="both"/>
      </w:pPr>
      <w:bookmarkStart w:id="15" w:name="_Toc118674845"/>
      <w:bookmarkStart w:id="16" w:name="_Toc49158809"/>
      <w:r>
        <w:rPr>
          <w:rFonts w:hint="eastAsia"/>
        </w:rPr>
        <w:t>随机抽查</w:t>
      </w:r>
      <w:bookmarkEnd w:id="15"/>
      <w:bookmarkEnd w:id="16"/>
    </w:p>
    <w:p>
      <w:pPr>
        <w:pStyle w:val="25"/>
      </w:pPr>
      <w:r>
        <w:rPr>
          <w:rFonts w:hint="eastAsia"/>
        </w:rPr>
        <w:t>根据市委组织部统一部署组织，每年集中开展一次，按照10%的比例进行，依托领导干部报告个人有关事项信息管理系统随机抽查模块，由系统随机生成抽查名单及委托查询函等材料，经党组主要负责同志签字后，报送市委组织部干部监督处委托查询。</w:t>
      </w:r>
    </w:p>
    <w:p>
      <w:pPr>
        <w:pStyle w:val="43"/>
        <w:spacing w:before="156" w:after="156"/>
        <w:jc w:val="both"/>
      </w:pPr>
      <w:bookmarkStart w:id="17" w:name="_Toc49158810"/>
      <w:bookmarkStart w:id="18" w:name="_Toc118674846"/>
      <w:r>
        <w:rPr>
          <w:rFonts w:hint="eastAsia"/>
        </w:rPr>
        <w:t>重点查核</w:t>
      </w:r>
      <w:bookmarkEnd w:id="17"/>
      <w:bookmarkEnd w:id="18"/>
    </w:p>
    <w:p>
      <w:pPr>
        <w:pStyle w:val="147"/>
        <w:jc w:val="both"/>
      </w:pPr>
      <w:r>
        <w:rPr>
          <w:rFonts w:hint="eastAsia"/>
        </w:rPr>
        <w:t>重点查核对象包括：</w:t>
      </w:r>
    </w:p>
    <w:p>
      <w:pPr>
        <w:pStyle w:val="49"/>
      </w:pPr>
      <w:r>
        <w:rPr>
          <w:rFonts w:hint="eastAsia"/>
        </w:rPr>
        <w:t>拟提拔为副处级及以上领导干部的考察对象或拟列为后备人选的；</w:t>
      </w:r>
    </w:p>
    <w:p>
      <w:pPr>
        <w:pStyle w:val="49"/>
      </w:pPr>
      <w:r>
        <w:rPr>
          <w:rFonts w:hint="eastAsia"/>
        </w:rPr>
        <w:t>公务员晋升一级巡视员、二级巡视员，拟进一步使用人选；</w:t>
      </w:r>
    </w:p>
    <w:p>
      <w:pPr>
        <w:pStyle w:val="49"/>
      </w:pPr>
      <w:r>
        <w:rPr>
          <w:rFonts w:hint="eastAsia"/>
        </w:rPr>
        <w:t>因涉及个人报告事项的举报需要查核的，以及其他需要查核的。</w:t>
      </w:r>
    </w:p>
    <w:p>
      <w:pPr>
        <w:pStyle w:val="147"/>
        <w:jc w:val="both"/>
      </w:pPr>
      <w:r>
        <w:rPr>
          <w:rFonts w:hint="eastAsia"/>
        </w:rPr>
        <w:t>组宣人事科通过领导干部个人有关事项信息管理系统，生成重点查核人员委托查询材料，经党组主要负责同志签字后，报送市委组织部干部监督处委托查询。</w:t>
      </w:r>
    </w:p>
    <w:p>
      <w:pPr>
        <w:pStyle w:val="43"/>
        <w:spacing w:before="156" w:after="156"/>
        <w:jc w:val="both"/>
      </w:pPr>
      <w:bookmarkStart w:id="19" w:name="_Toc118674847"/>
      <w:bookmarkStart w:id="20" w:name="_Toc49158811"/>
      <w:r>
        <w:rPr>
          <w:rFonts w:hint="eastAsia"/>
        </w:rPr>
        <w:t>查核验证</w:t>
      </w:r>
      <w:bookmarkEnd w:id="19"/>
      <w:bookmarkEnd w:id="20"/>
    </w:p>
    <w:p>
      <w:pPr>
        <w:pStyle w:val="25"/>
      </w:pPr>
      <w:r>
        <w:rPr>
          <w:rFonts w:hint="eastAsia"/>
        </w:rPr>
        <w:t>根据市委组织部对查核情况的反馈，对领导干部的家庭财产明显超过正常收入的，应当要求其做出说明，必要时可对其财产来源的合法性进行验证。</w:t>
      </w:r>
    </w:p>
    <w:p>
      <w:pPr>
        <w:pStyle w:val="43"/>
        <w:spacing w:before="156" w:after="156"/>
        <w:jc w:val="both"/>
      </w:pPr>
      <w:bookmarkStart w:id="21" w:name="_Toc49158812"/>
      <w:bookmarkStart w:id="22" w:name="_Toc118674848"/>
      <w:r>
        <w:rPr>
          <w:rFonts w:hint="eastAsia"/>
        </w:rPr>
        <w:t>查核结果认定</w:t>
      </w:r>
      <w:bookmarkEnd w:id="21"/>
      <w:bookmarkEnd w:id="22"/>
    </w:p>
    <w:p>
      <w:pPr>
        <w:pStyle w:val="147"/>
        <w:jc w:val="both"/>
      </w:pPr>
      <w:r>
        <w:rPr>
          <w:rFonts w:hint="eastAsia"/>
        </w:rPr>
        <w:t>查核结果与领导干部当年年度集中报告的个人有关事项内容不一致，有下列情形之一的，一般认定为漏报行为：</w:t>
      </w:r>
    </w:p>
    <w:p>
      <w:pPr>
        <w:pStyle w:val="49"/>
      </w:pPr>
      <w:r>
        <w:rPr>
          <w:rFonts w:hint="eastAsia"/>
        </w:rPr>
        <w:t>未报告本人持有往来港澳通行证、因私持有大陆居民往来台湾通行证或者因私往来港澳、台湾情况的；</w:t>
      </w:r>
    </w:p>
    <w:p>
      <w:pPr>
        <w:pStyle w:val="49"/>
      </w:pPr>
      <w:r>
        <w:rPr>
          <w:rFonts w:hint="eastAsia"/>
        </w:rPr>
        <w:t>少报告房产面积或者未报告车库、车位、储藏间的；</w:t>
      </w:r>
    </w:p>
    <w:p>
      <w:pPr>
        <w:pStyle w:val="49"/>
      </w:pPr>
      <w:r>
        <w:rPr>
          <w:rFonts w:hint="eastAsia"/>
        </w:rPr>
        <w:t>少报告持有股票、基金、投资型保险金额等情况的；</w:t>
      </w:r>
    </w:p>
    <w:p>
      <w:pPr>
        <w:pStyle w:val="49"/>
      </w:pPr>
      <w:r>
        <w:rPr>
          <w:rFonts w:hint="eastAsia"/>
        </w:rPr>
        <w:t>少报告投资非上市股份有限公司、有限责任公司或者注册个体工商户、个人独资企业、合伙企业的投资金额等情况的；</w:t>
      </w:r>
    </w:p>
    <w:p>
      <w:pPr>
        <w:pStyle w:val="49"/>
      </w:pPr>
      <w:r>
        <w:rPr>
          <w:rFonts w:hint="eastAsia"/>
        </w:rPr>
        <w:t>存在其他漏报情形的。</w:t>
      </w:r>
    </w:p>
    <w:p>
      <w:pPr>
        <w:pStyle w:val="147"/>
        <w:jc w:val="both"/>
      </w:pPr>
      <w:r>
        <w:rPr>
          <w:rFonts w:hint="eastAsia"/>
        </w:rPr>
        <w:t>查核结果与领导干部当年年度集中报告的个人有关事项内容不一致，有下列情形之一的，一般认定为隐瞒不报行为：</w:t>
      </w:r>
    </w:p>
    <w:p>
      <w:pPr>
        <w:pStyle w:val="49"/>
      </w:pPr>
      <w:r>
        <w:rPr>
          <w:rFonts w:hint="eastAsia"/>
        </w:rPr>
        <w:t>未报告本人婚姻情况的；</w:t>
      </w:r>
    </w:p>
    <w:p>
      <w:pPr>
        <w:pStyle w:val="49"/>
      </w:pPr>
      <w:r>
        <w:rPr>
          <w:rFonts w:hint="eastAsia"/>
        </w:rPr>
        <w:t>未报告本人持有普通护照或者因私出国情况的；</w:t>
      </w:r>
    </w:p>
    <w:p>
      <w:pPr>
        <w:pStyle w:val="49"/>
      </w:pPr>
      <w:r>
        <w:rPr>
          <w:rFonts w:hint="eastAsia"/>
        </w:rPr>
        <w:t>未报告子女与外国人、无国籍人，或者与港澳、台湾居民通婚情况的；</w:t>
      </w:r>
    </w:p>
    <w:p>
      <w:pPr>
        <w:pStyle w:val="49"/>
      </w:pPr>
      <w:r>
        <w:rPr>
          <w:rFonts w:hint="eastAsia"/>
        </w:rPr>
        <w:t>未报告配偶、子女移居国（境）外或者虽未移居国（境）外但连续在国（境）外工作、生活一年以上情况的；</w:t>
      </w:r>
    </w:p>
    <w:p>
      <w:pPr>
        <w:pStyle w:val="49"/>
      </w:pPr>
      <w:r>
        <w:rPr>
          <w:rFonts w:hint="eastAsia"/>
        </w:rPr>
        <w:t>未报告配偶、子女及其配偶从业情况的；</w:t>
      </w:r>
    </w:p>
    <w:p>
      <w:pPr>
        <w:pStyle w:val="49"/>
      </w:pPr>
      <w:r>
        <w:rPr>
          <w:rFonts w:hint="eastAsia"/>
        </w:rPr>
        <w:t>未报告配偶、子女及其配偶被司法机关追究刑事责任情况的；</w:t>
      </w:r>
    </w:p>
    <w:p>
      <w:pPr>
        <w:pStyle w:val="49"/>
      </w:pPr>
      <w:r>
        <w:rPr>
          <w:rFonts w:hint="eastAsia"/>
        </w:rPr>
        <w:t>未报告房产1套以上（不含车库、车位、储藏间）的；</w:t>
      </w:r>
    </w:p>
    <w:p>
      <w:pPr>
        <w:pStyle w:val="49"/>
      </w:pPr>
      <w:r>
        <w:rPr>
          <w:rFonts w:hint="eastAsia"/>
        </w:rPr>
        <w:t>未报告持有股票、基金、投资型保险等情况的；</w:t>
      </w:r>
    </w:p>
    <w:p>
      <w:pPr>
        <w:pStyle w:val="49"/>
      </w:pPr>
      <w:r>
        <w:rPr>
          <w:rFonts w:hint="eastAsia"/>
        </w:rPr>
        <w:t>未报告投资非上市股份有限公司、有限责任公司或者注册个体工商户、个人独资企业、合伙企业等1家以上的；</w:t>
      </w:r>
    </w:p>
    <w:p>
      <w:pPr>
        <w:pStyle w:val="49"/>
      </w:pPr>
      <w:r>
        <w:rPr>
          <w:rFonts w:hint="eastAsia"/>
        </w:rPr>
        <w:t>存在其他隐瞒不报情形的。</w:t>
      </w:r>
    </w:p>
    <w:p>
      <w:pPr>
        <w:pStyle w:val="43"/>
        <w:spacing w:before="156" w:after="156"/>
      </w:pPr>
      <w:bookmarkStart w:id="23" w:name="_Toc49158813"/>
      <w:bookmarkStart w:id="24" w:name="_Toc118674849"/>
      <w:r>
        <w:rPr>
          <w:rFonts w:hint="eastAsia"/>
        </w:rPr>
        <w:t>查核结果处理</w:t>
      </w:r>
      <w:bookmarkEnd w:id="23"/>
      <w:bookmarkEnd w:id="24"/>
    </w:p>
    <w:p>
      <w:pPr>
        <w:pStyle w:val="147"/>
        <w:jc w:val="both"/>
      </w:pPr>
      <w:r>
        <w:rPr>
          <w:rFonts w:hint="eastAsia"/>
        </w:rPr>
        <w:t>属漏报行为，情节较轻的，应当给予批评教育、责令作出检查、限期改正等处理。</w:t>
      </w:r>
    </w:p>
    <w:p>
      <w:pPr>
        <w:pStyle w:val="147"/>
        <w:jc w:val="both"/>
      </w:pPr>
      <w:r>
        <w:rPr>
          <w:rFonts w:hint="eastAsia"/>
        </w:rPr>
        <w:t>情节较重的，应当给予诫勉、取消考察对象（后备干部人选）资格、调离岗位、改任非领导职务等处理。</w:t>
      </w:r>
    </w:p>
    <w:p>
      <w:pPr>
        <w:pStyle w:val="147"/>
        <w:jc w:val="both"/>
      </w:pPr>
      <w:r>
        <w:rPr>
          <w:rFonts w:hint="eastAsia"/>
        </w:rPr>
        <w:t>情节较重是指少报告房产面积50平方米以上，或者少报告投资金额30万元以上，或者其他漏报情形较重的。存在两种以上漏报情形的，从重处理。</w:t>
      </w:r>
    </w:p>
    <w:p>
      <w:pPr>
        <w:pStyle w:val="147"/>
        <w:jc w:val="both"/>
      </w:pPr>
      <w:r>
        <w:rPr>
          <w:rFonts w:hint="eastAsia"/>
        </w:rPr>
        <w:t>查核结果凡属隐瞒不报行为的，应当根据情节轻重，给予诚勉、取消考察对象（后备干部人选）资格、调离岗位、改任非领导职务、免职、降职等处理。</w:t>
      </w:r>
    </w:p>
    <w:p>
      <w:pPr>
        <w:pStyle w:val="147"/>
        <w:jc w:val="both"/>
      </w:pPr>
      <w:r>
        <w:rPr>
          <w:rFonts w:hint="eastAsia"/>
        </w:rPr>
        <w:t>存在两种以上隐瞒不报情形的，从重处理。</w:t>
      </w:r>
    </w:p>
    <w:p>
      <w:pPr>
        <w:pStyle w:val="46"/>
      </w:pPr>
      <w:bookmarkStart w:id="25" w:name="_Toc118674850"/>
      <w:bookmarkStart w:id="26" w:name="_Toc49158814"/>
      <w:r>
        <w:rPr>
          <w:rFonts w:hint="eastAsia"/>
        </w:rPr>
        <w:t>纪律监督</w:t>
      </w:r>
      <w:bookmarkEnd w:id="25"/>
      <w:bookmarkEnd w:id="26"/>
    </w:p>
    <w:p>
      <w:pPr>
        <w:pStyle w:val="146"/>
        <w:jc w:val="both"/>
      </w:pPr>
      <w:r>
        <w:rPr>
          <w:rFonts w:hint="eastAsia"/>
        </w:rPr>
        <w:t>组织随机抽查、查核比对、结果认定及处理应接受机关纪委监督。</w:t>
      </w:r>
    </w:p>
    <w:p>
      <w:pPr>
        <w:pStyle w:val="146"/>
      </w:pPr>
      <w:r>
        <w:rPr>
          <w:rFonts w:hint="eastAsia"/>
        </w:rPr>
        <w:t>应当把领导干部个人有关事项报告及查核结果作为衡量领导干部是否忠诚老实、清正廉洁的重要参考，运用到选拔任用、管理监督等干部工作中。</w:t>
      </w:r>
    </w:p>
    <w:p>
      <w:pPr>
        <w:pStyle w:val="149"/>
        <w:numPr>
          <w:ilvl w:val="0"/>
          <w:numId w:val="0"/>
        </w:numPr>
        <w:ind w:firstLine="420"/>
      </w:pPr>
      <w:r>
        <mc:AlternateContent>
          <mc:Choice Requires="wps">
            <w:drawing>
              <wp:anchor distT="0" distB="0" distL="114300" distR="114300" simplePos="0" relativeHeight="251666432" behindDoc="0" locked="0" layoutInCell="1" allowOverlap="1">
                <wp:simplePos x="0" y="0"/>
                <wp:positionH relativeFrom="column">
                  <wp:posOffset>2033270</wp:posOffset>
                </wp:positionH>
                <wp:positionV relativeFrom="paragraph">
                  <wp:posOffset>211455</wp:posOffset>
                </wp:positionV>
                <wp:extent cx="222885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0.1pt;margin-top:16.65pt;height:0pt;width:175.5pt;z-index:251666432;mso-width-relative:page;mso-height-relative:page;" filled="f" stroked="t" coordsize="21600,21600" o:gfxdata="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QNGYt1QAAAAkBAAAPAAAAAAAA&#10;AAEAIAAAADgAAABkcnMvZG93bnJldi54bWxQSwECFAAUAAAACACHTuJAWtXhKMYBAABjAwAADgAA&#10;AAAAAAABACAAAAA6AQAAZHJzL2Uyb0RvYy54bWxQSwUGAAAAAAYABgBZAQAAcgUAAAAA&#10;">
                <v:fill on="f" focussize="0,0"/>
                <v:stroke weight="0.5pt" color="#000000 [3200]"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22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RS.</w:t>
    </w:r>
    <w:r>
      <w:rPr>
        <w:rFonts w:hint="eastAsia"/>
        <w:lang w:val="en-US" w:eastAsia="zh-CN"/>
      </w:rPr>
      <w:t>420.</w:t>
    </w:r>
    <w:r>
      <w:t>019—2022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671E4"/>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1E7A"/>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4D6"/>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367B"/>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87581"/>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8DD"/>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7F8"/>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24"/>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DF24ED6"/>
    <w:rsid w:val="138B447A"/>
    <w:rsid w:val="24DA47CF"/>
    <w:rsid w:val="2EA8435B"/>
    <w:rsid w:val="33251C93"/>
    <w:rsid w:val="4590011C"/>
    <w:rsid w:val="52331739"/>
    <w:rsid w:val="6154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7</Pages>
  <Words>2897</Words>
  <Characters>2957</Characters>
  <Lines>30</Lines>
  <Paragraphs>8</Paragraphs>
  <TotalTime>1</TotalTime>
  <ScaleCrop>false</ScaleCrop>
  <LinksUpToDate>false</LinksUpToDate>
  <CharactersWithSpaces>3109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2022-11-07T00:23:00Z</dcterms:created>
  <dc:creator>lenovo</dc:creator>
  <cp:lastModifiedBy>kylin</cp:lastModifiedBy>
  <dcterms:modified xsi:type="dcterms:W3CDTF">2023-03-19T11:23:05Z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