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主题党日制度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6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9518022"/>
      <w:bookmarkStart w:id="3" w:name="_Toc475694823"/>
      <w:r>
        <w:tab/>
      </w:r>
      <w:bookmarkStart w:id="4" w:name="_Toc118203786"/>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主题党日制度</w:t>
      </w:r>
    </w:p>
    <w:p>
      <w:pPr>
        <w:pStyle w:val="46"/>
      </w:pPr>
      <w:bookmarkStart w:id="6" w:name="_Toc118203787"/>
      <w:r>
        <w:rPr>
          <w:rFonts w:hint="eastAsia"/>
        </w:rPr>
        <w:t>范围</w:t>
      </w:r>
      <w:bookmarkEnd w:id="6"/>
    </w:p>
    <w:p>
      <w:pPr>
        <w:pStyle w:val="25"/>
        <w:tabs>
          <w:tab w:val="clear" w:pos="4201"/>
          <w:tab w:val="clear" w:pos="9298"/>
        </w:tabs>
      </w:pPr>
      <w:r>
        <w:rPr>
          <w:rFonts w:hint="eastAsia"/>
        </w:rPr>
        <w:t>本文件规定了主题党日的</w:t>
      </w:r>
      <w:r>
        <w:t>总体原则、</w:t>
      </w:r>
      <w:r>
        <w:rPr>
          <w:rFonts w:hint="eastAsia"/>
        </w:rPr>
        <w:t>党员大会、党支部委员会议、党小组会议和党课的</w:t>
      </w:r>
      <w:r>
        <w:t>要求</w:t>
      </w:r>
      <w:r>
        <w:rPr>
          <w:rFonts w:hint="eastAsia"/>
        </w:rPr>
        <w:t>。</w:t>
      </w:r>
    </w:p>
    <w:p>
      <w:pPr>
        <w:pStyle w:val="25"/>
      </w:pPr>
      <w:r>
        <w:rPr>
          <w:rFonts w:hint="eastAsia"/>
        </w:rPr>
        <w:t>本文件适用于主题党日管理。</w:t>
      </w:r>
    </w:p>
    <w:p>
      <w:pPr>
        <w:pStyle w:val="46"/>
      </w:pPr>
      <w:bookmarkStart w:id="7" w:name="_Toc11820378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17" w:name="_GoBack"/>
      <w:bookmarkEnd w:id="17"/>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789"/>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790"/>
      <w:r>
        <w:rPr>
          <w:rFonts w:hint="eastAsia"/>
        </w:rPr>
        <w:t>主要内容</w:t>
      </w:r>
      <w:bookmarkEnd w:id="9"/>
    </w:p>
    <w:p>
      <w:pPr>
        <w:pStyle w:val="25"/>
      </w:pPr>
      <w:r>
        <w:rPr>
          <w:rFonts w:hint="eastAsia"/>
        </w:rPr>
        <w:t>党日活动的主要内容包括思想教育、义务劳动、参观考察、给党员过政治生日、影视教育、知识竞赛等。</w:t>
      </w:r>
    </w:p>
    <w:p>
      <w:pPr>
        <w:pStyle w:val="46"/>
      </w:pPr>
      <w:bookmarkStart w:id="10" w:name="_Toc118203791"/>
      <w:r>
        <w:rPr>
          <w:rFonts w:hint="eastAsia"/>
        </w:rPr>
        <w:t>活动时间</w:t>
      </w:r>
      <w:bookmarkEnd w:id="10"/>
    </w:p>
    <w:p>
      <w:pPr>
        <w:pStyle w:val="25"/>
      </w:pPr>
      <w:r>
        <w:rPr>
          <w:rFonts w:hint="eastAsia"/>
        </w:rPr>
        <w:t>根据实际情况需要，每月第一周的周五下午组织全体党员参加。</w:t>
      </w:r>
    </w:p>
    <w:p>
      <w:pPr>
        <w:pStyle w:val="46"/>
      </w:pPr>
      <w:bookmarkStart w:id="11" w:name="_Toc118203792"/>
      <w:r>
        <w:rPr>
          <w:rFonts w:hint="eastAsia"/>
        </w:rPr>
        <w:t>活动方式</w:t>
      </w:r>
      <w:bookmarkEnd w:id="11"/>
    </w:p>
    <w:p>
      <w:pPr>
        <w:pStyle w:val="25"/>
      </w:pPr>
      <w:r>
        <w:rPr>
          <w:rFonts w:hint="eastAsia"/>
        </w:rPr>
        <w:t>党日活动主要以党支部为单位进行，也可以党小组为单位进行。</w:t>
      </w:r>
    </w:p>
    <w:p>
      <w:pPr>
        <w:pStyle w:val="46"/>
      </w:pPr>
      <w:bookmarkStart w:id="12" w:name="_Toc118203793"/>
      <w:r>
        <w:rPr>
          <w:rFonts w:hint="eastAsia"/>
        </w:rPr>
        <w:t>活动要求</w:t>
      </w:r>
      <w:bookmarkEnd w:id="12"/>
    </w:p>
    <w:p>
      <w:pPr>
        <w:pStyle w:val="43"/>
        <w:spacing w:before="156" w:after="156"/>
      </w:pPr>
      <w:bookmarkStart w:id="13" w:name="_Toc118203794"/>
      <w:r>
        <w:rPr>
          <w:rFonts w:hint="eastAsia"/>
        </w:rPr>
        <w:t>科学安排</w:t>
      </w:r>
      <w:bookmarkEnd w:id="13"/>
    </w:p>
    <w:p>
      <w:pPr>
        <w:pStyle w:val="25"/>
      </w:pPr>
      <w:r>
        <w:rPr>
          <w:rFonts w:hint="eastAsia"/>
        </w:rPr>
        <w:t>党支部应把党日活动安排纳入党员教育管理的总体部署，立足于本支部的实际确定活动内容。根据上级要求，结合实际情况，每月制定一次党日活动计划。</w:t>
      </w:r>
    </w:p>
    <w:p>
      <w:pPr>
        <w:pStyle w:val="43"/>
        <w:spacing w:before="156" w:after="156"/>
      </w:pPr>
      <w:bookmarkStart w:id="14" w:name="_Toc118203795"/>
      <w:r>
        <w:rPr>
          <w:rFonts w:hint="eastAsia"/>
        </w:rPr>
        <w:t>抓好落实</w:t>
      </w:r>
      <w:bookmarkEnd w:id="14"/>
    </w:p>
    <w:p>
      <w:pPr>
        <w:pStyle w:val="25"/>
      </w:pPr>
      <w:r>
        <w:rPr>
          <w:rFonts w:hint="eastAsia"/>
        </w:rPr>
        <w:t>党日活动要充分体现党组织的先进性，突出活动的思想性和政治性，充分发挥党日活动对党员教育管理的特殊功能，克服党日活动娱乐化、庸俗化倾向。党日活动要严密组织，高度重视。党日活动时间要落实好，不能随意占用。要抓好人员落实，党日时间一般不安排党员从事其他工作。</w:t>
      </w:r>
    </w:p>
    <w:p>
      <w:pPr>
        <w:pStyle w:val="43"/>
        <w:spacing w:before="156" w:after="156"/>
      </w:pPr>
      <w:bookmarkStart w:id="15" w:name="_Toc118203796"/>
      <w:r>
        <w:rPr>
          <w:rFonts w:hint="eastAsia"/>
        </w:rPr>
        <w:t>注重实效</w:t>
      </w:r>
      <w:bookmarkEnd w:id="15"/>
    </w:p>
    <w:p>
      <w:pPr>
        <w:pStyle w:val="25"/>
      </w:pPr>
      <w:r>
        <w:rPr>
          <w:rFonts w:hint="eastAsia"/>
        </w:rPr>
        <w:t>党日活动的内容，要增强目的性，注重全面性，做到系统性，照顾层次性。党日活动要高格调、高起点，注重贴近党员思想实际，敢于揭露矛盾，敢于思想交锋，敢于开展批评与自我批评，坚持党组织生活的原则性、战斗性。要维护党日组织生活的严肃性。党支部要经常研究分析党日组织生活情况，及时解决存在的问题，不断提高党日活动的质量与效果。</w:t>
      </w:r>
    </w:p>
    <w:p>
      <w:pPr>
        <w:pStyle w:val="43"/>
        <w:spacing w:before="156" w:after="156"/>
      </w:pPr>
      <w:bookmarkStart w:id="16" w:name="_Toc118203797"/>
      <w:r>
        <w:rPr>
          <w:rFonts w:hint="eastAsia"/>
        </w:rPr>
        <w:t>严格考勤</w:t>
      </w:r>
      <w:bookmarkEnd w:id="16"/>
    </w:p>
    <w:p>
      <w:pPr>
        <w:pStyle w:val="25"/>
      </w:pPr>
      <w:r>
        <w:rPr>
          <w:rFonts w:hint="eastAsia"/>
        </w:rPr>
        <w:t>党支部要建立党员参加党日活动考勤制度，并把党员参加党日活动情况作为民主评议党员的重要内容之一。</w:t>
      </w:r>
    </w:p>
    <w:p>
      <w:pPr>
        <w:pStyle w:val="46"/>
        <w:numPr>
          <w:ilvl w:val="0"/>
          <w:numId w:val="0"/>
        </w:numPr>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006</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142"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0F4F16"/>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08E"/>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0B76"/>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31A0"/>
    <w:rsid w:val="00FE4D17"/>
    <w:rsid w:val="00FE57AB"/>
    <w:rsid w:val="00FE7D7F"/>
    <w:rsid w:val="00FF04A9"/>
    <w:rsid w:val="2EA8435B"/>
    <w:rsid w:val="33251C93"/>
    <w:rsid w:val="4590011C"/>
    <w:rsid w:val="52331739"/>
    <w:rsid w:val="6FF70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363</Words>
  <Characters>2075</Characters>
  <Lines>17</Lines>
  <Paragraphs>4</Paragraphs>
  <TotalTime>0</TotalTime>
  <ScaleCrop>false</ScaleCrop>
  <LinksUpToDate>false</LinksUpToDate>
  <CharactersWithSpaces>2434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2022-11-01T11:04:00Z</dcterms:created>
  <dc:creator>路源</dc:creator>
  <cp:lastModifiedBy>kylin</cp:lastModifiedBy>
  <cp:lastPrinted>2020-10-13T15:25:00Z</cp:lastPrinted>
  <dcterms:modified xsi:type="dcterms:W3CDTF">2023-03-19T11:46:25Z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