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016—2022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hanging="142"/>
      </w:pPr>
      <w:r>
        <w:rPr>
          <w:rFonts w:hint="eastAsia"/>
        </w:rPr>
        <w:t>干部廉政承诺制度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308"/>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18201115"/>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党员干部廉政党课制度</w:t>
      </w:r>
    </w:p>
    <w:p>
      <w:pPr>
        <w:pStyle w:val="46"/>
      </w:pPr>
      <w:bookmarkStart w:id="6" w:name="_Toc118201116"/>
      <w:r>
        <w:rPr>
          <w:rFonts w:hint="eastAsia"/>
        </w:rPr>
        <w:t>范围</w:t>
      </w:r>
      <w:bookmarkEnd w:id="6"/>
    </w:p>
    <w:p>
      <w:pPr>
        <w:pStyle w:val="25"/>
        <w:tabs>
          <w:tab w:val="clear" w:pos="4201"/>
          <w:tab w:val="clear" w:pos="9298"/>
        </w:tabs>
      </w:pPr>
      <w:r>
        <w:rPr>
          <w:rFonts w:hint="eastAsia"/>
        </w:rPr>
        <w:t>本文件规定了党员干部廉政党课的总体原则</w:t>
      </w:r>
      <w:r>
        <w:t>、</w:t>
      </w:r>
      <w:r>
        <w:rPr>
          <w:rFonts w:hint="eastAsia"/>
        </w:rPr>
        <w:t>工作要求。</w:t>
      </w:r>
    </w:p>
    <w:p>
      <w:pPr>
        <w:pStyle w:val="25"/>
      </w:pPr>
      <w:r>
        <w:rPr>
          <w:rFonts w:hint="eastAsia"/>
        </w:rPr>
        <w:t>本文件适用于党员干部廉政党课工作。</w:t>
      </w:r>
    </w:p>
    <w:p>
      <w:pPr>
        <w:pStyle w:val="46"/>
      </w:pPr>
      <w:bookmarkStart w:id="7" w:name="_Toc11820111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1118"/>
      <w:r>
        <w:rPr>
          <w:rFonts w:hint="eastAsia"/>
        </w:rPr>
        <w:t>术语和定义</w:t>
      </w:r>
      <w:bookmarkEnd w:id="8"/>
    </w:p>
    <w:p>
      <w:pPr>
        <w:pStyle w:val="25"/>
        <w:rPr>
          <w:color w:val="000000"/>
        </w:rPr>
      </w:pPr>
      <w:r>
        <w:rPr>
          <w:rFonts w:hint="eastAsia"/>
          <w:color w:val="000000"/>
        </w:rPr>
        <w:t>下列术语和定义适用于本文件。</w:t>
      </w:r>
      <w:bookmarkStart w:id="11" w:name="_GoBack"/>
      <w:bookmarkEnd w:id="11"/>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1119"/>
      <w:r>
        <w:rPr>
          <w:rFonts w:hint="eastAsia"/>
        </w:rPr>
        <w:t>总体原则</w:t>
      </w:r>
      <w:bookmarkEnd w:id="9"/>
    </w:p>
    <w:p>
      <w:pPr>
        <w:pStyle w:val="25"/>
      </w:pPr>
      <w:r>
        <w:rPr>
          <w:rFonts w:hint="eastAsia"/>
        </w:rPr>
        <w:t>廉政党课是对党员、特别是党员领导干部进行党性教育、党的基本知识教育、廉政教育以及其他经常性教育的主要形式，是领导干部在领导工作中的一项重要工作。</w:t>
      </w:r>
    </w:p>
    <w:p>
      <w:pPr>
        <w:pStyle w:val="46"/>
      </w:pPr>
      <w:bookmarkStart w:id="10" w:name="_Toc118201120"/>
      <w:r>
        <w:rPr>
          <w:rFonts w:hint="eastAsia"/>
        </w:rPr>
        <w:t>工作要求</w:t>
      </w:r>
      <w:bookmarkEnd w:id="10"/>
    </w:p>
    <w:p>
      <w:pPr>
        <w:pStyle w:val="146"/>
      </w:pPr>
      <w:r>
        <w:rPr>
          <w:rFonts w:hint="eastAsia"/>
        </w:rPr>
        <w:t>廉政党课由机关党委组织进行，领导干部尤其是主要领导干部要亲自授课。</w:t>
      </w:r>
    </w:p>
    <w:p>
      <w:pPr>
        <w:pStyle w:val="146"/>
      </w:pPr>
      <w:r>
        <w:rPr>
          <w:rFonts w:hint="eastAsia"/>
        </w:rPr>
        <w:t>廉政党课教育中要重点做好以下工作。</w:t>
      </w:r>
    </w:p>
    <w:p>
      <w:pPr>
        <w:pStyle w:val="60"/>
      </w:pPr>
      <w:r>
        <w:rPr>
          <w:rFonts w:hint="eastAsia"/>
        </w:rPr>
        <w:t>对党员特别是党员干部的现状进行了解和分析，找出党员、党员干部思想中带有普遍性、倾向性的问题，增强教育的针对性。</w:t>
      </w:r>
    </w:p>
    <w:p>
      <w:pPr>
        <w:pStyle w:val="60"/>
      </w:pPr>
      <w:r>
        <w:rPr>
          <w:rFonts w:hint="eastAsia"/>
        </w:rPr>
        <w:t>按照党课安排，及时组织党员、党员干部准时参加廉政党课教育，确保全员参加。</w:t>
      </w:r>
    </w:p>
    <w:p>
      <w:pPr>
        <w:pStyle w:val="60"/>
      </w:pPr>
      <w:r>
        <w:rPr>
          <w:rFonts w:hint="eastAsia"/>
        </w:rPr>
        <w:t>要求党员、党员干部要认真做好记录，课后，要组织好讨论，不流于形式，不走过场。</w:t>
      </w:r>
    </w:p>
    <w:p>
      <w:pPr>
        <w:pStyle w:val="60"/>
      </w:pPr>
      <w:r>
        <w:rPr>
          <w:rFonts w:hint="eastAsia"/>
        </w:rPr>
        <w:t>注意收集党员、党员干部对廉政党课内容的反响，包括提高廉政党课质量的意见和建议，不断提高廉政党课质量和效果。</w:t>
      </w:r>
    </w:p>
    <w:p>
      <w:pPr>
        <w:pStyle w:val="146"/>
      </w:pPr>
      <w:r>
        <w:rPr>
          <w:rFonts w:hint="eastAsia"/>
        </w:rPr>
        <w:t>制定科学廉政党课教育方案，纳入工作计划，落实每季一次的廉政党课制度。廉政党课主要以贯彻落实上级党组织有关党风廉政建设的文件、指示、会议精神为主要内容，结合机关后勤工作实际开展教育。廉政党课要围绕全市中心工作，结合工作特点，突出基本国情的教育，经济发展战略的教育，社会主义根本任务的教育和国际国内形势的教育，围绕党在一定时期的路线、方针、政策，开展廉政教育。要根据上级党组织选定的课本或提供的教育材料，确定廉政讲课内容。</w:t>
      </w:r>
    </w:p>
    <w:p>
      <w:pPr>
        <w:pStyle w:val="146"/>
      </w:pPr>
      <w:r>
        <w:rPr>
          <w:rFonts w:hint="eastAsia"/>
        </w:rPr>
        <w:t>促进廉政党课教育多样化。采取社会调查、参观学习、知识测验等形式，尽可能使廉政党课上得生动活泼，寓教育于活动之中，收到事半功倍的效果。</w:t>
      </w:r>
    </w:p>
    <w:p>
      <w:pPr>
        <w:pStyle w:val="25"/>
      </w:pPr>
    </w:p>
    <w:p>
      <w:pPr>
        <w:pStyle w:val="131"/>
        <w:framePr w:y="1"/>
        <w:ind w:firstLine="1050"/>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016</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0215"/>
    <w:rsid w:val="00445A1D"/>
    <w:rsid w:val="00446B29"/>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19C6"/>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2C9"/>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E7BD2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303</Words>
  <Characters>1728</Characters>
  <Lines>14</Lines>
  <Paragraphs>4</Paragraphs>
  <TotalTime>0</TotalTime>
  <ScaleCrop>false</ScaleCrop>
  <LinksUpToDate>false</LinksUpToDate>
  <CharactersWithSpaces>2027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2022-11-01T13:13:00Z</dcterms:created>
  <dc:creator>路源</dc:creator>
  <cp:lastModifiedBy>kylin</cp:lastModifiedBy>
  <cp:lastPrinted>2020-10-13T15:25:00Z</cp:lastPrinted>
  <dcterms:modified xsi:type="dcterms:W3CDTF">2023-03-19T12:05:05Z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