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pPr>
      <w:r>
        <w:rPr>
          <w:rFonts w:hint="eastAsia" w:ascii="Times New Roman"/>
        </w:rPr>
        <w:t>标准</w:t>
      </w:r>
      <w:r>
        <w:rPr>
          <w:rFonts w:ascii="Times New Roman"/>
        </w:rPr>
        <w:t>体系</w:t>
      </w:r>
      <w:r>
        <w:rPr>
          <w:rFonts w:hint="eastAsia" w:ascii="Times New Roman"/>
        </w:rPr>
        <w:t>编号</w:t>
      </w:r>
      <w:r>
        <w:rPr>
          <w:rFonts w:hAnsi="黑体"/>
        </w:rPr>
        <w:t>：DJ</w:t>
      </w:r>
    </w:p>
    <w:p>
      <w:pPr>
        <w:pStyle w:val="124"/>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rPr>
          <w:w w:val="100"/>
        </w:rPr>
      </w:pPr>
      <w:bookmarkStart w:id="0" w:name="c3"/>
      <w:r>
        <w:rPr>
          <w:rFonts w:hint="eastAsia"/>
          <w:w w:val="100"/>
        </w:rPr>
        <w:t>邢</w:t>
      </w:r>
      <w:r>
        <w:rPr>
          <w:w w:val="100"/>
        </w:rPr>
        <w:t>JG</w:t>
      </w:r>
      <w:bookmarkEnd w:id="0"/>
    </w:p>
    <w:p>
      <w:pPr>
        <w:pStyle w:val="111"/>
      </w:pPr>
      <w:r>
        <w:rPr>
          <w:rFonts w:hint="eastAsia"/>
        </w:rPr>
        <w:t>邢台市机关后勤服务标准</w:t>
      </w:r>
    </w:p>
    <w:p>
      <w:pPr>
        <w:pStyle w:val="48"/>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021—2022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rPr>
          <w:rFonts w:hAnsi="黑体"/>
        </w:rPr>
      </w:pPr>
    </w:p>
    <w:p>
      <w:pPr>
        <w:pStyle w:val="48"/>
        <w:rPr>
          <w:rFonts w:hAnsi="黑体"/>
        </w:rPr>
      </w:pPr>
    </w:p>
    <w:p>
      <w:pPr>
        <w:pStyle w:val="79"/>
        <w:framePr w:x="1361" w:y="6331"/>
        <w:ind w:hanging="142"/>
      </w:pPr>
      <w:r>
        <w:rPr>
          <w:rFonts w:hint="eastAsia"/>
        </w:rPr>
        <w:t>机关纪委运用监督执纪“四种形态”规范</w:t>
      </w:r>
    </w:p>
    <w:p>
      <w:pPr>
        <w:pStyle w:val="81"/>
        <w:framePr w:x="1361" w:y="633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x="1361" w:y="6331"/>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x="1361" w:y="6331"/>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pPr>
      <w:r>
        <w:rPr>
          <w:rFonts w:hint="eastAsia"/>
        </w:rPr>
        <w:t>邢台市机关后勤服务中心</w:t>
      </w:r>
      <w:r>
        <w:rPr>
          <w:rFonts w:hAnsi="黑体"/>
        </w:rPr>
        <w:t> </w:t>
      </w:r>
      <w:r>
        <w:rPr>
          <w:rStyle w:val="74"/>
          <w:rFonts w:hint="eastAsia"/>
        </w:rPr>
        <w:t>发布</w:t>
      </w:r>
    </w:p>
    <w:p>
      <w:pPr>
        <w:pStyle w:val="25"/>
        <w:sectPr>
          <w:headerReference r:id="rId3" w:type="default"/>
          <w:footerReference r:id="rId4" w:type="default"/>
          <w:pgSz w:w="11906" w:h="16838"/>
          <w:pgMar w:top="567" w:right="850" w:bottom="1134" w:left="1418" w:header="0" w:footer="0" w:gutter="0"/>
          <w:pgNumType w:fmt="decimal" w:start="332"/>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tabs>
          <w:tab w:val="center" w:pos="4677"/>
          <w:tab w:val="right" w:pos="9354"/>
        </w:tabs>
        <w:jc w:val="left"/>
      </w:pPr>
      <w:bookmarkStart w:id="2" w:name="_Toc49518022"/>
      <w:bookmarkStart w:id="3" w:name="_Toc475694823"/>
      <w:r>
        <w:tab/>
      </w:r>
      <w:bookmarkStart w:id="4" w:name="_Toc121246281"/>
      <w:r>
        <w:rPr>
          <w:rFonts w:hint="eastAsia"/>
        </w:rPr>
        <w:t>前</w:t>
      </w:r>
      <w:bookmarkStart w:id="5" w:name="BKQY"/>
      <w:r>
        <w:rPr>
          <w:rFonts w:hAnsi="黑体"/>
        </w:rPr>
        <w:t>  </w:t>
      </w:r>
      <w:r>
        <w:rPr>
          <w:rFonts w:hint="eastAsia"/>
        </w:rPr>
        <w:t>言</w:t>
      </w:r>
      <w:bookmarkEnd w:id="2"/>
      <w:bookmarkEnd w:id="3"/>
      <w:bookmarkEnd w:id="4"/>
      <w:bookmarkEnd w:id="5"/>
      <w:r>
        <w:tab/>
      </w:r>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中心机关纪委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机关纪委运用监督执纪“四种形态”规范</w:t>
      </w:r>
    </w:p>
    <w:p>
      <w:pPr>
        <w:pStyle w:val="46"/>
      </w:pPr>
      <w:bookmarkStart w:id="6" w:name="_Toc121246282"/>
      <w:r>
        <w:rPr>
          <w:rFonts w:hint="eastAsia"/>
        </w:rPr>
        <w:t>范围</w:t>
      </w:r>
      <w:bookmarkEnd w:id="6"/>
    </w:p>
    <w:p>
      <w:pPr>
        <w:pStyle w:val="25"/>
        <w:tabs>
          <w:tab w:val="clear" w:pos="4201"/>
          <w:tab w:val="clear" w:pos="9298"/>
        </w:tabs>
      </w:pPr>
      <w:r>
        <w:rPr>
          <w:rFonts w:hint="eastAsia"/>
        </w:rPr>
        <w:t>本文件规定了机关纪委运用监督执纪“四种形态”的总体要求、适用情形和转化要求。</w:t>
      </w:r>
    </w:p>
    <w:p>
      <w:pPr>
        <w:pStyle w:val="25"/>
      </w:pPr>
      <w:r>
        <w:rPr>
          <w:rFonts w:hint="eastAsia"/>
        </w:rPr>
        <w:t>本文件适用于机关纪委运用监督执纪“四种形态”。</w:t>
      </w:r>
    </w:p>
    <w:p>
      <w:pPr>
        <w:pStyle w:val="46"/>
      </w:pPr>
      <w:bookmarkStart w:id="7" w:name="_Toc121246283"/>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rFonts w:hint="eastAsia"/>
        </w:rPr>
      </w:pPr>
      <w:r>
        <w:rPr>
          <w:rFonts w:hint="eastAsia"/>
        </w:rPr>
        <w:t>《中国共产党廉洁自律准则》</w:t>
      </w:r>
    </w:p>
    <w:p>
      <w:pPr>
        <w:pStyle w:val="25"/>
        <w:rPr>
          <w:rFonts w:hint="eastAsia"/>
        </w:rPr>
      </w:pPr>
      <w:r>
        <w:rPr>
          <w:rFonts w:hint="eastAsia"/>
        </w:rPr>
        <w:t>《中国共产党纪律处分条例》</w:t>
      </w:r>
    </w:p>
    <w:p>
      <w:pPr>
        <w:pStyle w:val="25"/>
        <w:rPr>
          <w:rFonts w:hint="eastAsia"/>
        </w:rPr>
      </w:pPr>
      <w:r>
        <w:rPr>
          <w:rFonts w:hint="eastAsia"/>
        </w:rPr>
        <w:t>《中国共产党问责条例》</w:t>
      </w:r>
    </w:p>
    <w:p>
      <w:pPr>
        <w:pStyle w:val="25"/>
        <w:rPr>
          <w:rFonts w:hint="eastAsia"/>
        </w:rPr>
      </w:pPr>
      <w:r>
        <w:rPr>
          <w:rFonts w:hint="eastAsia"/>
        </w:rPr>
        <w:t>《中国共产党党内监督条例》</w:t>
      </w:r>
    </w:p>
    <w:p>
      <w:pPr>
        <w:pStyle w:val="25"/>
        <w:rPr>
          <w:rFonts w:hint="eastAsia"/>
        </w:rPr>
      </w:pPr>
      <w:r>
        <w:rPr>
          <w:rFonts w:hint="eastAsia"/>
        </w:rPr>
        <w:t>《党政领导干部选拔任用工作条例》</w:t>
      </w:r>
    </w:p>
    <w:p>
      <w:pPr>
        <w:pStyle w:val="25"/>
      </w:pPr>
      <w:r>
        <w:rPr>
          <w:rFonts w:hint="eastAsia"/>
        </w:rPr>
        <w:t>《关于推进领导干部能上能下的若干规定（试行）》</w:t>
      </w:r>
    </w:p>
    <w:p>
      <w:pPr>
        <w:pStyle w:val="46"/>
      </w:pPr>
      <w:bookmarkStart w:id="8" w:name="_Toc121246284"/>
      <w:r>
        <w:rPr>
          <w:rFonts w:hint="eastAsia"/>
        </w:rPr>
        <w:t>术语和定义</w:t>
      </w:r>
      <w:bookmarkEnd w:id="8"/>
    </w:p>
    <w:p>
      <w:pPr>
        <w:pStyle w:val="25"/>
        <w:rPr>
          <w:rFonts w:ascii="Tahoma" w:hAnsi="Tahoma" w:cs="Tahoma"/>
          <w:color w:val="000000"/>
          <w:szCs w:val="21"/>
          <w:shd w:val="clear" w:color="auto" w:fill="FFFFFF"/>
        </w:rPr>
      </w:pPr>
      <w:r>
        <w:rPr>
          <w:rFonts w:hint="eastAsia"/>
          <w:color w:val="000000"/>
        </w:rPr>
        <w:t>本文件没有需要界定的术语和定义。</w:t>
      </w:r>
    </w:p>
    <w:p>
      <w:pPr>
        <w:pStyle w:val="46"/>
      </w:pPr>
      <w:bookmarkStart w:id="9" w:name="_Toc121246285"/>
      <w:r>
        <w:rPr>
          <w:rFonts w:hint="eastAsia"/>
        </w:rPr>
        <w:t>总体</w:t>
      </w:r>
      <w:r>
        <w:t>要求</w:t>
      </w:r>
      <w:bookmarkEnd w:id="9"/>
    </w:p>
    <w:p>
      <w:pPr>
        <w:pStyle w:val="25"/>
        <w:rPr>
          <w:color w:val="000000"/>
        </w:rPr>
      </w:pPr>
      <w:r>
        <w:rPr>
          <w:rFonts w:hint="eastAsia"/>
          <w:color w:val="000000"/>
        </w:rPr>
        <w:t>党内监督必须把纪律挺在前面，运用好监督执纪“四种形态”：</w:t>
      </w:r>
    </w:p>
    <w:p>
      <w:pPr>
        <w:pStyle w:val="49"/>
      </w:pPr>
      <w:r>
        <w:rPr>
          <w:rFonts w:hint="eastAsia"/>
        </w:rPr>
        <w:t>经常开展批评和自我批评、约谈函询，让“红红脸、出出汗”成为常态；</w:t>
      </w:r>
    </w:p>
    <w:p>
      <w:pPr>
        <w:pStyle w:val="49"/>
      </w:pPr>
      <w:r>
        <w:rPr>
          <w:rFonts w:hint="eastAsia"/>
        </w:rPr>
        <w:t>党纪轻处分、组织调整成为违纪处理的大多数；</w:t>
      </w:r>
    </w:p>
    <w:p>
      <w:pPr>
        <w:pStyle w:val="49"/>
      </w:pPr>
      <w:r>
        <w:rPr>
          <w:rFonts w:hint="eastAsia"/>
        </w:rPr>
        <w:t>党纪重处分、重大职务调整的成为少数；</w:t>
      </w:r>
    </w:p>
    <w:p>
      <w:pPr>
        <w:pStyle w:val="49"/>
        <w:rPr>
          <w:rFonts w:hint="eastAsia"/>
        </w:rPr>
      </w:pPr>
      <w:r>
        <w:rPr>
          <w:rFonts w:hint="eastAsia"/>
        </w:rPr>
        <w:t>严重违纪涉嫌违法立案审查的成为极少数。</w:t>
      </w:r>
    </w:p>
    <w:p>
      <w:pPr>
        <w:pStyle w:val="46"/>
      </w:pPr>
      <w:bookmarkStart w:id="10" w:name="_Toc121246286"/>
      <w:r>
        <w:rPr>
          <w:rFonts w:hint="eastAsia"/>
        </w:rPr>
        <w:t>适用情形</w:t>
      </w:r>
      <w:bookmarkEnd w:id="10"/>
    </w:p>
    <w:p>
      <w:pPr>
        <w:pStyle w:val="146"/>
        <w:ind w:left="0"/>
      </w:pPr>
      <w:r>
        <w:rPr>
          <w:rFonts w:hint="eastAsia"/>
        </w:rPr>
        <w:t>有下列情形之一的，运用第一种形态，主要采用提醒谈话、函询、在民主生活会（组织生活会）上作说明、责令检查、批评教育、通报、诫勉等方式进行：</w:t>
      </w:r>
    </w:p>
    <w:p>
      <w:pPr>
        <w:pStyle w:val="49"/>
      </w:pPr>
      <w:r>
        <w:rPr>
          <w:rFonts w:hint="eastAsia"/>
        </w:rPr>
        <w:t>党内组织生活开展不正常，党员不正确履行党员义务，不正常参加党内组织生活，批评和自我批评轻描淡写的；</w:t>
      </w:r>
    </w:p>
    <w:p>
      <w:pPr>
        <w:pStyle w:val="49"/>
      </w:pPr>
      <w:r>
        <w:rPr>
          <w:rFonts w:hint="eastAsia"/>
        </w:rPr>
        <w:t>在年度目标责任制考核中被确定为基本称职等次的；</w:t>
      </w:r>
    </w:p>
    <w:p>
      <w:pPr>
        <w:pStyle w:val="49"/>
      </w:pPr>
      <w:r>
        <w:rPr>
          <w:rFonts w:hint="eastAsia"/>
        </w:rPr>
        <w:t>在思想、工作、作风、纪律等方面存在苗头性、倾向性问题的；</w:t>
      </w:r>
    </w:p>
    <w:p>
      <w:pPr>
        <w:pStyle w:val="49"/>
      </w:pPr>
      <w:r>
        <w:rPr>
          <w:rFonts w:hint="eastAsia"/>
        </w:rPr>
        <w:t>无正当理由不按时报告、不如实报告个人有关事项，情节轻微的；</w:t>
      </w:r>
    </w:p>
    <w:p>
      <w:pPr>
        <w:pStyle w:val="49"/>
      </w:pPr>
      <w:r>
        <w:rPr>
          <w:rFonts w:hint="eastAsia"/>
        </w:rPr>
        <w:t>个人行为与党员身份不相符，违背社会公德、职业道德、家庭美德，情节轻微的；</w:t>
      </w:r>
    </w:p>
    <w:p>
      <w:pPr>
        <w:pStyle w:val="49"/>
      </w:pPr>
      <w:r>
        <w:rPr>
          <w:rFonts w:hint="eastAsia"/>
        </w:rPr>
        <w:t>违反中央八项规定精神或存在“四风”问题，情节轻微的；</w:t>
      </w:r>
    </w:p>
    <w:p>
      <w:pPr>
        <w:pStyle w:val="49"/>
      </w:pPr>
      <w:r>
        <w:rPr>
          <w:rFonts w:hint="eastAsia"/>
        </w:rPr>
        <w:t>党员领导干部执行民主集中制不严格，应由集体决策事项个人擅自决定或者在领导班子中闹无原则纠纷的；</w:t>
      </w:r>
    </w:p>
    <w:p>
      <w:pPr>
        <w:pStyle w:val="49"/>
      </w:pPr>
      <w:r>
        <w:rPr>
          <w:rFonts w:hint="eastAsia"/>
        </w:rPr>
        <w:t>执行《党政领导干部选拔任用工作条例》不严格，造成干部“带病提拔”的；</w:t>
      </w:r>
    </w:p>
    <w:p>
      <w:pPr>
        <w:pStyle w:val="49"/>
      </w:pPr>
      <w:r>
        <w:rPr>
          <w:rFonts w:hint="eastAsia"/>
        </w:rPr>
        <w:t>脱离实际、弄虚作假，损害群众利益和党群干群关系的；</w:t>
      </w:r>
    </w:p>
    <w:p>
      <w:pPr>
        <w:pStyle w:val="49"/>
      </w:pPr>
      <w:r>
        <w:rPr>
          <w:rFonts w:hint="eastAsia"/>
        </w:rPr>
        <w:t>其他运用第一种形态的情形。</w:t>
      </w:r>
    </w:p>
    <w:p>
      <w:pPr>
        <w:pStyle w:val="146"/>
        <w:ind w:left="0"/>
        <w:jc w:val="both"/>
      </w:pPr>
      <w:r>
        <w:rPr>
          <w:rFonts w:hint="eastAsia"/>
        </w:rPr>
        <w:t>有下列情形之一的，运用第二种形态，主要采用党内警告、党内严重警告、停职检查、调整职务等方式进行：</w:t>
      </w:r>
    </w:p>
    <w:p>
      <w:pPr>
        <w:pStyle w:val="49"/>
      </w:pPr>
      <w:r>
        <w:rPr>
          <w:rFonts w:hint="eastAsia"/>
        </w:rPr>
        <w:t>党员领导干部履行“一岗双责”不到位，导致职责范围内的部门或者工作人员发生严重违纪违法行为的；</w:t>
      </w:r>
    </w:p>
    <w:p>
      <w:pPr>
        <w:pStyle w:val="49"/>
      </w:pPr>
      <w:r>
        <w:rPr>
          <w:rFonts w:hint="eastAsia"/>
        </w:rPr>
        <w:t>违反中央八项规定精神或存在“四风”问题，情节较重的；</w:t>
      </w:r>
    </w:p>
    <w:p>
      <w:pPr>
        <w:pStyle w:val="49"/>
      </w:pPr>
      <w:r>
        <w:rPr>
          <w:rFonts w:hint="eastAsia"/>
        </w:rPr>
        <w:t>存在违纪事实，应给予党纪轻处分的；</w:t>
      </w:r>
    </w:p>
    <w:p>
      <w:pPr>
        <w:pStyle w:val="49"/>
      </w:pPr>
      <w:r>
        <w:rPr>
          <w:rFonts w:hint="eastAsia"/>
        </w:rPr>
        <w:t>党员领导干部因工作失职造成较大损失、不良影响，或者对较大事故负有领导责任的；</w:t>
      </w:r>
    </w:p>
    <w:p>
      <w:pPr>
        <w:pStyle w:val="49"/>
      </w:pPr>
      <w:r>
        <w:rPr>
          <w:rFonts w:hint="eastAsia"/>
        </w:rPr>
        <w:t>配偶或子女已移居国（境）外，不适宜担任其所任职务的；</w:t>
      </w:r>
    </w:p>
    <w:p>
      <w:pPr>
        <w:pStyle w:val="49"/>
      </w:pPr>
      <w:r>
        <w:rPr>
          <w:rFonts w:hint="eastAsia"/>
        </w:rPr>
        <w:t>对问题线索压案不查、瞒案不报、包庇担护，致使腐败问题得不到及时查处的；</w:t>
      </w:r>
    </w:p>
    <w:p>
      <w:pPr>
        <w:pStyle w:val="49"/>
      </w:pPr>
      <w:r>
        <w:rPr>
          <w:rFonts w:hint="eastAsia"/>
        </w:rPr>
        <w:t>其他应当运用第二种形态的情形。</w:t>
      </w:r>
    </w:p>
    <w:p>
      <w:pPr>
        <w:pStyle w:val="146"/>
        <w:ind w:left="0"/>
        <w:jc w:val="both"/>
      </w:pPr>
      <w:r>
        <w:rPr>
          <w:rFonts w:hint="eastAsia"/>
        </w:rPr>
        <w:t>组织调整和纪律轻处分可以单独使用，也可以合并使用，单独使用组织调整时应进行诫勉谈话。</w:t>
      </w:r>
    </w:p>
    <w:p>
      <w:pPr>
        <w:pStyle w:val="146"/>
        <w:ind w:left="0"/>
        <w:jc w:val="both"/>
      </w:pPr>
      <w:r>
        <w:rPr>
          <w:rFonts w:hint="eastAsia"/>
        </w:rPr>
        <w:t>党员干部有严重违纪事实，按照党纪条规应当给予党纪重处分、作出重大职务调整的，运用第三种形态，在给予撤销党内职务、留党察看、开除党籍处分的同时，责令辞职、降职、免职。</w:t>
      </w:r>
    </w:p>
    <w:p>
      <w:pPr>
        <w:pStyle w:val="146"/>
        <w:ind w:left="0"/>
        <w:jc w:val="both"/>
      </w:pPr>
      <w:r>
        <w:rPr>
          <w:rFonts w:hint="eastAsia"/>
        </w:rPr>
        <w:t>党员严重违纪且涉嫌有犯罪行为的，运用第四种形态，给予开除党籍处分，并移送司法机关依法追究刑事责任。</w:t>
      </w:r>
    </w:p>
    <w:p>
      <w:pPr>
        <w:pStyle w:val="46"/>
      </w:pPr>
      <w:bookmarkStart w:id="11" w:name="_Toc121246287"/>
      <w:r>
        <w:rPr>
          <w:rFonts w:hint="eastAsia"/>
        </w:rPr>
        <w:t>转化要求</w:t>
      </w:r>
      <w:bookmarkEnd w:id="11"/>
    </w:p>
    <w:p>
      <w:pPr>
        <w:pStyle w:val="146"/>
        <w:ind w:left="0"/>
        <w:jc w:val="both"/>
      </w:pPr>
      <w:r>
        <w:rPr>
          <w:rFonts w:hint="eastAsia"/>
        </w:rPr>
        <w:t>符合《中国共产党纪律处分条例》和有关法律法规规定的从轻、减轻之情形，主动认错、有悔改表现或者符合容错纠错相关规定的，可以从高一级形态转化为低一级形态。</w:t>
      </w:r>
    </w:p>
    <w:p>
      <w:pPr>
        <w:pStyle w:val="146"/>
        <w:ind w:left="0"/>
        <w:jc w:val="both"/>
        <w:rPr>
          <w:rFonts w:hint="eastAsia"/>
        </w:rPr>
      </w:pPr>
      <w:r>
        <w:rPr>
          <w:rFonts w:hint="eastAsia"/>
        </w:rPr>
        <w:t>对“咬耳扯袖”问题不重视、整改不到位、屡教不改的，或者违纪行为符合《中国共产党纪律处分条例》第十九条、第二十条之规定的，可以从低一形态转化为高一级形态。</w:t>
      </w:r>
    </w:p>
    <w:p>
      <w:pPr>
        <w:pStyle w:val="147"/>
        <w:numPr>
          <w:ilvl w:val="0"/>
          <w:numId w:val="0"/>
        </w:numPr>
        <w:jc w:val="both"/>
        <w:rPr>
          <w:rFonts w:hint="eastAsia"/>
        </w:rPr>
      </w:pPr>
    </w:p>
    <w:p>
      <w:pPr>
        <w:spacing w:line="600" w:lineRule="exact"/>
        <w:rPr>
          <w:rFonts w:ascii="仿宋_GB2312" w:hAnsi="仿宋" w:eastAsia="仿宋_GB2312"/>
          <w:color w:val="000000"/>
          <w:sz w:val="32"/>
          <w:szCs w:val="32"/>
        </w:rPr>
      </w:pPr>
      <w:r>
        <w:rPr>
          <w:rFonts w:hint="eastAsia" w:ascii="仿宋_GB2312" w:hAnsi="宋体" w:eastAsia="仿宋_GB2312"/>
          <w:color w:val="000000"/>
          <w:sz w:val="30"/>
          <w:szCs w:val="30"/>
        </w:rPr>
        <mc:AlternateContent>
          <mc:Choice Requires="wps">
            <w:drawing>
              <wp:anchor distT="0" distB="0" distL="114300" distR="114300" simplePos="0" relativeHeight="251660288" behindDoc="0" locked="0" layoutInCell="1" allowOverlap="1">
                <wp:simplePos x="0" y="0"/>
                <wp:positionH relativeFrom="column">
                  <wp:posOffset>1623695</wp:posOffset>
                </wp:positionH>
                <wp:positionV relativeFrom="paragraph">
                  <wp:posOffset>559435</wp:posOffset>
                </wp:positionV>
                <wp:extent cx="25146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7.85pt;margin-top:44.05pt;height:0pt;width:198pt;z-index:251660288;mso-width-relative:page;mso-height-relative:page;" filled="f" stroked="t" coordsize="21600,21600" o:gfxdata="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MsvF+1QAAAAkBAAAPAAAAAAAA&#10;AAEAIAAAADgAAABkcnMvZG93bnJldi54bWxQSwECFAAUAAAACACHTuJAxT1NycYBAABjAwAADgAA&#10;AAAAAAABACAAAAA6AQAAZHJzL2Uyb0RvYy54bWxQSwUGAAAAAAYABgBZAQAAcgUAAAAA&#10;">
                <v:fill on="f" focussize="0,0"/>
                <v:stroke weight="0.5pt" color="#000000 [3200]" miterlimit="8" joinstyle="miter"/>
                <v:imagedata o:title=""/>
                <o:lock v:ext="edit" aspectratio="f"/>
              </v:line>
            </w:pict>
          </mc:Fallback>
        </mc:AlternateContent>
      </w:r>
      <w:r>
        <w:rPr>
          <w:rFonts w:hint="eastAsia" w:ascii="仿宋_GB2312" w:hAnsi="宋体" w:eastAsia="仿宋_GB2312"/>
          <w:color w:val="000000"/>
          <w:sz w:val="30"/>
          <w:szCs w:val="30"/>
        </w:rPr>
        <w:t xml:space="preserve">         </w:t>
      </w:r>
    </w:p>
    <w:sectPr>
      <w:headerReference r:id="rId5" w:type="default"/>
      <w:footerReference r:id="rId6" w:type="default"/>
      <w:pgSz w:w="11906" w:h="16838"/>
      <w:pgMar w:top="567" w:right="1134" w:bottom="1134" w:left="1418" w:header="1418" w:footer="1134" w:gutter="0"/>
      <w:pgNumType w:fmt="decimal" w:start="333"/>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bookmarkStart w:id="12" w:name="_GoBack"/>
    <w:bookmarkEnd w:id="12"/>
    <w:r>
      <w:t>021</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562"/>
        </w:tabs>
        <w:ind w:left="561"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284"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E6"/>
    <w:rsid w:val="00025A65"/>
    <w:rsid w:val="00026123"/>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7658F"/>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0EC0"/>
    <w:rsid w:val="000C582C"/>
    <w:rsid w:val="000C6B05"/>
    <w:rsid w:val="000C6DD6"/>
    <w:rsid w:val="000C73D4"/>
    <w:rsid w:val="000D2CF3"/>
    <w:rsid w:val="000D3D4C"/>
    <w:rsid w:val="000D4F51"/>
    <w:rsid w:val="000D6CFF"/>
    <w:rsid w:val="000D6D22"/>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25BF2"/>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3C36"/>
    <w:rsid w:val="00164E53"/>
    <w:rsid w:val="001668AD"/>
    <w:rsid w:val="0016699D"/>
    <w:rsid w:val="00166EC2"/>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0757"/>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0AAE"/>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0392"/>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B67CE"/>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5B61"/>
    <w:rsid w:val="003F7207"/>
    <w:rsid w:val="004009C8"/>
    <w:rsid w:val="00400E9E"/>
    <w:rsid w:val="00402153"/>
    <w:rsid w:val="00402631"/>
    <w:rsid w:val="00402FC1"/>
    <w:rsid w:val="004035C7"/>
    <w:rsid w:val="004046C4"/>
    <w:rsid w:val="004100FE"/>
    <w:rsid w:val="004116F6"/>
    <w:rsid w:val="004121FF"/>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31F4"/>
    <w:rsid w:val="004672B1"/>
    <w:rsid w:val="00471E91"/>
    <w:rsid w:val="00472ACB"/>
    <w:rsid w:val="00474675"/>
    <w:rsid w:val="0047470C"/>
    <w:rsid w:val="0048246C"/>
    <w:rsid w:val="00485BDC"/>
    <w:rsid w:val="00492D95"/>
    <w:rsid w:val="00492FDB"/>
    <w:rsid w:val="00493BC3"/>
    <w:rsid w:val="0049613A"/>
    <w:rsid w:val="004969B2"/>
    <w:rsid w:val="004A35F9"/>
    <w:rsid w:val="004B15D8"/>
    <w:rsid w:val="004B24C1"/>
    <w:rsid w:val="004B6742"/>
    <w:rsid w:val="004C292F"/>
    <w:rsid w:val="004C5C89"/>
    <w:rsid w:val="004C60F6"/>
    <w:rsid w:val="004C711D"/>
    <w:rsid w:val="004D4F0A"/>
    <w:rsid w:val="004D56B9"/>
    <w:rsid w:val="004E3212"/>
    <w:rsid w:val="004F0D37"/>
    <w:rsid w:val="004F49A3"/>
    <w:rsid w:val="004F49F6"/>
    <w:rsid w:val="005008F7"/>
    <w:rsid w:val="00501F7B"/>
    <w:rsid w:val="0050334C"/>
    <w:rsid w:val="00510280"/>
    <w:rsid w:val="00512F3E"/>
    <w:rsid w:val="00513D73"/>
    <w:rsid w:val="0051476D"/>
    <w:rsid w:val="00514A43"/>
    <w:rsid w:val="00516C20"/>
    <w:rsid w:val="005174E5"/>
    <w:rsid w:val="005175E7"/>
    <w:rsid w:val="00521A40"/>
    <w:rsid w:val="00522393"/>
    <w:rsid w:val="00522620"/>
    <w:rsid w:val="0052503A"/>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481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4743"/>
    <w:rsid w:val="005D5E6F"/>
    <w:rsid w:val="005D736F"/>
    <w:rsid w:val="005E19E7"/>
    <w:rsid w:val="005E232A"/>
    <w:rsid w:val="005E259F"/>
    <w:rsid w:val="005E59DE"/>
    <w:rsid w:val="005E60CE"/>
    <w:rsid w:val="005F0D35"/>
    <w:rsid w:val="005F3A96"/>
    <w:rsid w:val="005F7640"/>
    <w:rsid w:val="005F7E9E"/>
    <w:rsid w:val="0060413E"/>
    <w:rsid w:val="00604484"/>
    <w:rsid w:val="00604B74"/>
    <w:rsid w:val="00607EC9"/>
    <w:rsid w:val="006126C0"/>
    <w:rsid w:val="006128E9"/>
    <w:rsid w:val="006149F1"/>
    <w:rsid w:val="0061716C"/>
    <w:rsid w:val="00620D38"/>
    <w:rsid w:val="006243A1"/>
    <w:rsid w:val="0062519C"/>
    <w:rsid w:val="006278EC"/>
    <w:rsid w:val="00627DCC"/>
    <w:rsid w:val="0063162D"/>
    <w:rsid w:val="00631E62"/>
    <w:rsid w:val="00632E56"/>
    <w:rsid w:val="00635CBA"/>
    <w:rsid w:val="006407B5"/>
    <w:rsid w:val="0064258F"/>
    <w:rsid w:val="0064338B"/>
    <w:rsid w:val="00644F98"/>
    <w:rsid w:val="00646542"/>
    <w:rsid w:val="006504F4"/>
    <w:rsid w:val="006507F4"/>
    <w:rsid w:val="00652745"/>
    <w:rsid w:val="00654BC9"/>
    <w:rsid w:val="006552CA"/>
    <w:rsid w:val="006552FD"/>
    <w:rsid w:val="00663AF3"/>
    <w:rsid w:val="00664FA6"/>
    <w:rsid w:val="00665805"/>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2C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27C"/>
    <w:rsid w:val="0070651C"/>
    <w:rsid w:val="007132A3"/>
    <w:rsid w:val="00713512"/>
    <w:rsid w:val="00714373"/>
    <w:rsid w:val="0071447D"/>
    <w:rsid w:val="00716421"/>
    <w:rsid w:val="00717681"/>
    <w:rsid w:val="00717C30"/>
    <w:rsid w:val="00724EFB"/>
    <w:rsid w:val="00726FFE"/>
    <w:rsid w:val="007328CC"/>
    <w:rsid w:val="00732A9E"/>
    <w:rsid w:val="007334E0"/>
    <w:rsid w:val="00736EE6"/>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4EED"/>
    <w:rsid w:val="00815CEA"/>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3F6A"/>
    <w:rsid w:val="008A5E08"/>
    <w:rsid w:val="008A6C52"/>
    <w:rsid w:val="008A753A"/>
    <w:rsid w:val="008B108E"/>
    <w:rsid w:val="008B276C"/>
    <w:rsid w:val="008B5D8D"/>
    <w:rsid w:val="008B73DB"/>
    <w:rsid w:val="008C06EB"/>
    <w:rsid w:val="008C1B4A"/>
    <w:rsid w:val="008C1B58"/>
    <w:rsid w:val="008C39AE"/>
    <w:rsid w:val="008C590D"/>
    <w:rsid w:val="008C67C7"/>
    <w:rsid w:val="008C78E5"/>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35FD"/>
    <w:rsid w:val="009040DD"/>
    <w:rsid w:val="009042F2"/>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47A"/>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9F69F1"/>
    <w:rsid w:val="009F6C43"/>
    <w:rsid w:val="00A020A7"/>
    <w:rsid w:val="00A02E43"/>
    <w:rsid w:val="00A04340"/>
    <w:rsid w:val="00A04913"/>
    <w:rsid w:val="00A05ACB"/>
    <w:rsid w:val="00A065F9"/>
    <w:rsid w:val="00A07F34"/>
    <w:rsid w:val="00A13B1A"/>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6B77"/>
    <w:rsid w:val="00A6730D"/>
    <w:rsid w:val="00A7086D"/>
    <w:rsid w:val="00A70B14"/>
    <w:rsid w:val="00A71625"/>
    <w:rsid w:val="00A71B9B"/>
    <w:rsid w:val="00A7443B"/>
    <w:rsid w:val="00A751C7"/>
    <w:rsid w:val="00A75F6D"/>
    <w:rsid w:val="00A769E6"/>
    <w:rsid w:val="00A77E57"/>
    <w:rsid w:val="00A8178C"/>
    <w:rsid w:val="00A81974"/>
    <w:rsid w:val="00A836A4"/>
    <w:rsid w:val="00A84816"/>
    <w:rsid w:val="00A86922"/>
    <w:rsid w:val="00A873DE"/>
    <w:rsid w:val="00A87798"/>
    <w:rsid w:val="00A87844"/>
    <w:rsid w:val="00A87ED0"/>
    <w:rsid w:val="00A902C5"/>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AF47F1"/>
    <w:rsid w:val="00B00E13"/>
    <w:rsid w:val="00B017DA"/>
    <w:rsid w:val="00B02CB7"/>
    <w:rsid w:val="00B04182"/>
    <w:rsid w:val="00B041F2"/>
    <w:rsid w:val="00B05887"/>
    <w:rsid w:val="00B07AE3"/>
    <w:rsid w:val="00B07CCD"/>
    <w:rsid w:val="00B11430"/>
    <w:rsid w:val="00B11D69"/>
    <w:rsid w:val="00B1533E"/>
    <w:rsid w:val="00B167F3"/>
    <w:rsid w:val="00B23A84"/>
    <w:rsid w:val="00B242BD"/>
    <w:rsid w:val="00B26FAF"/>
    <w:rsid w:val="00B3383A"/>
    <w:rsid w:val="00B3515B"/>
    <w:rsid w:val="00B353EB"/>
    <w:rsid w:val="00B3550C"/>
    <w:rsid w:val="00B40B8C"/>
    <w:rsid w:val="00B435AA"/>
    <w:rsid w:val="00B439C4"/>
    <w:rsid w:val="00B4535E"/>
    <w:rsid w:val="00B52554"/>
    <w:rsid w:val="00B52A8C"/>
    <w:rsid w:val="00B560E7"/>
    <w:rsid w:val="00B57EF4"/>
    <w:rsid w:val="00B60B5F"/>
    <w:rsid w:val="00B61351"/>
    <w:rsid w:val="00B61764"/>
    <w:rsid w:val="00B61E57"/>
    <w:rsid w:val="00B636A8"/>
    <w:rsid w:val="00B6563D"/>
    <w:rsid w:val="00B665C6"/>
    <w:rsid w:val="00B71E88"/>
    <w:rsid w:val="00B7732A"/>
    <w:rsid w:val="00B805AF"/>
    <w:rsid w:val="00B869EC"/>
    <w:rsid w:val="00B86DC7"/>
    <w:rsid w:val="00B87601"/>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05A1"/>
    <w:rsid w:val="00C64A98"/>
    <w:rsid w:val="00C65BCC"/>
    <w:rsid w:val="00C65FBC"/>
    <w:rsid w:val="00C662FE"/>
    <w:rsid w:val="00C66970"/>
    <w:rsid w:val="00C67E5C"/>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234B"/>
    <w:rsid w:val="00CC3684"/>
    <w:rsid w:val="00CC3E0C"/>
    <w:rsid w:val="00CC4599"/>
    <w:rsid w:val="00CC56E2"/>
    <w:rsid w:val="00CC58D3"/>
    <w:rsid w:val="00CC6209"/>
    <w:rsid w:val="00CC6BC3"/>
    <w:rsid w:val="00CC784D"/>
    <w:rsid w:val="00CC7CF3"/>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6722"/>
    <w:rsid w:val="00D079B2"/>
    <w:rsid w:val="00D114E9"/>
    <w:rsid w:val="00D116CD"/>
    <w:rsid w:val="00D17A82"/>
    <w:rsid w:val="00D258AB"/>
    <w:rsid w:val="00D25DA6"/>
    <w:rsid w:val="00D30301"/>
    <w:rsid w:val="00D323E6"/>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4983"/>
    <w:rsid w:val="00D87922"/>
    <w:rsid w:val="00D9055F"/>
    <w:rsid w:val="00D9070D"/>
    <w:rsid w:val="00D9262C"/>
    <w:rsid w:val="00D9303B"/>
    <w:rsid w:val="00D964EA"/>
    <w:rsid w:val="00D966D0"/>
    <w:rsid w:val="00DA0C59"/>
    <w:rsid w:val="00DA13E0"/>
    <w:rsid w:val="00DA3991"/>
    <w:rsid w:val="00DA40E3"/>
    <w:rsid w:val="00DA7004"/>
    <w:rsid w:val="00DA799C"/>
    <w:rsid w:val="00DA79E0"/>
    <w:rsid w:val="00DB0990"/>
    <w:rsid w:val="00DB2C4C"/>
    <w:rsid w:val="00DB3ABA"/>
    <w:rsid w:val="00DB49F5"/>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22A1"/>
    <w:rsid w:val="00DF53EF"/>
    <w:rsid w:val="00E0018E"/>
    <w:rsid w:val="00E00F14"/>
    <w:rsid w:val="00E0104C"/>
    <w:rsid w:val="00E01E5D"/>
    <w:rsid w:val="00E01FFC"/>
    <w:rsid w:val="00E0302E"/>
    <w:rsid w:val="00E06386"/>
    <w:rsid w:val="00E117D0"/>
    <w:rsid w:val="00E15072"/>
    <w:rsid w:val="00E200D5"/>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3648"/>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066D"/>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1FF9917"/>
    <w:rsid w:val="33251C93"/>
    <w:rsid w:val="4590011C"/>
    <w:rsid w:val="52331739"/>
    <w:rsid w:val="FF7B1A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spacing w:before="370" w:line="400" w:lineRule="exact"/>
    </w:pPr>
    <w:rPr>
      <w:rFonts w:ascii="Times New Roman"/>
      <w:sz w:val="28"/>
      <w:szCs w:val="28"/>
    </w:rPr>
  </w:style>
  <w:style w:type="paragraph" w:customStyle="1" w:styleId="81">
    <w:name w:val="封面一致性程度标识"/>
    <w:basedOn w:val="80"/>
    <w:qFormat/>
    <w:uiPriority w:val="0"/>
    <w:pPr>
      <w:spacing w:before="440"/>
    </w:pPr>
    <w:rPr>
      <w:rFonts w:ascii="宋体" w:eastAsia="宋体"/>
    </w:rPr>
  </w:style>
  <w:style w:type="paragraph" w:customStyle="1" w:styleId="82">
    <w:name w:val="封面标准文稿类别"/>
    <w:basedOn w:val="81"/>
    <w:qFormat/>
    <w:uiPriority w:val="0"/>
    <w:pPr>
      <w:spacing w:after="160" w:line="240" w:lineRule="auto"/>
    </w:pPr>
    <w:rPr>
      <w:sz w:val="24"/>
    </w:rPr>
  </w:style>
  <w:style w:type="paragraph" w:customStyle="1" w:styleId="83">
    <w:name w:val="封面标准文稿编辑信息"/>
    <w:basedOn w:val="82"/>
    <w:qFormat/>
    <w:uiPriority w:val="0"/>
    <w:p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ind w:left="284"/>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 w:type="paragraph" w:styleId="15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375</Words>
  <Characters>2139</Characters>
  <Lines>17</Lines>
  <Paragraphs>5</Paragraphs>
  <TotalTime>1</TotalTime>
  <ScaleCrop>false</ScaleCrop>
  <LinksUpToDate>false</LinksUpToDate>
  <CharactersWithSpaces>2509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2022-12-07T03:06:00Z</dcterms:created>
  <dc:creator>路源</dc:creator>
  <cp:lastModifiedBy>kylin</cp:lastModifiedBy>
  <cp:lastPrinted>2020-10-13T23:25:00Z</cp:lastPrinted>
  <dcterms:modified xsi:type="dcterms:W3CDTF">2023-03-19T12:14:46Z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