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b/>
          <w:color w:val="000000"/>
          <w:sz w:val="44"/>
          <w:szCs w:val="44"/>
        </w:rPr>
      </w:pPr>
    </w:p>
    <w:p>
      <w:pPr>
        <w:spacing w:line="620" w:lineRule="exact"/>
        <w:jc w:val="center"/>
        <w:rPr>
          <w:b/>
          <w:color w:val="000000"/>
          <w:sz w:val="44"/>
          <w:szCs w:val="44"/>
        </w:rPr>
      </w:pPr>
    </w:p>
    <w:p>
      <w:pPr>
        <w:spacing w:line="620" w:lineRule="exact"/>
        <w:jc w:val="center"/>
        <w:rPr>
          <w:b/>
          <w:color w:val="000000"/>
          <w:sz w:val="44"/>
          <w:szCs w:val="44"/>
        </w:rPr>
      </w:pPr>
    </w:p>
    <w:p>
      <w:pPr>
        <w:spacing w:line="620" w:lineRule="exact"/>
        <w:jc w:val="center"/>
        <w:rPr>
          <w:b/>
          <w:color w:val="000000"/>
          <w:sz w:val="44"/>
          <w:szCs w:val="44"/>
        </w:rPr>
      </w:pPr>
    </w:p>
    <w:p>
      <w:pPr>
        <w:widowControl/>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邢台市人力资源和社会保障局</w:t>
      </w:r>
    </w:p>
    <w:p>
      <w:pPr>
        <w:widowControl/>
        <w:spacing w:line="560" w:lineRule="exact"/>
        <w:jc w:val="center"/>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202</w:t>
      </w:r>
      <w:r>
        <w:rPr>
          <w:rFonts w:hint="eastAsia" w:ascii="方正小标宋简体" w:hAnsi="方正小标宋简体" w:eastAsia="方正小标宋简体" w:cs="方正小标宋简体"/>
          <w:color w:val="000000"/>
          <w:kern w:val="0"/>
          <w:sz w:val="44"/>
          <w:szCs w:val="44"/>
          <w:lang w:val="en-US" w:eastAsia="zh-CN"/>
        </w:rPr>
        <w:t>3</w:t>
      </w:r>
      <w:r>
        <w:rPr>
          <w:rFonts w:hint="eastAsia" w:ascii="方正小标宋简体" w:hAnsi="方正小标宋简体" w:eastAsia="方正小标宋简体" w:cs="方正小标宋简体"/>
          <w:color w:val="000000"/>
          <w:kern w:val="0"/>
          <w:sz w:val="44"/>
          <w:szCs w:val="44"/>
        </w:rPr>
        <w:t>年政府信息公开工作年度报告</w:t>
      </w:r>
    </w:p>
    <w:p>
      <w:pPr>
        <w:spacing w:line="560" w:lineRule="exact"/>
        <w:rPr>
          <w:rFonts w:ascii="仿宋_GB2312" w:eastAsia="仿宋_GB2312"/>
          <w:color w:val="000000"/>
          <w:sz w:val="32"/>
          <w:szCs w:val="32"/>
        </w:rPr>
      </w:pP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本报告依据《中华人民共和国政府信息公开条例》和《中华人民共和国政府信息公开工作年度报告格式》要求，由邢台市人力资源和社会保障局综合全局政府信息公开年度工作情况编制而成。全文包括总体情况、主动公开政府信息情况、收到和处理政府信息公开申请情况、因政府信息公开工作被申请行政复议、提起行政诉讼情况、存在的主要问题及改进情况、其他需要报告的事项等。本报告中所列数据的统计期限自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年1月1日至202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年12月31日。</w:t>
      </w:r>
    </w:p>
    <w:p>
      <w:pPr>
        <w:widowControl/>
        <w:spacing w:line="560" w:lineRule="exact"/>
        <w:ind w:firstLine="640" w:firstLineChars="200"/>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一、总体情况</w:t>
      </w:r>
    </w:p>
    <w:p>
      <w:pPr>
        <w:spacing w:line="56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（一）主动公开</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积极做好政府信息主动公开工作，全年通过局门户网站主动公开各类信息</w:t>
      </w:r>
      <w:r>
        <w:rPr>
          <w:rFonts w:hint="eastAsia" w:ascii="仿宋_GB2312" w:eastAsia="仿宋_GB2312"/>
          <w:color w:val="000000"/>
          <w:sz w:val="32"/>
          <w:szCs w:val="32"/>
          <w:lang w:val="en-US" w:eastAsia="zh-CN"/>
        </w:rPr>
        <w:t>189</w:t>
      </w:r>
      <w:r>
        <w:rPr>
          <w:rFonts w:hint="eastAsia" w:ascii="仿宋_GB2312" w:eastAsia="仿宋_GB2312"/>
          <w:color w:val="000000"/>
          <w:sz w:val="32"/>
          <w:szCs w:val="32"/>
        </w:rPr>
        <w:t>条，其中工作动态</w:t>
      </w:r>
      <w:r>
        <w:rPr>
          <w:rFonts w:hint="eastAsia" w:ascii="仿宋_GB2312" w:eastAsia="仿宋_GB2312"/>
          <w:color w:val="000000"/>
          <w:sz w:val="32"/>
          <w:szCs w:val="32"/>
          <w:lang w:val="en-US" w:eastAsia="zh-CN"/>
        </w:rPr>
        <w:t>49</w:t>
      </w:r>
      <w:r>
        <w:rPr>
          <w:rFonts w:hint="eastAsia" w:ascii="仿宋_GB2312" w:eastAsia="仿宋_GB2312"/>
          <w:color w:val="000000"/>
          <w:sz w:val="32"/>
          <w:szCs w:val="32"/>
        </w:rPr>
        <w:t>条，政策文件</w:t>
      </w:r>
      <w:r>
        <w:rPr>
          <w:rFonts w:hint="eastAsia" w:ascii="仿宋_GB2312" w:eastAsia="仿宋_GB2312"/>
          <w:color w:val="000000"/>
          <w:sz w:val="32"/>
          <w:szCs w:val="32"/>
          <w:lang w:val="en-US" w:eastAsia="zh-CN"/>
        </w:rPr>
        <w:t>64</w:t>
      </w:r>
      <w:r>
        <w:rPr>
          <w:rFonts w:hint="eastAsia" w:ascii="仿宋_GB2312" w:eastAsia="仿宋_GB2312"/>
          <w:color w:val="000000"/>
          <w:sz w:val="32"/>
          <w:szCs w:val="32"/>
        </w:rPr>
        <w:t>条，行政执法</w:t>
      </w:r>
      <w:r>
        <w:rPr>
          <w:rFonts w:hint="eastAsia" w:ascii="仿宋_GB2312" w:eastAsia="仿宋_GB2312"/>
          <w:color w:val="000000"/>
          <w:sz w:val="32"/>
          <w:szCs w:val="32"/>
          <w:lang w:val="en-US" w:eastAsia="zh-CN"/>
        </w:rPr>
        <w:t>34</w:t>
      </w:r>
      <w:r>
        <w:rPr>
          <w:rFonts w:hint="eastAsia" w:ascii="仿宋_GB2312" w:eastAsia="仿宋_GB2312"/>
          <w:color w:val="000000"/>
          <w:sz w:val="32"/>
          <w:szCs w:val="32"/>
        </w:rPr>
        <w:t>条，财政财务5条，其他公开信息</w:t>
      </w:r>
      <w:r>
        <w:rPr>
          <w:rFonts w:hint="eastAsia" w:ascii="仿宋_GB2312" w:eastAsia="仿宋_GB2312"/>
          <w:color w:val="000000"/>
          <w:sz w:val="32"/>
          <w:szCs w:val="32"/>
          <w:lang w:val="en-US" w:eastAsia="zh-CN"/>
        </w:rPr>
        <w:t>37</w:t>
      </w:r>
      <w:r>
        <w:rPr>
          <w:rFonts w:hint="eastAsia" w:ascii="仿宋_GB2312" w:eastAsia="仿宋_GB2312"/>
          <w:color w:val="000000"/>
          <w:sz w:val="32"/>
          <w:szCs w:val="32"/>
        </w:rPr>
        <w:t>条。通过局微信公众号发布信息</w:t>
      </w:r>
      <w:r>
        <w:rPr>
          <w:rFonts w:hint="eastAsia" w:ascii="仿宋_GB2312" w:eastAsia="仿宋_GB2312"/>
          <w:color w:val="000000"/>
          <w:sz w:val="32"/>
          <w:szCs w:val="32"/>
          <w:lang w:val="en-US" w:eastAsia="zh-CN"/>
        </w:rPr>
        <w:t>922</w:t>
      </w:r>
      <w:r>
        <w:rPr>
          <w:rFonts w:hint="eastAsia" w:ascii="仿宋_GB2312" w:eastAsia="仿宋_GB2312"/>
          <w:color w:val="000000"/>
          <w:sz w:val="32"/>
          <w:szCs w:val="32"/>
        </w:rPr>
        <w:t>篇，新增访问量9</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万人次。</w:t>
      </w:r>
    </w:p>
    <w:p>
      <w:pPr>
        <w:spacing w:line="56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（二）依申请公开</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全年共接到政府信息公开申请</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件，均严格按照《政府信息公开条例》等有关规定进行办理和答复；</w:t>
      </w:r>
      <w:r>
        <w:rPr>
          <w:rFonts w:hint="eastAsia" w:ascii="仿宋_GB2312" w:hAnsi="宋体" w:eastAsia="仿宋_GB2312" w:cs="Times New Roman"/>
          <w:color w:val="000000"/>
          <w:sz w:val="32"/>
          <w:szCs w:val="32"/>
        </w:rPr>
        <w:t>本年度未发生因政府信息公开引起的行政复议或行政诉讼案件；本年度没有向政府信息公开申请人收取费用的情况。</w:t>
      </w:r>
    </w:p>
    <w:p>
      <w:pPr>
        <w:spacing w:line="56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（三）政府信息管理</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按要求开展信息发布保密审查，认真落实“谁公开谁审查”“事前审查”“依法审查”原则，</w:t>
      </w:r>
      <w:r>
        <w:rPr>
          <w:rFonts w:hint="eastAsia" w:ascii="仿宋_GB2312" w:hAnsi="仿宋_GB2312" w:eastAsia="仿宋_GB2312" w:cs="仿宋_GB2312"/>
          <w:color w:val="000000"/>
          <w:sz w:val="32"/>
          <w:szCs w:val="32"/>
        </w:rPr>
        <w:t>安排专人对局网站进行日常检查，确保各栏目及其子栏目内容及时更新，网站提供的各项服务和互动功能正常，对网站中存在的问题，及时发现及时处理，提高网站信息发布的及时性、准确性、实用性。</w:t>
      </w:r>
    </w:p>
    <w:p>
      <w:pPr>
        <w:spacing w:line="56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（四）政府信息公开平台建设</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局门户网站首页设置“政府信息公开”专栏，按照统一要求对版面进行规划设计，设置“政策”“政府信息公开指南”“政府信息公开制度”“法定主动公开内容”“政府信息公开年报”“政务公开事项清单”等板块；</w:t>
      </w:r>
      <w:r>
        <w:rPr>
          <w:rFonts w:hint="eastAsia" w:ascii="仿宋_GB2312" w:hAnsi="仿宋_GB2312" w:eastAsia="仿宋_GB2312" w:cs="仿宋_GB2312"/>
          <w:bCs/>
          <w:color w:val="000000"/>
          <w:sz w:val="32"/>
          <w:szCs w:val="32"/>
        </w:rPr>
        <w:t>开设政务新媒体平台4个，其中：微信公众号1个，政务微博1个，新闻移动客户端2个，均</w:t>
      </w:r>
      <w:r>
        <w:rPr>
          <w:rFonts w:hint="eastAsia" w:ascii="仿宋_GB2312" w:eastAsia="仿宋_GB2312"/>
          <w:color w:val="000000"/>
          <w:sz w:val="32"/>
          <w:szCs w:val="32"/>
        </w:rPr>
        <w:t>按要求及时发布更新，方便群众浏览查询。</w:t>
      </w:r>
    </w:p>
    <w:p>
      <w:pPr>
        <w:spacing w:line="560" w:lineRule="exact"/>
        <w:ind w:firstLine="643" w:firstLineChars="200"/>
        <w:rPr>
          <w:rFonts w:ascii="楷体" w:hAnsi="楷体" w:eastAsia="楷体"/>
          <w:b/>
          <w:color w:val="000000"/>
          <w:sz w:val="32"/>
          <w:szCs w:val="32"/>
        </w:rPr>
      </w:pPr>
      <w:r>
        <w:rPr>
          <w:rFonts w:hint="eastAsia" w:ascii="楷体" w:hAnsi="楷体" w:eastAsia="楷体"/>
          <w:b/>
          <w:color w:val="000000"/>
          <w:sz w:val="32"/>
          <w:szCs w:val="32"/>
        </w:rPr>
        <w:t>（五）监督保障</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eastAsia="仿宋_GB2312"/>
          <w:color w:val="000000"/>
          <w:sz w:val="32"/>
          <w:szCs w:val="32"/>
        </w:rPr>
        <w:t>优化政务公开工作机制，建立“一把手”负总责，主管领导协调组织，机关科室、局属单位具体承办的良好工作机制。加强政务公开学习培训，</w:t>
      </w:r>
      <w:r>
        <w:rPr>
          <w:rFonts w:hint="eastAsia" w:ascii="仿宋_GB2312" w:hAnsi="仿宋_GB2312" w:eastAsia="仿宋_GB2312" w:cs="仿宋_GB2312"/>
          <w:color w:val="000000"/>
          <w:sz w:val="32"/>
          <w:szCs w:val="32"/>
        </w:rPr>
        <w:t>组织全局干部职工参加政府信息公开法律知识学习。</w:t>
      </w:r>
    </w:p>
    <w:p>
      <w:pPr>
        <w:widowControl/>
        <w:spacing w:line="560" w:lineRule="exact"/>
        <w:ind w:firstLine="640" w:firstLineChars="200"/>
        <w:rPr>
          <w:rFonts w:ascii="黑体" w:hAnsi="黑体" w:eastAsia="黑体" w:cs="黑体"/>
          <w:color w:val="000000"/>
          <w:kern w:val="0"/>
          <w:sz w:val="32"/>
          <w:szCs w:val="32"/>
        </w:rPr>
      </w:pPr>
    </w:p>
    <w:p>
      <w:pPr>
        <w:widowControl/>
        <w:spacing w:line="560" w:lineRule="exact"/>
        <w:ind w:firstLine="640" w:firstLineChars="200"/>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二、主动公开政府信息情况</w:t>
      </w:r>
    </w:p>
    <w:tbl>
      <w:tblPr>
        <w:tblStyle w:val="6"/>
        <w:tblW w:w="5193" w:type="pct"/>
        <w:jc w:val="center"/>
        <w:tblLayout w:type="autofit"/>
        <w:tblCellMar>
          <w:top w:w="0" w:type="dxa"/>
          <w:left w:w="108" w:type="dxa"/>
          <w:bottom w:w="0" w:type="dxa"/>
          <w:right w:w="108" w:type="dxa"/>
        </w:tblCellMar>
      </w:tblPr>
      <w:tblGrid>
        <w:gridCol w:w="3641"/>
        <w:gridCol w:w="1871"/>
        <w:gridCol w:w="1632"/>
        <w:gridCol w:w="2266"/>
      </w:tblGrid>
      <w:tr>
        <w:tblPrEx>
          <w:tblCellMar>
            <w:top w:w="0" w:type="dxa"/>
            <w:left w:w="108" w:type="dxa"/>
            <w:bottom w:w="0" w:type="dxa"/>
            <w:right w:w="108" w:type="dxa"/>
          </w:tblCellMar>
        </w:tblPrEx>
        <w:trPr>
          <w:trHeight w:val="808"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line="560" w:lineRule="exact"/>
              <w:jc w:val="center"/>
              <w:rPr>
                <w:rFonts w:ascii="宋体" w:cs="Times New Roman"/>
                <w:color w:val="000000"/>
                <w:kern w:val="0"/>
                <w:sz w:val="24"/>
                <w:szCs w:val="24"/>
              </w:rPr>
            </w:pPr>
            <w:r>
              <w:rPr>
                <w:rFonts w:hint="eastAsia" w:ascii="宋体" w:hAnsi="宋体" w:cs="宋体"/>
                <w:color w:val="000000"/>
                <w:kern w:val="0"/>
                <w:sz w:val="20"/>
                <w:szCs w:val="20"/>
              </w:rPr>
              <w:t>第二十条第（一）项</w:t>
            </w:r>
          </w:p>
        </w:tc>
      </w:tr>
      <w:tr>
        <w:tblPrEx>
          <w:tblCellMar>
            <w:top w:w="0" w:type="dxa"/>
            <w:left w:w="108" w:type="dxa"/>
            <w:bottom w:w="0" w:type="dxa"/>
            <w:right w:w="108" w:type="dxa"/>
          </w:tblCellMar>
        </w:tblPrEx>
        <w:trPr>
          <w:trHeight w:val="729" w:hRule="atLeast"/>
          <w:jc w:val="center"/>
        </w:trPr>
        <w:tc>
          <w:tcPr>
            <w:tcW w:w="1935" w:type="pct"/>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cs="Times New Roman"/>
                <w:color w:val="000000"/>
                <w:kern w:val="0"/>
                <w:sz w:val="24"/>
                <w:szCs w:val="24"/>
              </w:rPr>
            </w:pPr>
            <w:r>
              <w:rPr>
                <w:rFonts w:hint="eastAsia" w:ascii="宋体" w:hAnsi="宋体" w:cs="宋体"/>
                <w:color w:val="000000"/>
                <w:kern w:val="0"/>
                <w:sz w:val="20"/>
                <w:szCs w:val="20"/>
              </w:rPr>
              <w:t>信息内容</w:t>
            </w:r>
          </w:p>
        </w:tc>
        <w:tc>
          <w:tcPr>
            <w:tcW w:w="994" w:type="pct"/>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宋体" w:cs="Times New Roman"/>
                <w:color w:val="000000"/>
                <w:kern w:val="0"/>
                <w:sz w:val="24"/>
                <w:szCs w:val="24"/>
              </w:rPr>
            </w:pPr>
            <w:r>
              <w:rPr>
                <w:rFonts w:hint="eastAsia" w:ascii="宋体" w:hAnsi="宋体" w:cs="宋体"/>
                <w:color w:val="000000"/>
                <w:kern w:val="0"/>
                <w:sz w:val="20"/>
                <w:szCs w:val="20"/>
              </w:rPr>
              <w:t>本年制发件数</w:t>
            </w:r>
          </w:p>
        </w:tc>
        <w:tc>
          <w:tcPr>
            <w:tcW w:w="867"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cs="Times New Roman"/>
                <w:color w:val="000000"/>
                <w:kern w:val="0"/>
                <w:sz w:val="24"/>
                <w:szCs w:val="24"/>
              </w:rPr>
            </w:pPr>
            <w:r>
              <w:rPr>
                <w:rFonts w:hint="eastAsia" w:ascii="宋体" w:hAnsi="宋体" w:cs="宋体"/>
                <w:color w:val="000000"/>
                <w:kern w:val="0"/>
                <w:sz w:val="20"/>
                <w:szCs w:val="20"/>
              </w:rPr>
              <w:t>本年废止件数</w:t>
            </w:r>
          </w:p>
        </w:tc>
        <w:tc>
          <w:tcPr>
            <w:tcW w:w="1205" w:type="pct"/>
            <w:tcBorders>
              <w:top w:val="nil"/>
              <w:left w:val="nil"/>
              <w:bottom w:val="single" w:color="auto" w:sz="4" w:space="0"/>
              <w:right w:val="single" w:color="auto" w:sz="4" w:space="0"/>
            </w:tcBorders>
            <w:noWrap/>
            <w:vAlign w:val="center"/>
          </w:tcPr>
          <w:p>
            <w:pPr>
              <w:widowControl/>
              <w:spacing w:line="560" w:lineRule="exact"/>
              <w:jc w:val="center"/>
              <w:rPr>
                <w:rFonts w:ascii="宋体" w:cs="Times New Roman"/>
                <w:color w:val="000000"/>
                <w:kern w:val="0"/>
                <w:sz w:val="24"/>
                <w:szCs w:val="24"/>
              </w:rPr>
            </w:pPr>
            <w:r>
              <w:rPr>
                <w:rFonts w:hint="eastAsia" w:ascii="宋体" w:hAnsi="宋体" w:cs="宋体"/>
                <w:color w:val="000000"/>
                <w:kern w:val="0"/>
                <w:sz w:val="20"/>
                <w:szCs w:val="20"/>
              </w:rPr>
              <w:t>现行有效件数</w:t>
            </w:r>
          </w:p>
        </w:tc>
      </w:tr>
      <w:tr>
        <w:tblPrEx>
          <w:tblCellMar>
            <w:top w:w="0" w:type="dxa"/>
            <w:left w:w="108" w:type="dxa"/>
            <w:bottom w:w="0" w:type="dxa"/>
            <w:right w:w="108" w:type="dxa"/>
          </w:tblCellMar>
        </w:tblPrEx>
        <w:trPr>
          <w:trHeight w:val="654" w:hRule="atLeast"/>
          <w:jc w:val="center"/>
        </w:trPr>
        <w:tc>
          <w:tcPr>
            <w:tcW w:w="1935" w:type="pct"/>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宋体" w:cs="Times New Roman"/>
                <w:color w:val="000000"/>
                <w:kern w:val="0"/>
                <w:sz w:val="24"/>
                <w:szCs w:val="24"/>
              </w:rPr>
            </w:pPr>
            <w:r>
              <w:rPr>
                <w:rFonts w:hint="eastAsia" w:ascii="宋体" w:hAnsi="宋体" w:cs="宋体"/>
                <w:color w:val="000000"/>
                <w:kern w:val="0"/>
                <w:sz w:val="20"/>
                <w:szCs w:val="20"/>
              </w:rPr>
              <w:t>规章</w:t>
            </w:r>
          </w:p>
        </w:tc>
        <w:tc>
          <w:tcPr>
            <w:tcW w:w="994" w:type="pct"/>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宋体" w:cs="Times New Roman"/>
                <w:color w:val="000000"/>
                <w:kern w:val="0"/>
                <w:sz w:val="24"/>
                <w:szCs w:val="24"/>
              </w:rPr>
            </w:pPr>
            <w:r>
              <w:rPr>
                <w:rFonts w:ascii="宋体" w:cs="宋体"/>
                <w:color w:val="000000"/>
                <w:kern w:val="0"/>
                <w:sz w:val="24"/>
                <w:szCs w:val="24"/>
              </w:rPr>
              <w:t>0</w:t>
            </w:r>
          </w:p>
        </w:tc>
        <w:tc>
          <w:tcPr>
            <w:tcW w:w="867" w:type="pct"/>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cs="Times New Roman"/>
                <w:color w:val="000000"/>
                <w:kern w:val="0"/>
                <w:sz w:val="24"/>
                <w:szCs w:val="24"/>
              </w:rPr>
            </w:pPr>
            <w:r>
              <w:rPr>
                <w:rFonts w:ascii="宋体" w:cs="宋体"/>
                <w:color w:val="000000"/>
                <w:kern w:val="0"/>
                <w:sz w:val="24"/>
                <w:szCs w:val="24"/>
              </w:rPr>
              <w:t>0</w:t>
            </w:r>
          </w:p>
        </w:tc>
        <w:tc>
          <w:tcPr>
            <w:tcW w:w="1205" w:type="pct"/>
            <w:tcBorders>
              <w:top w:val="nil"/>
              <w:left w:val="nil"/>
              <w:bottom w:val="single" w:color="auto" w:sz="4" w:space="0"/>
              <w:right w:val="single" w:color="auto" w:sz="4" w:space="0"/>
            </w:tcBorders>
            <w:noWrap/>
            <w:vAlign w:val="center"/>
          </w:tcPr>
          <w:p>
            <w:pPr>
              <w:widowControl/>
              <w:spacing w:line="560" w:lineRule="exact"/>
              <w:jc w:val="center"/>
              <w:rPr>
                <w:rFonts w:ascii="宋体" w:cs="Times New Roman"/>
                <w:color w:val="000000"/>
                <w:kern w:val="0"/>
                <w:sz w:val="24"/>
                <w:szCs w:val="24"/>
              </w:rPr>
            </w:pPr>
            <w:r>
              <w:rPr>
                <w:rFonts w:ascii="宋体" w:cs="宋体"/>
                <w:color w:val="000000"/>
                <w:kern w:val="0"/>
                <w:sz w:val="24"/>
                <w:szCs w:val="24"/>
              </w:rPr>
              <w:t>0</w:t>
            </w:r>
          </w:p>
        </w:tc>
      </w:tr>
      <w:tr>
        <w:tblPrEx>
          <w:tblCellMar>
            <w:top w:w="0" w:type="dxa"/>
            <w:left w:w="108" w:type="dxa"/>
            <w:bottom w:w="0" w:type="dxa"/>
            <w:right w:w="108" w:type="dxa"/>
          </w:tblCellMar>
        </w:tblPrEx>
        <w:trPr>
          <w:trHeight w:val="471" w:hRule="atLeast"/>
          <w:jc w:val="center"/>
        </w:trPr>
        <w:tc>
          <w:tcPr>
            <w:tcW w:w="1935" w:type="pct"/>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宋体" w:cs="Times New Roman"/>
                <w:color w:val="000000"/>
                <w:kern w:val="0"/>
                <w:sz w:val="24"/>
                <w:szCs w:val="24"/>
              </w:rPr>
            </w:pPr>
            <w:r>
              <w:rPr>
                <w:rFonts w:hint="eastAsia" w:ascii="宋体" w:hAnsi="宋体" w:cs="宋体"/>
                <w:color w:val="000000"/>
                <w:kern w:val="0"/>
                <w:sz w:val="20"/>
                <w:szCs w:val="20"/>
              </w:rPr>
              <w:t>规范性文件</w:t>
            </w:r>
          </w:p>
        </w:tc>
        <w:tc>
          <w:tcPr>
            <w:tcW w:w="994" w:type="pct"/>
            <w:tcBorders>
              <w:top w:val="nil"/>
              <w:left w:val="nil"/>
              <w:bottom w:val="single" w:color="auto" w:sz="4" w:space="0"/>
              <w:right w:val="single" w:color="auto" w:sz="4" w:space="0"/>
            </w:tcBorders>
            <w:noWrap/>
            <w:vAlign w:val="center"/>
          </w:tcPr>
          <w:p>
            <w:pPr>
              <w:widowControl/>
              <w:spacing w:line="560" w:lineRule="exact"/>
              <w:jc w:val="center"/>
              <w:rPr>
                <w:rFonts w:ascii="宋体" w:cs="Times New Roman"/>
                <w:color w:val="000000"/>
                <w:kern w:val="0"/>
                <w:sz w:val="24"/>
                <w:szCs w:val="24"/>
              </w:rPr>
            </w:pPr>
            <w:r>
              <w:rPr>
                <w:rFonts w:hint="eastAsia" w:ascii="宋体" w:cs="宋体"/>
                <w:color w:val="000000"/>
                <w:kern w:val="0"/>
                <w:sz w:val="24"/>
                <w:szCs w:val="24"/>
              </w:rPr>
              <w:t>0</w:t>
            </w:r>
          </w:p>
        </w:tc>
        <w:tc>
          <w:tcPr>
            <w:tcW w:w="867" w:type="pct"/>
            <w:tcBorders>
              <w:top w:val="nil"/>
              <w:left w:val="nil"/>
              <w:bottom w:val="single" w:color="auto" w:sz="4" w:space="0"/>
              <w:right w:val="single" w:color="auto" w:sz="4" w:space="0"/>
            </w:tcBorders>
            <w:vAlign w:val="center"/>
          </w:tcPr>
          <w:p>
            <w:pPr>
              <w:widowControl/>
              <w:spacing w:line="560" w:lineRule="exact"/>
              <w:jc w:val="center"/>
              <w:rPr>
                <w:rFonts w:hint="eastAsia" w:ascii="宋体" w:eastAsia="宋体" w:cs="Times New Roman"/>
                <w:color w:val="000000"/>
                <w:kern w:val="0"/>
                <w:sz w:val="24"/>
                <w:szCs w:val="24"/>
                <w:lang w:eastAsia="zh-CN"/>
              </w:rPr>
            </w:pPr>
            <w:r>
              <w:rPr>
                <w:rFonts w:hint="eastAsia" w:ascii="宋体" w:cs="宋体"/>
                <w:color w:val="000000"/>
                <w:kern w:val="0"/>
                <w:sz w:val="24"/>
                <w:szCs w:val="24"/>
                <w:lang w:val="en-US" w:eastAsia="zh-CN"/>
              </w:rPr>
              <w:t>0</w:t>
            </w:r>
          </w:p>
        </w:tc>
        <w:tc>
          <w:tcPr>
            <w:tcW w:w="1205" w:type="pct"/>
            <w:tcBorders>
              <w:top w:val="nil"/>
              <w:left w:val="nil"/>
              <w:bottom w:val="single" w:color="auto" w:sz="4" w:space="0"/>
              <w:right w:val="single" w:color="auto" w:sz="4" w:space="0"/>
            </w:tcBorders>
            <w:noWrap/>
            <w:vAlign w:val="center"/>
          </w:tcPr>
          <w:p>
            <w:pPr>
              <w:widowControl/>
              <w:spacing w:line="560" w:lineRule="exact"/>
              <w:jc w:val="center"/>
              <w:rPr>
                <w:rFonts w:ascii="宋体" w:cs="Times New Roman"/>
                <w:color w:val="000000"/>
                <w:kern w:val="0"/>
                <w:sz w:val="24"/>
                <w:szCs w:val="24"/>
              </w:rPr>
            </w:pPr>
            <w:r>
              <w:rPr>
                <w:rFonts w:hint="eastAsia" w:ascii="宋体" w:cs="宋体"/>
                <w:color w:val="000000"/>
                <w:kern w:val="0"/>
                <w:sz w:val="24"/>
                <w:szCs w:val="24"/>
              </w:rPr>
              <w:t>5</w:t>
            </w:r>
          </w:p>
        </w:tc>
      </w:tr>
      <w:tr>
        <w:tblPrEx>
          <w:tblCellMar>
            <w:top w:w="0" w:type="dxa"/>
            <w:left w:w="108" w:type="dxa"/>
            <w:bottom w:w="0" w:type="dxa"/>
            <w:right w:w="108" w:type="dxa"/>
          </w:tblCellMar>
        </w:tblPrEx>
        <w:trPr>
          <w:trHeight w:val="603"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line="560" w:lineRule="exact"/>
              <w:jc w:val="center"/>
              <w:rPr>
                <w:rFonts w:ascii="宋体" w:cs="Times New Roman"/>
                <w:color w:val="000000"/>
                <w:kern w:val="0"/>
                <w:sz w:val="24"/>
                <w:szCs w:val="24"/>
              </w:rPr>
            </w:pPr>
            <w:r>
              <w:rPr>
                <w:rFonts w:hint="eastAsia" w:ascii="宋体" w:hAnsi="宋体" w:cs="宋体"/>
                <w:color w:val="000000"/>
                <w:kern w:val="0"/>
                <w:sz w:val="20"/>
                <w:szCs w:val="20"/>
              </w:rPr>
              <w:t>第二十条第（五）项</w:t>
            </w:r>
          </w:p>
        </w:tc>
      </w:tr>
      <w:tr>
        <w:tblPrEx>
          <w:tblCellMar>
            <w:top w:w="0" w:type="dxa"/>
            <w:left w:w="108" w:type="dxa"/>
            <w:bottom w:w="0" w:type="dxa"/>
            <w:right w:w="108" w:type="dxa"/>
          </w:tblCellMar>
        </w:tblPrEx>
        <w:trPr>
          <w:trHeight w:val="634" w:hRule="atLeast"/>
          <w:jc w:val="center"/>
        </w:trPr>
        <w:tc>
          <w:tcPr>
            <w:tcW w:w="1935" w:type="pct"/>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cs="Times New Roman"/>
                <w:color w:val="000000"/>
                <w:kern w:val="0"/>
                <w:sz w:val="24"/>
                <w:szCs w:val="24"/>
              </w:rPr>
            </w:pPr>
            <w:r>
              <w:rPr>
                <w:rFonts w:hint="eastAsia" w:ascii="宋体" w:hAnsi="宋体" w:cs="宋体"/>
                <w:color w:val="000000"/>
                <w:kern w:val="0"/>
                <w:sz w:val="20"/>
                <w:szCs w:val="20"/>
              </w:rPr>
              <w:t>信息内容</w:t>
            </w:r>
          </w:p>
        </w:tc>
        <w:tc>
          <w:tcPr>
            <w:tcW w:w="3065" w:type="pct"/>
            <w:gridSpan w:val="3"/>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宋体" w:cs="宋体"/>
                <w:color w:val="000000"/>
                <w:kern w:val="0"/>
                <w:sz w:val="20"/>
                <w:szCs w:val="20"/>
              </w:rPr>
            </w:pPr>
            <w:r>
              <w:rPr>
                <w:rFonts w:hint="eastAsia" w:ascii="宋体" w:hAnsi="宋体" w:cs="宋体"/>
                <w:color w:val="000000"/>
                <w:kern w:val="0"/>
                <w:sz w:val="20"/>
                <w:szCs w:val="20"/>
              </w:rPr>
              <w:t>本年处理决定数量</w:t>
            </w:r>
          </w:p>
        </w:tc>
      </w:tr>
      <w:tr>
        <w:tblPrEx>
          <w:tblCellMar>
            <w:top w:w="0" w:type="dxa"/>
            <w:left w:w="108" w:type="dxa"/>
            <w:bottom w:w="0" w:type="dxa"/>
            <w:right w:w="108" w:type="dxa"/>
          </w:tblCellMar>
        </w:tblPrEx>
        <w:trPr>
          <w:trHeight w:val="528" w:hRule="atLeast"/>
          <w:jc w:val="center"/>
        </w:trPr>
        <w:tc>
          <w:tcPr>
            <w:tcW w:w="1935" w:type="pct"/>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宋体" w:cs="Times New Roman"/>
                <w:color w:val="000000"/>
                <w:kern w:val="0"/>
                <w:sz w:val="24"/>
                <w:szCs w:val="24"/>
              </w:rPr>
            </w:pPr>
            <w:r>
              <w:rPr>
                <w:rFonts w:hint="eastAsia" w:ascii="宋体" w:hAnsi="宋体" w:cs="宋体"/>
                <w:color w:val="000000"/>
                <w:kern w:val="0"/>
                <w:sz w:val="20"/>
                <w:szCs w:val="20"/>
              </w:rPr>
              <w:t>行政许可</w:t>
            </w:r>
          </w:p>
        </w:tc>
        <w:tc>
          <w:tcPr>
            <w:tcW w:w="3065" w:type="pct"/>
            <w:gridSpan w:val="3"/>
            <w:tcBorders>
              <w:top w:val="nil"/>
              <w:left w:val="nil"/>
              <w:bottom w:val="single" w:color="auto" w:sz="4" w:space="0"/>
              <w:right w:val="single" w:color="auto" w:sz="4" w:space="0"/>
            </w:tcBorders>
            <w:noWrap/>
            <w:vAlign w:val="center"/>
          </w:tcPr>
          <w:p>
            <w:pPr>
              <w:widowControl/>
              <w:spacing w:line="560" w:lineRule="exact"/>
              <w:jc w:val="center"/>
              <w:rPr>
                <w:rFonts w:ascii="宋体" w:cs="Times New Roman"/>
                <w:color w:val="000000"/>
                <w:kern w:val="0"/>
                <w:sz w:val="24"/>
                <w:szCs w:val="24"/>
              </w:rPr>
            </w:pPr>
            <w:r>
              <w:rPr>
                <w:rFonts w:hint="eastAsia" w:ascii="宋体" w:cs="Times New Roman"/>
                <w:color w:val="000000"/>
                <w:kern w:val="0"/>
                <w:sz w:val="24"/>
                <w:szCs w:val="24"/>
              </w:rPr>
              <w:t>0</w:t>
            </w:r>
          </w:p>
        </w:tc>
      </w:tr>
      <w:tr>
        <w:tblPrEx>
          <w:tblCellMar>
            <w:top w:w="0" w:type="dxa"/>
            <w:left w:w="108" w:type="dxa"/>
            <w:bottom w:w="0" w:type="dxa"/>
            <w:right w:w="108" w:type="dxa"/>
          </w:tblCellMar>
        </w:tblPrEx>
        <w:trPr>
          <w:trHeight w:val="669"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line="560" w:lineRule="exact"/>
              <w:jc w:val="center"/>
              <w:rPr>
                <w:rFonts w:ascii="宋体" w:cs="Times New Roman"/>
                <w:color w:val="000000"/>
                <w:kern w:val="0"/>
                <w:sz w:val="24"/>
                <w:szCs w:val="24"/>
              </w:rPr>
            </w:pPr>
            <w:r>
              <w:rPr>
                <w:rFonts w:hint="eastAsia" w:ascii="宋体" w:hAnsi="宋体" w:cs="宋体"/>
                <w:color w:val="000000"/>
                <w:kern w:val="0"/>
                <w:sz w:val="20"/>
                <w:szCs w:val="20"/>
              </w:rPr>
              <w:t>第二十条第（六）项</w:t>
            </w:r>
          </w:p>
        </w:tc>
      </w:tr>
      <w:tr>
        <w:tblPrEx>
          <w:tblCellMar>
            <w:top w:w="0" w:type="dxa"/>
            <w:left w:w="108" w:type="dxa"/>
            <w:bottom w:w="0" w:type="dxa"/>
            <w:right w:w="108" w:type="dxa"/>
          </w:tblCellMar>
        </w:tblPrEx>
        <w:trPr>
          <w:trHeight w:val="634" w:hRule="atLeast"/>
          <w:jc w:val="center"/>
        </w:trPr>
        <w:tc>
          <w:tcPr>
            <w:tcW w:w="1935" w:type="pct"/>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cs="Times New Roman"/>
                <w:color w:val="000000"/>
                <w:kern w:val="0"/>
                <w:sz w:val="24"/>
                <w:szCs w:val="24"/>
              </w:rPr>
            </w:pPr>
            <w:r>
              <w:rPr>
                <w:rFonts w:hint="eastAsia" w:ascii="宋体" w:hAnsi="宋体" w:cs="宋体"/>
                <w:color w:val="000000"/>
                <w:kern w:val="0"/>
                <w:sz w:val="20"/>
                <w:szCs w:val="20"/>
              </w:rPr>
              <w:t>信息内容</w:t>
            </w:r>
          </w:p>
        </w:tc>
        <w:tc>
          <w:tcPr>
            <w:tcW w:w="3065" w:type="pct"/>
            <w:gridSpan w:val="3"/>
            <w:tcBorders>
              <w:top w:val="single" w:color="auto" w:sz="4" w:space="0"/>
              <w:left w:val="nil"/>
              <w:bottom w:val="single" w:color="auto" w:sz="4" w:space="0"/>
              <w:right w:val="single" w:color="auto" w:sz="4" w:space="0"/>
            </w:tcBorders>
            <w:noWrap/>
            <w:vAlign w:val="center"/>
          </w:tcPr>
          <w:p>
            <w:pPr>
              <w:widowControl/>
              <w:spacing w:line="560" w:lineRule="exact"/>
              <w:jc w:val="center"/>
              <w:rPr>
                <w:rFonts w:ascii="宋体" w:cs="Times New Roman"/>
                <w:color w:val="000000"/>
                <w:kern w:val="0"/>
                <w:sz w:val="24"/>
                <w:szCs w:val="24"/>
              </w:rPr>
            </w:pPr>
            <w:r>
              <w:rPr>
                <w:rFonts w:hint="eastAsia" w:ascii="宋体" w:hAnsi="宋体" w:cs="宋体"/>
                <w:color w:val="000000"/>
                <w:kern w:val="0"/>
                <w:sz w:val="20"/>
                <w:szCs w:val="20"/>
              </w:rPr>
              <w:t>本年处理决定数量</w:t>
            </w:r>
          </w:p>
        </w:tc>
      </w:tr>
      <w:tr>
        <w:tblPrEx>
          <w:tblCellMar>
            <w:top w:w="0" w:type="dxa"/>
            <w:left w:w="108" w:type="dxa"/>
            <w:bottom w:w="0" w:type="dxa"/>
            <w:right w:w="108" w:type="dxa"/>
          </w:tblCellMar>
        </w:tblPrEx>
        <w:trPr>
          <w:trHeight w:val="430" w:hRule="atLeast"/>
          <w:jc w:val="center"/>
        </w:trPr>
        <w:tc>
          <w:tcPr>
            <w:tcW w:w="1935" w:type="pct"/>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宋体" w:cs="Times New Roman"/>
                <w:color w:val="000000"/>
                <w:kern w:val="0"/>
                <w:sz w:val="24"/>
                <w:szCs w:val="24"/>
              </w:rPr>
            </w:pPr>
            <w:r>
              <w:rPr>
                <w:rFonts w:hint="eastAsia" w:ascii="宋体" w:hAnsi="宋体" w:cs="宋体"/>
                <w:color w:val="000000"/>
                <w:kern w:val="0"/>
                <w:sz w:val="20"/>
                <w:szCs w:val="20"/>
              </w:rPr>
              <w:t>行政处罚</w:t>
            </w:r>
          </w:p>
        </w:tc>
        <w:tc>
          <w:tcPr>
            <w:tcW w:w="3065" w:type="pct"/>
            <w:gridSpan w:val="3"/>
            <w:tcBorders>
              <w:top w:val="single" w:color="auto" w:sz="4" w:space="0"/>
              <w:left w:val="nil"/>
              <w:bottom w:val="single" w:color="auto" w:sz="4" w:space="0"/>
              <w:right w:val="single" w:color="auto" w:sz="4" w:space="0"/>
            </w:tcBorders>
            <w:noWrap/>
            <w:vAlign w:val="center"/>
          </w:tcPr>
          <w:p>
            <w:pPr>
              <w:widowControl/>
              <w:spacing w:line="560" w:lineRule="exact"/>
              <w:jc w:val="center"/>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13</w:t>
            </w:r>
          </w:p>
        </w:tc>
      </w:tr>
      <w:tr>
        <w:tblPrEx>
          <w:tblCellMar>
            <w:top w:w="0" w:type="dxa"/>
            <w:left w:w="108" w:type="dxa"/>
            <w:bottom w:w="0" w:type="dxa"/>
            <w:right w:w="108" w:type="dxa"/>
          </w:tblCellMar>
        </w:tblPrEx>
        <w:trPr>
          <w:trHeight w:val="409" w:hRule="atLeast"/>
          <w:jc w:val="center"/>
        </w:trPr>
        <w:tc>
          <w:tcPr>
            <w:tcW w:w="1935" w:type="pct"/>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宋体" w:cs="Times New Roman"/>
                <w:color w:val="000000"/>
                <w:kern w:val="0"/>
                <w:sz w:val="24"/>
                <w:szCs w:val="24"/>
              </w:rPr>
            </w:pPr>
            <w:r>
              <w:rPr>
                <w:rFonts w:hint="eastAsia" w:ascii="宋体" w:hAnsi="宋体" w:cs="宋体"/>
                <w:color w:val="000000"/>
                <w:kern w:val="0"/>
                <w:sz w:val="20"/>
                <w:szCs w:val="20"/>
              </w:rPr>
              <w:t>行政强制</w:t>
            </w:r>
          </w:p>
        </w:tc>
        <w:tc>
          <w:tcPr>
            <w:tcW w:w="3065" w:type="pct"/>
            <w:gridSpan w:val="3"/>
            <w:tcBorders>
              <w:top w:val="nil"/>
              <w:left w:val="nil"/>
              <w:bottom w:val="single" w:color="auto" w:sz="4" w:space="0"/>
              <w:right w:val="single" w:color="auto" w:sz="4" w:space="0"/>
            </w:tcBorders>
            <w:noWrap/>
            <w:vAlign w:val="center"/>
          </w:tcPr>
          <w:p>
            <w:pPr>
              <w:widowControl/>
              <w:spacing w:line="560" w:lineRule="exact"/>
              <w:jc w:val="center"/>
              <w:rPr>
                <w:rFonts w:ascii="宋体" w:cs="Times New Roman"/>
                <w:color w:val="000000"/>
                <w:kern w:val="0"/>
                <w:sz w:val="24"/>
                <w:szCs w:val="24"/>
              </w:rPr>
            </w:pPr>
            <w:r>
              <w:rPr>
                <w:rFonts w:hint="eastAsia" w:ascii="宋体" w:cs="Times New Roman"/>
                <w:color w:val="000000"/>
                <w:kern w:val="0"/>
                <w:sz w:val="24"/>
                <w:szCs w:val="24"/>
              </w:rPr>
              <w:t>0</w:t>
            </w:r>
          </w:p>
        </w:tc>
      </w:tr>
      <w:tr>
        <w:tblPrEx>
          <w:tblCellMar>
            <w:top w:w="0" w:type="dxa"/>
            <w:left w:w="108" w:type="dxa"/>
            <w:bottom w:w="0" w:type="dxa"/>
            <w:right w:w="108" w:type="dxa"/>
          </w:tblCellMar>
        </w:tblPrEx>
        <w:trPr>
          <w:trHeight w:val="655" w:hRule="atLeast"/>
          <w:jc w:val="center"/>
        </w:trPr>
        <w:tc>
          <w:tcPr>
            <w:tcW w:w="5000" w:type="pct"/>
            <w:gridSpan w:val="4"/>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line="560" w:lineRule="exact"/>
              <w:jc w:val="center"/>
              <w:rPr>
                <w:rFonts w:ascii="宋体" w:cs="Times New Roman"/>
                <w:color w:val="000000"/>
                <w:kern w:val="0"/>
                <w:sz w:val="24"/>
                <w:szCs w:val="24"/>
              </w:rPr>
            </w:pPr>
            <w:r>
              <w:rPr>
                <w:rFonts w:hint="eastAsia" w:ascii="宋体" w:hAnsi="宋体" w:cs="宋体"/>
                <w:color w:val="000000"/>
                <w:kern w:val="0"/>
                <w:sz w:val="20"/>
                <w:szCs w:val="20"/>
              </w:rPr>
              <w:t>第二十条第（八）项</w:t>
            </w:r>
          </w:p>
        </w:tc>
      </w:tr>
      <w:tr>
        <w:tblPrEx>
          <w:tblCellMar>
            <w:top w:w="0" w:type="dxa"/>
            <w:left w:w="108" w:type="dxa"/>
            <w:bottom w:w="0" w:type="dxa"/>
            <w:right w:w="108" w:type="dxa"/>
          </w:tblCellMar>
        </w:tblPrEx>
        <w:trPr>
          <w:trHeight w:val="607" w:hRule="atLeast"/>
          <w:jc w:val="center"/>
        </w:trPr>
        <w:tc>
          <w:tcPr>
            <w:tcW w:w="1935" w:type="pct"/>
            <w:tcBorders>
              <w:top w:val="nil"/>
              <w:left w:val="single" w:color="auto" w:sz="4" w:space="0"/>
              <w:bottom w:val="single" w:color="auto" w:sz="4" w:space="0"/>
              <w:right w:val="single" w:color="auto" w:sz="4" w:space="0"/>
            </w:tcBorders>
            <w:noWrap/>
            <w:vAlign w:val="center"/>
          </w:tcPr>
          <w:p>
            <w:pPr>
              <w:widowControl/>
              <w:spacing w:line="560" w:lineRule="exact"/>
              <w:jc w:val="center"/>
              <w:rPr>
                <w:rFonts w:ascii="宋体" w:cs="Times New Roman"/>
                <w:color w:val="000000"/>
                <w:kern w:val="0"/>
                <w:sz w:val="24"/>
                <w:szCs w:val="24"/>
              </w:rPr>
            </w:pPr>
            <w:r>
              <w:rPr>
                <w:rFonts w:hint="eastAsia" w:ascii="宋体" w:hAnsi="宋体" w:cs="宋体"/>
                <w:color w:val="000000"/>
                <w:kern w:val="0"/>
                <w:sz w:val="20"/>
                <w:szCs w:val="20"/>
              </w:rPr>
              <w:t>信息内容</w:t>
            </w:r>
          </w:p>
        </w:tc>
        <w:tc>
          <w:tcPr>
            <w:tcW w:w="3065" w:type="pct"/>
            <w:gridSpan w:val="3"/>
            <w:tcBorders>
              <w:top w:val="nil"/>
              <w:left w:val="nil"/>
              <w:bottom w:val="single" w:color="auto" w:sz="4" w:space="0"/>
              <w:right w:val="single" w:color="000000" w:sz="4" w:space="0"/>
            </w:tcBorders>
            <w:noWrap/>
            <w:vAlign w:val="center"/>
          </w:tcPr>
          <w:p>
            <w:pPr>
              <w:widowControl/>
              <w:spacing w:line="560" w:lineRule="exact"/>
              <w:jc w:val="center"/>
              <w:rPr>
                <w:rFonts w:ascii="宋体" w:cs="宋体"/>
                <w:color w:val="000000"/>
                <w:kern w:val="0"/>
                <w:sz w:val="20"/>
                <w:szCs w:val="20"/>
              </w:rPr>
            </w:pPr>
            <w:r>
              <w:rPr>
                <w:rFonts w:hint="eastAsia" w:ascii="宋体" w:hAnsi="宋体" w:cs="宋体"/>
                <w:color w:val="000000"/>
                <w:kern w:val="0"/>
                <w:sz w:val="20"/>
                <w:szCs w:val="20"/>
              </w:rPr>
              <w:t>本年收费金额（单位：万元）</w:t>
            </w:r>
          </w:p>
        </w:tc>
      </w:tr>
      <w:tr>
        <w:tblPrEx>
          <w:tblCellMar>
            <w:top w:w="0" w:type="dxa"/>
            <w:left w:w="108" w:type="dxa"/>
            <w:bottom w:w="0" w:type="dxa"/>
            <w:right w:w="108" w:type="dxa"/>
          </w:tblCellMar>
        </w:tblPrEx>
        <w:trPr>
          <w:trHeight w:val="551" w:hRule="atLeast"/>
          <w:jc w:val="center"/>
        </w:trPr>
        <w:tc>
          <w:tcPr>
            <w:tcW w:w="1935" w:type="pct"/>
            <w:tcBorders>
              <w:top w:val="nil"/>
              <w:left w:val="single" w:color="auto" w:sz="4" w:space="0"/>
              <w:bottom w:val="single" w:color="auto" w:sz="4" w:space="0"/>
              <w:right w:val="single" w:color="auto" w:sz="4" w:space="0"/>
            </w:tcBorders>
            <w:noWrap/>
            <w:vAlign w:val="center"/>
          </w:tcPr>
          <w:p>
            <w:pPr>
              <w:widowControl/>
              <w:spacing w:line="560" w:lineRule="exact"/>
              <w:jc w:val="left"/>
              <w:rPr>
                <w:rFonts w:ascii="宋体" w:cs="Times New Roman"/>
                <w:color w:val="000000"/>
                <w:kern w:val="0"/>
                <w:sz w:val="24"/>
                <w:szCs w:val="24"/>
              </w:rPr>
            </w:pPr>
            <w:r>
              <w:rPr>
                <w:rFonts w:hint="eastAsia" w:ascii="宋体" w:hAnsi="宋体" w:cs="宋体"/>
                <w:color w:val="000000"/>
                <w:kern w:val="0"/>
                <w:sz w:val="20"/>
                <w:szCs w:val="20"/>
              </w:rPr>
              <w:t>行政事业性收费</w:t>
            </w:r>
          </w:p>
        </w:tc>
        <w:tc>
          <w:tcPr>
            <w:tcW w:w="3065" w:type="pct"/>
            <w:gridSpan w:val="3"/>
            <w:tcBorders>
              <w:top w:val="nil"/>
              <w:left w:val="nil"/>
              <w:bottom w:val="single" w:color="auto" w:sz="4" w:space="0"/>
              <w:right w:val="single" w:color="000000" w:sz="4" w:space="0"/>
            </w:tcBorders>
            <w:noWrap/>
            <w:vAlign w:val="center"/>
          </w:tcPr>
          <w:p>
            <w:pPr>
              <w:widowControl/>
              <w:spacing w:line="560" w:lineRule="exact"/>
              <w:jc w:val="center"/>
              <w:rPr>
                <w:rFonts w:hint="default" w:ascii="宋体" w:eastAsia="宋体" w:cs="Times New Roman"/>
                <w:color w:val="000000"/>
                <w:kern w:val="0"/>
                <w:sz w:val="24"/>
                <w:szCs w:val="24"/>
                <w:lang w:val="en-US" w:eastAsia="zh-CN"/>
              </w:rPr>
            </w:pPr>
            <w:r>
              <w:rPr>
                <w:rFonts w:hint="eastAsia" w:ascii="宋体" w:cs="Times New Roman"/>
                <w:color w:val="000000"/>
                <w:kern w:val="0"/>
                <w:sz w:val="24"/>
                <w:szCs w:val="24"/>
                <w:lang w:val="en-US" w:eastAsia="zh-CN"/>
              </w:rPr>
              <w:t>862.32</w:t>
            </w:r>
          </w:p>
        </w:tc>
      </w:tr>
    </w:tbl>
    <w:p>
      <w:pPr>
        <w:widowControl/>
        <w:spacing w:line="560" w:lineRule="exact"/>
        <w:ind w:firstLine="640" w:firstLineChars="200"/>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三、收到和处理政府信息公开申请情况</w:t>
      </w:r>
    </w:p>
    <w:tbl>
      <w:tblPr>
        <w:tblStyle w:val="6"/>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877"/>
        <w:gridCol w:w="2283"/>
        <w:gridCol w:w="966"/>
        <w:gridCol w:w="720"/>
        <w:gridCol w:w="720"/>
        <w:gridCol w:w="900"/>
        <w:gridCol w:w="900"/>
        <w:gridCol w:w="720"/>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2"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hint="eastAsia" w:cs="宋体"/>
                <w:color w:val="000000"/>
                <w:sz w:val="20"/>
                <w:szCs w:val="20"/>
              </w:rPr>
              <w:t>（本列数据的勾稽关系为：第一项加第二项之和，等于第三项加第四项之和）</w:t>
            </w:r>
          </w:p>
        </w:tc>
        <w:tc>
          <w:tcPr>
            <w:tcW w:w="5755" w:type="dxa"/>
            <w:gridSpan w:val="7"/>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cs="Times New Roman"/>
                <w:color w:val="000000"/>
                <w:kern w:val="0"/>
                <w:sz w:val="24"/>
                <w:szCs w:val="24"/>
              </w:rPr>
            </w:pPr>
            <w:r>
              <w:rPr>
                <w:rFonts w:hint="eastAsia" w:cs="宋体"/>
                <w:color w:val="000000"/>
                <w:sz w:val="20"/>
                <w:szCs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966" w:type="dxa"/>
            <w:vMerge w:val="restart"/>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r>
              <w:rPr>
                <w:rFonts w:hint="eastAsia" w:cs="宋体"/>
                <w:color w:val="000000"/>
                <w:sz w:val="20"/>
                <w:szCs w:val="20"/>
              </w:rPr>
              <w:t>自然人</w:t>
            </w:r>
          </w:p>
        </w:tc>
        <w:tc>
          <w:tcPr>
            <w:tcW w:w="3960" w:type="dxa"/>
            <w:gridSpan w:val="5"/>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cs="Times New Roman"/>
                <w:color w:val="000000"/>
                <w:kern w:val="0"/>
                <w:sz w:val="24"/>
                <w:szCs w:val="24"/>
              </w:rPr>
            </w:pPr>
            <w:r>
              <w:rPr>
                <w:rFonts w:hint="eastAsia" w:cs="宋体"/>
                <w:color w:val="000000"/>
                <w:sz w:val="20"/>
                <w:szCs w:val="20"/>
              </w:rPr>
              <w:t>法人或其他组织</w:t>
            </w:r>
          </w:p>
        </w:tc>
        <w:tc>
          <w:tcPr>
            <w:tcW w:w="829" w:type="dxa"/>
            <w:vMerge w:val="restart"/>
            <w:tcBorders>
              <w:top w:val="single" w:color="auto" w:sz="4" w:space="0"/>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r>
              <w:rPr>
                <w:rFonts w:hint="eastAsia" w:cs="宋体"/>
                <w:color w:val="00000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966" w:type="dxa"/>
            <w:vMerge w:val="continue"/>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72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cs="Times New Roman"/>
                <w:color w:val="000000"/>
                <w:kern w:val="0"/>
                <w:sz w:val="24"/>
                <w:szCs w:val="24"/>
              </w:rPr>
            </w:pPr>
            <w:r>
              <w:rPr>
                <w:rFonts w:hint="eastAsia" w:cs="宋体"/>
                <w:color w:val="000000"/>
                <w:sz w:val="20"/>
                <w:szCs w:val="20"/>
              </w:rPr>
              <w:t>商业企业</w:t>
            </w:r>
          </w:p>
        </w:tc>
        <w:tc>
          <w:tcPr>
            <w:tcW w:w="72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cs="Times New Roman"/>
                <w:color w:val="000000"/>
                <w:kern w:val="0"/>
                <w:sz w:val="24"/>
                <w:szCs w:val="24"/>
              </w:rPr>
            </w:pPr>
            <w:r>
              <w:rPr>
                <w:rFonts w:hint="eastAsia" w:cs="宋体"/>
                <w:color w:val="000000"/>
                <w:sz w:val="20"/>
                <w:szCs w:val="20"/>
              </w:rPr>
              <w:t>科研机构</w:t>
            </w:r>
          </w:p>
        </w:tc>
        <w:tc>
          <w:tcPr>
            <w:tcW w:w="90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cs="Times New Roman"/>
                <w:color w:val="000000"/>
                <w:kern w:val="0"/>
                <w:sz w:val="24"/>
                <w:szCs w:val="24"/>
              </w:rPr>
            </w:pPr>
            <w:r>
              <w:rPr>
                <w:rFonts w:hint="eastAsia" w:cs="宋体"/>
                <w:color w:val="000000"/>
                <w:sz w:val="20"/>
                <w:szCs w:val="20"/>
              </w:rPr>
              <w:t>社会公益组织</w:t>
            </w:r>
          </w:p>
        </w:tc>
        <w:tc>
          <w:tcPr>
            <w:tcW w:w="900"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cs="Times New Roman"/>
                <w:color w:val="000000"/>
                <w:kern w:val="0"/>
                <w:sz w:val="24"/>
                <w:szCs w:val="24"/>
              </w:rPr>
            </w:pPr>
            <w:r>
              <w:rPr>
                <w:rFonts w:hint="eastAsia" w:cs="宋体"/>
                <w:color w:val="000000"/>
                <w:sz w:val="20"/>
                <w:szCs w:val="20"/>
              </w:rPr>
              <w:t>法律服务机构</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r>
              <w:rPr>
                <w:rFonts w:hint="eastAsia" w:cs="宋体"/>
                <w:color w:val="000000"/>
                <w:sz w:val="20"/>
                <w:szCs w:val="20"/>
              </w:rPr>
              <w:t>其他</w:t>
            </w:r>
          </w:p>
        </w:tc>
        <w:tc>
          <w:tcPr>
            <w:tcW w:w="829" w:type="dxa"/>
            <w:vMerge w:val="continue"/>
            <w:tcBorders>
              <w:top w:val="single" w:color="auto" w:sz="4" w:space="0"/>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2"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hint="eastAsia" w:cs="宋体"/>
                <w:color w:val="000000"/>
                <w:sz w:val="20"/>
                <w:szCs w:val="20"/>
              </w:rPr>
              <w:t>一、本年新收政府信息公开申请数量</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3</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2"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hint="eastAsia" w:cs="宋体"/>
                <w:color w:val="000000"/>
                <w:sz w:val="20"/>
                <w:szCs w:val="20"/>
              </w:rPr>
              <w:t>二、上年结转政府信息公开申请数量</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12" w:type="dxa"/>
            <w:vMerge w:val="restart"/>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r>
              <w:rPr>
                <w:rFonts w:hint="eastAsia" w:cs="宋体"/>
                <w:color w:val="000000"/>
                <w:sz w:val="20"/>
                <w:szCs w:val="20"/>
              </w:rPr>
              <w:t>三、本年度办理结果</w:t>
            </w:r>
          </w:p>
        </w:tc>
        <w:tc>
          <w:tcPr>
            <w:tcW w:w="3160" w:type="dxa"/>
            <w:gridSpan w:val="2"/>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hint="eastAsia" w:ascii="楷体" w:hAnsi="楷体" w:eastAsia="楷体" w:cs="楷体"/>
                <w:color w:val="000000"/>
                <w:sz w:val="20"/>
                <w:szCs w:val="20"/>
              </w:rPr>
              <w:t>（一）予以公开</w:t>
            </w:r>
          </w:p>
        </w:tc>
        <w:tc>
          <w:tcPr>
            <w:tcW w:w="966"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1</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宋体" w:hAnsi="宋体" w:eastAsia="宋体" w:cs="宋体"/>
                <w:color w:val="000000"/>
                <w:sz w:val="24"/>
                <w:szCs w:val="24"/>
                <w:lang w:eastAsia="zh-CN"/>
              </w:rPr>
            </w:pPr>
            <w:r>
              <w:rPr>
                <w:rFonts w:hint="eastAsia" w:ascii="宋体" w:hAnsi="宋体" w:cs="宋体"/>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3160" w:type="dxa"/>
            <w:gridSpan w:val="2"/>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hint="eastAsia" w:ascii="楷体" w:hAnsi="楷体" w:eastAsia="楷体" w:cs="楷体"/>
                <w:color w:val="000000"/>
                <w:sz w:val="20"/>
                <w:szCs w:val="20"/>
              </w:rPr>
              <w:t>（二）部分公开（区分处理的，只计这一情形，不计其他情形）</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restart"/>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r>
              <w:rPr>
                <w:rFonts w:hint="eastAsia" w:ascii="楷体" w:hAnsi="楷体" w:eastAsia="楷体" w:cs="楷体"/>
                <w:color w:val="000000"/>
                <w:sz w:val="20"/>
                <w:szCs w:val="20"/>
              </w:rPr>
              <w:t>（三）不予公开</w:t>
            </w: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ascii="楷体" w:hAnsi="楷体" w:eastAsia="楷体" w:cs="楷体"/>
                <w:color w:val="000000"/>
                <w:sz w:val="20"/>
                <w:szCs w:val="20"/>
              </w:rPr>
              <w:t>1.</w:t>
            </w:r>
            <w:r>
              <w:rPr>
                <w:rFonts w:hint="eastAsia" w:ascii="楷体" w:hAnsi="楷体" w:eastAsia="楷体" w:cs="楷体"/>
                <w:color w:val="000000"/>
                <w:sz w:val="20"/>
                <w:szCs w:val="20"/>
              </w:rPr>
              <w:t>属于国家秘密</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continue"/>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ascii="楷体" w:hAnsi="楷体" w:eastAsia="楷体" w:cs="楷体"/>
                <w:color w:val="000000"/>
                <w:sz w:val="20"/>
                <w:szCs w:val="20"/>
              </w:rPr>
              <w:t>2.</w:t>
            </w:r>
            <w:r>
              <w:rPr>
                <w:rFonts w:hint="eastAsia" w:ascii="楷体" w:hAnsi="楷体" w:eastAsia="楷体" w:cs="楷体"/>
                <w:color w:val="000000"/>
                <w:sz w:val="20"/>
                <w:szCs w:val="20"/>
              </w:rPr>
              <w:t>其他法律行政法规禁止公开</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continue"/>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ascii="楷体" w:hAnsi="楷体" w:eastAsia="楷体" w:cs="楷体"/>
                <w:color w:val="000000"/>
                <w:sz w:val="20"/>
                <w:szCs w:val="20"/>
              </w:rPr>
              <w:t>3.</w:t>
            </w:r>
            <w:r>
              <w:rPr>
                <w:rFonts w:hint="eastAsia" w:ascii="楷体" w:hAnsi="楷体" w:eastAsia="楷体" w:cs="楷体"/>
                <w:color w:val="000000"/>
                <w:sz w:val="20"/>
                <w:szCs w:val="20"/>
              </w:rPr>
              <w:t>危及“三安全一稳定”</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continue"/>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ascii="楷体" w:hAnsi="楷体" w:eastAsia="楷体" w:cs="楷体"/>
                <w:color w:val="000000"/>
                <w:sz w:val="20"/>
                <w:szCs w:val="20"/>
              </w:rPr>
              <w:t>4.</w:t>
            </w:r>
            <w:r>
              <w:rPr>
                <w:rFonts w:hint="eastAsia" w:ascii="楷体" w:hAnsi="楷体" w:eastAsia="楷体" w:cs="楷体"/>
                <w:color w:val="000000"/>
                <w:sz w:val="20"/>
                <w:szCs w:val="20"/>
              </w:rPr>
              <w:t>保护第三方合法权益</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continue"/>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ascii="楷体" w:hAnsi="楷体" w:eastAsia="楷体" w:cs="楷体"/>
                <w:color w:val="000000"/>
                <w:sz w:val="20"/>
                <w:szCs w:val="20"/>
              </w:rPr>
              <w:t>5.</w:t>
            </w:r>
            <w:r>
              <w:rPr>
                <w:rFonts w:hint="eastAsia" w:ascii="楷体" w:hAnsi="楷体" w:eastAsia="楷体" w:cs="楷体"/>
                <w:color w:val="000000"/>
                <w:sz w:val="20"/>
                <w:szCs w:val="20"/>
              </w:rPr>
              <w:t>属于三类内部事务信息</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continue"/>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ascii="楷体" w:hAnsi="楷体" w:eastAsia="楷体" w:cs="楷体"/>
                <w:color w:val="000000"/>
                <w:sz w:val="20"/>
                <w:szCs w:val="20"/>
              </w:rPr>
              <w:t>6.</w:t>
            </w:r>
            <w:r>
              <w:rPr>
                <w:rFonts w:hint="eastAsia" w:ascii="楷体" w:hAnsi="楷体" w:eastAsia="楷体" w:cs="楷体"/>
                <w:color w:val="000000"/>
                <w:sz w:val="20"/>
                <w:szCs w:val="20"/>
              </w:rPr>
              <w:t>属于四类过程性信息</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continue"/>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ascii="楷体" w:hAnsi="楷体" w:eastAsia="楷体" w:cs="楷体"/>
                <w:color w:val="000000"/>
                <w:sz w:val="20"/>
                <w:szCs w:val="20"/>
              </w:rPr>
              <w:t>7.</w:t>
            </w:r>
            <w:r>
              <w:rPr>
                <w:rFonts w:hint="eastAsia" w:ascii="楷体" w:hAnsi="楷体" w:eastAsia="楷体" w:cs="楷体"/>
                <w:color w:val="000000"/>
                <w:sz w:val="20"/>
                <w:szCs w:val="20"/>
              </w:rPr>
              <w:t>属于行政执法案卷</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continue"/>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ascii="楷体" w:hAnsi="楷体" w:eastAsia="楷体" w:cs="楷体"/>
                <w:color w:val="000000"/>
                <w:sz w:val="20"/>
                <w:szCs w:val="20"/>
              </w:rPr>
              <w:t>8.</w:t>
            </w:r>
            <w:r>
              <w:rPr>
                <w:rFonts w:hint="eastAsia" w:ascii="楷体" w:hAnsi="楷体" w:eastAsia="楷体" w:cs="楷体"/>
                <w:color w:val="000000"/>
                <w:sz w:val="20"/>
                <w:szCs w:val="20"/>
              </w:rPr>
              <w:t>属于行政查询事项</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restart"/>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r>
              <w:rPr>
                <w:rFonts w:hint="eastAsia" w:ascii="楷体" w:hAnsi="楷体" w:eastAsia="楷体" w:cs="楷体"/>
                <w:color w:val="000000"/>
                <w:sz w:val="20"/>
                <w:szCs w:val="20"/>
              </w:rPr>
              <w:t>（四）无法提供</w:t>
            </w: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ascii="楷体" w:hAnsi="楷体" w:eastAsia="楷体" w:cs="楷体"/>
                <w:color w:val="000000"/>
                <w:sz w:val="20"/>
                <w:szCs w:val="20"/>
              </w:rPr>
              <w:t>1.</w:t>
            </w:r>
            <w:r>
              <w:rPr>
                <w:rFonts w:hint="eastAsia" w:ascii="楷体" w:hAnsi="楷体" w:eastAsia="楷体" w:cs="楷体"/>
                <w:color w:val="000000"/>
                <w:sz w:val="20"/>
                <w:szCs w:val="20"/>
              </w:rPr>
              <w:t>本机关不掌握相关政府信息</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rPr>
                <w:rFonts w:hint="eastAsia" w:ascii="宋体" w:hAnsi="宋体" w:eastAsia="宋体" w:cs="Times New Roman"/>
                <w:color w:val="000000"/>
                <w:kern w:val="0"/>
                <w:sz w:val="24"/>
                <w:szCs w:val="24"/>
                <w:lang w:eastAsia="zh-CN"/>
              </w:rPr>
            </w:pPr>
            <w:r>
              <w:rPr>
                <w:rFonts w:ascii="宋体" w:hAnsi="宋体" w:cs="Times New Roman"/>
                <w:color w:val="000000"/>
                <w:sz w:val="24"/>
                <w:szCs w:val="24"/>
              </w:rPr>
              <w:t> </w:t>
            </w:r>
            <w:r>
              <w:rPr>
                <w:rFonts w:hint="eastAsia" w:ascii="宋体" w:hAnsi="宋体" w:cs="Times New Roman"/>
                <w:color w:val="000000"/>
                <w:sz w:val="24"/>
                <w:szCs w:val="24"/>
                <w:lang w:val="en-US" w:eastAsia="zh-CN"/>
              </w:rPr>
              <w:t>2</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continue"/>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ascii="楷体" w:hAnsi="楷体" w:eastAsia="楷体" w:cs="楷体"/>
                <w:color w:val="000000"/>
                <w:sz w:val="20"/>
                <w:szCs w:val="20"/>
              </w:rPr>
              <w:t>2.</w:t>
            </w:r>
            <w:r>
              <w:rPr>
                <w:rFonts w:hint="eastAsia" w:ascii="楷体" w:hAnsi="楷体" w:eastAsia="楷体" w:cs="楷体"/>
                <w:color w:val="000000"/>
                <w:sz w:val="20"/>
                <w:szCs w:val="20"/>
              </w:rPr>
              <w:t>没有现成信息需要另行制作</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continue"/>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ascii="楷体" w:hAnsi="楷体" w:eastAsia="楷体" w:cs="楷体"/>
                <w:color w:val="000000"/>
                <w:sz w:val="20"/>
                <w:szCs w:val="20"/>
              </w:rPr>
              <w:t>3.</w:t>
            </w:r>
            <w:r>
              <w:rPr>
                <w:rFonts w:hint="eastAsia" w:ascii="楷体" w:hAnsi="楷体" w:eastAsia="楷体" w:cs="楷体"/>
                <w:color w:val="000000"/>
                <w:sz w:val="20"/>
                <w:szCs w:val="20"/>
              </w:rPr>
              <w:t>补正后申请内容仍不明确</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restart"/>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r>
              <w:rPr>
                <w:rFonts w:hint="eastAsia" w:ascii="楷体" w:hAnsi="楷体" w:eastAsia="楷体" w:cs="楷体"/>
                <w:color w:val="000000"/>
                <w:sz w:val="20"/>
                <w:szCs w:val="20"/>
              </w:rPr>
              <w:t>（五）不予处理</w:t>
            </w: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ascii="楷体" w:hAnsi="楷体" w:eastAsia="楷体" w:cs="楷体"/>
                <w:color w:val="000000"/>
                <w:sz w:val="20"/>
                <w:szCs w:val="20"/>
              </w:rPr>
              <w:t>1.</w:t>
            </w:r>
            <w:r>
              <w:rPr>
                <w:rFonts w:hint="eastAsia" w:ascii="楷体" w:hAnsi="楷体" w:eastAsia="楷体" w:cs="楷体"/>
                <w:color w:val="000000"/>
                <w:sz w:val="20"/>
                <w:szCs w:val="20"/>
              </w:rPr>
              <w:t>信访举报投诉类申请</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continue"/>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ascii="楷体" w:hAnsi="楷体" w:eastAsia="楷体" w:cs="楷体"/>
                <w:color w:val="000000"/>
                <w:sz w:val="20"/>
                <w:szCs w:val="20"/>
              </w:rPr>
              <w:t>2.</w:t>
            </w:r>
            <w:r>
              <w:rPr>
                <w:rFonts w:hint="eastAsia" w:ascii="楷体" w:hAnsi="楷体" w:eastAsia="楷体" w:cs="楷体"/>
                <w:color w:val="000000"/>
                <w:sz w:val="20"/>
                <w:szCs w:val="20"/>
              </w:rPr>
              <w:t>重复申请</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continue"/>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ascii="楷体" w:hAnsi="楷体" w:eastAsia="楷体" w:cs="楷体"/>
                <w:color w:val="000000"/>
                <w:sz w:val="20"/>
                <w:szCs w:val="20"/>
              </w:rPr>
              <w:t>3.</w:t>
            </w:r>
            <w:r>
              <w:rPr>
                <w:rFonts w:hint="eastAsia" w:ascii="楷体" w:hAnsi="楷体" w:eastAsia="楷体" w:cs="楷体"/>
                <w:color w:val="000000"/>
                <w:sz w:val="20"/>
                <w:szCs w:val="20"/>
              </w:rPr>
              <w:t>要求提供公开出版物</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continue"/>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ascii="楷体" w:hAnsi="楷体" w:eastAsia="楷体" w:cs="楷体"/>
                <w:color w:val="000000"/>
                <w:sz w:val="20"/>
                <w:szCs w:val="20"/>
              </w:rPr>
              <w:t>4.</w:t>
            </w:r>
            <w:r>
              <w:rPr>
                <w:rFonts w:hint="eastAsia" w:ascii="楷体" w:hAnsi="楷体" w:eastAsia="楷体" w:cs="楷体"/>
                <w:color w:val="000000"/>
                <w:sz w:val="20"/>
                <w:szCs w:val="20"/>
              </w:rPr>
              <w:t>无正当理由大量反复申请</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continue"/>
            <w:tcBorders>
              <w:top w:val="nil"/>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ascii="楷体" w:hAnsi="楷体" w:eastAsia="楷体" w:cs="楷体"/>
                <w:color w:val="000000"/>
                <w:sz w:val="20"/>
                <w:szCs w:val="20"/>
              </w:rPr>
              <w:t>5.</w:t>
            </w:r>
            <w:r>
              <w:rPr>
                <w:rFonts w:hint="eastAsia" w:ascii="楷体" w:hAnsi="楷体" w:eastAsia="楷体" w:cs="楷体"/>
                <w:color w:val="000000"/>
                <w:sz w:val="20"/>
                <w:szCs w:val="20"/>
              </w:rPr>
              <w:t>要求行政机关确认或重新出具已获取信息</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restart"/>
            <w:tcBorders>
              <w:top w:val="single" w:color="auto" w:sz="4" w:space="0"/>
              <w:left w:val="nil"/>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r>
              <w:rPr>
                <w:rFonts w:hint="eastAsia" w:ascii="楷体" w:hAnsi="楷体" w:eastAsia="楷体" w:cs="楷体"/>
                <w:color w:val="000000"/>
                <w:sz w:val="20"/>
                <w:szCs w:val="20"/>
              </w:rPr>
              <w:t>（六）其他处理</w:t>
            </w: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楷体" w:hAnsi="楷体" w:eastAsia="楷体" w:cs="Times New Roman"/>
                <w:color w:val="000000"/>
                <w:sz w:val="20"/>
                <w:szCs w:val="20"/>
              </w:rPr>
            </w:pPr>
            <w:r>
              <w:rPr>
                <w:rFonts w:ascii="楷体" w:hAnsi="楷体" w:eastAsia="楷体" w:cs="楷体"/>
                <w:color w:val="000000"/>
                <w:sz w:val="20"/>
                <w:szCs w:val="20"/>
              </w:rPr>
              <w:t>1.</w:t>
            </w:r>
            <w:r>
              <w:rPr>
                <w:rFonts w:hint="eastAsia" w:ascii="楷体" w:hAnsi="楷体" w:eastAsia="楷体" w:cs="楷体"/>
                <w:color w:val="000000"/>
                <w:sz w:val="20"/>
                <w:szCs w:val="20"/>
              </w:rPr>
              <w:t>申请人无正当理由逾期不补正、行政机关不再处理其政府信息公开申请</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continue"/>
            <w:tcBorders>
              <w:top w:val="single" w:color="auto" w:sz="4" w:space="0"/>
              <w:left w:val="nil"/>
              <w:bottom w:val="single" w:color="auto" w:sz="4" w:space="0"/>
              <w:right w:val="single" w:color="auto" w:sz="4" w:space="0"/>
            </w:tcBorders>
            <w:vAlign w:val="center"/>
          </w:tcPr>
          <w:p>
            <w:pPr>
              <w:widowControl/>
              <w:spacing w:line="560" w:lineRule="exact"/>
              <w:rPr>
                <w:rFonts w:ascii="楷体" w:hAnsi="楷体" w:eastAsia="楷体" w:cs="Times New Roman"/>
                <w:color w:val="000000"/>
                <w:sz w:val="20"/>
                <w:szCs w:val="20"/>
              </w:rPr>
            </w:pP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楷体" w:hAnsi="楷体" w:eastAsia="楷体" w:cs="Times New Roman"/>
                <w:color w:val="000000"/>
                <w:sz w:val="20"/>
                <w:szCs w:val="20"/>
              </w:rPr>
            </w:pPr>
            <w:r>
              <w:rPr>
                <w:rFonts w:ascii="楷体" w:hAnsi="楷体" w:eastAsia="楷体" w:cs="楷体"/>
                <w:color w:val="000000"/>
                <w:sz w:val="20"/>
                <w:szCs w:val="20"/>
              </w:rPr>
              <w:t>2</w:t>
            </w:r>
            <w:r>
              <w:rPr>
                <w:rFonts w:hint="eastAsia" w:ascii="楷体" w:hAnsi="楷体" w:eastAsia="楷体" w:cs="楷体"/>
                <w:color w:val="000000"/>
                <w:sz w:val="20"/>
                <w:szCs w:val="20"/>
              </w:rPr>
              <w:t>．申请人逾期未按收费通知要求缴纳费用、行政机关不再处理其政府信息公开申请</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877" w:type="dxa"/>
            <w:vMerge w:val="continue"/>
            <w:tcBorders>
              <w:top w:val="single" w:color="auto" w:sz="4" w:space="0"/>
              <w:left w:val="nil"/>
              <w:bottom w:val="single" w:color="auto" w:sz="4" w:space="0"/>
              <w:right w:val="single" w:color="auto" w:sz="4" w:space="0"/>
            </w:tcBorders>
            <w:vAlign w:val="center"/>
          </w:tcPr>
          <w:p>
            <w:pPr>
              <w:widowControl/>
              <w:spacing w:line="560" w:lineRule="exact"/>
              <w:rPr>
                <w:rFonts w:ascii="楷体" w:hAnsi="楷体" w:eastAsia="楷体" w:cs="Times New Roman"/>
                <w:color w:val="000000"/>
                <w:sz w:val="20"/>
                <w:szCs w:val="20"/>
              </w:rPr>
            </w:pPr>
          </w:p>
        </w:tc>
        <w:tc>
          <w:tcPr>
            <w:tcW w:w="2283" w:type="dxa"/>
            <w:tcBorders>
              <w:top w:val="single" w:color="auto" w:sz="4" w:space="0"/>
              <w:left w:val="nil"/>
              <w:bottom w:val="single" w:color="auto" w:sz="4" w:space="0"/>
              <w:right w:val="single" w:color="auto" w:sz="4" w:space="0"/>
            </w:tcBorders>
            <w:vAlign w:val="center"/>
          </w:tcPr>
          <w:p>
            <w:pPr>
              <w:widowControl/>
              <w:spacing w:line="400" w:lineRule="exact"/>
              <w:rPr>
                <w:rFonts w:ascii="楷体" w:hAnsi="楷体" w:eastAsia="楷体" w:cs="Times New Roman"/>
                <w:color w:val="000000"/>
                <w:sz w:val="20"/>
                <w:szCs w:val="20"/>
              </w:rPr>
            </w:pPr>
            <w:r>
              <w:rPr>
                <w:rFonts w:ascii="楷体" w:hAnsi="楷体" w:eastAsia="楷体" w:cs="楷体"/>
                <w:color w:val="000000"/>
                <w:sz w:val="20"/>
                <w:szCs w:val="20"/>
              </w:rPr>
              <w:t>3.</w:t>
            </w:r>
            <w:r>
              <w:rPr>
                <w:rFonts w:hint="eastAsia" w:ascii="楷体" w:hAnsi="楷体" w:eastAsia="楷体" w:cs="楷体"/>
                <w:color w:val="000000"/>
                <w:sz w:val="20"/>
                <w:szCs w:val="20"/>
              </w:rPr>
              <w:t>其他</w:t>
            </w:r>
          </w:p>
        </w:tc>
        <w:tc>
          <w:tcPr>
            <w:tcW w:w="966"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2" w:type="dxa"/>
            <w:vMerge w:val="continue"/>
            <w:tcBorders>
              <w:top w:val="nil"/>
              <w:left w:val="single" w:color="auto" w:sz="4" w:space="0"/>
              <w:bottom w:val="single" w:color="auto" w:sz="4" w:space="0"/>
              <w:right w:val="single" w:color="auto" w:sz="4" w:space="0"/>
            </w:tcBorders>
            <w:vAlign w:val="center"/>
          </w:tcPr>
          <w:p>
            <w:pPr>
              <w:widowControl/>
              <w:spacing w:line="560" w:lineRule="exact"/>
              <w:rPr>
                <w:rFonts w:ascii="宋体" w:cs="Times New Roman"/>
                <w:color w:val="000000"/>
                <w:kern w:val="0"/>
                <w:sz w:val="24"/>
                <w:szCs w:val="24"/>
              </w:rPr>
            </w:pPr>
          </w:p>
        </w:tc>
        <w:tc>
          <w:tcPr>
            <w:tcW w:w="3160" w:type="dxa"/>
            <w:gridSpan w:val="2"/>
            <w:tcBorders>
              <w:top w:val="single" w:color="auto" w:sz="4" w:space="0"/>
              <w:left w:val="nil"/>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hint="eastAsia" w:ascii="楷体" w:hAnsi="楷体" w:eastAsia="楷体" w:cs="楷体"/>
                <w:color w:val="000000"/>
                <w:sz w:val="20"/>
                <w:szCs w:val="20"/>
              </w:rPr>
              <w:t>（七）总计</w:t>
            </w:r>
          </w:p>
        </w:tc>
        <w:tc>
          <w:tcPr>
            <w:tcW w:w="966" w:type="dxa"/>
            <w:tcBorders>
              <w:top w:val="single" w:color="auto" w:sz="4" w:space="0"/>
              <w:left w:val="nil"/>
              <w:bottom w:val="single" w:color="auto" w:sz="4" w:space="0"/>
              <w:right w:val="single" w:color="auto" w:sz="4" w:space="0"/>
            </w:tcBorders>
            <w:vAlign w:val="center"/>
          </w:tcPr>
          <w:p>
            <w:pPr>
              <w:widowControl/>
              <w:spacing w:line="400" w:lineRule="exact"/>
              <w:rPr>
                <w:rFonts w:hint="eastAsia" w:ascii="宋体" w:hAnsi="宋体" w:eastAsia="宋体" w:cs="Times New Roman"/>
                <w:color w:val="000000"/>
                <w:kern w:val="0"/>
                <w:sz w:val="24"/>
                <w:szCs w:val="24"/>
                <w:lang w:eastAsia="zh-CN"/>
              </w:rPr>
            </w:pPr>
            <w:r>
              <w:rPr>
                <w:rFonts w:ascii="宋体" w:hAnsi="宋体" w:cs="Times New Roman"/>
                <w:color w:val="000000"/>
                <w:sz w:val="24"/>
                <w:szCs w:val="24"/>
              </w:rPr>
              <w:t> </w:t>
            </w:r>
            <w:r>
              <w:rPr>
                <w:rFonts w:hint="eastAsia" w:ascii="宋体" w:hAnsi="宋体" w:cs="Times New Roman"/>
                <w:color w:val="000000"/>
                <w:sz w:val="24"/>
                <w:szCs w:val="24"/>
                <w:lang w:val="en-US" w:eastAsia="zh-CN"/>
              </w:rPr>
              <w:t>3</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hint="eastAsia" w:ascii="宋体" w:hAnsi="宋体" w:eastAsia="宋体" w:cs="Times New Roman"/>
                <w:color w:val="000000"/>
                <w:kern w:val="0"/>
                <w:sz w:val="24"/>
                <w:szCs w:val="24"/>
                <w:lang w:eastAsia="zh-CN"/>
              </w:rPr>
            </w:pPr>
            <w:r>
              <w:rPr>
                <w:rFonts w:hint="eastAsia" w:ascii="宋体" w:hAnsi="宋体" w:cs="Times New Roman"/>
                <w:color w:val="00000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2"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cs="Times New Roman"/>
                <w:color w:val="000000"/>
                <w:kern w:val="0"/>
                <w:sz w:val="24"/>
                <w:szCs w:val="24"/>
              </w:rPr>
            </w:pPr>
            <w:r>
              <w:rPr>
                <w:rFonts w:hint="eastAsia" w:cs="宋体"/>
                <w:color w:val="000000"/>
                <w:sz w:val="20"/>
                <w:szCs w:val="20"/>
              </w:rPr>
              <w:t>四、结转下年度继续办理</w:t>
            </w:r>
          </w:p>
        </w:tc>
        <w:tc>
          <w:tcPr>
            <w:tcW w:w="966" w:type="dxa"/>
            <w:tcBorders>
              <w:top w:val="single" w:color="auto" w:sz="4" w:space="0"/>
              <w:left w:val="nil"/>
              <w:bottom w:val="single" w:color="auto" w:sz="4" w:space="0"/>
              <w:right w:val="single" w:color="auto" w:sz="4" w:space="0"/>
            </w:tcBorders>
            <w:vAlign w:val="center"/>
          </w:tcPr>
          <w:p>
            <w:pPr>
              <w:widowControl/>
              <w:spacing w:line="400" w:lineRule="exact"/>
              <w:rPr>
                <w:rFonts w:ascii="宋体" w:hAnsi="宋体" w:cs="Times New Roman"/>
                <w:color w:val="000000"/>
                <w:kern w:val="0"/>
                <w:sz w:val="24"/>
                <w:szCs w:val="24"/>
              </w:rPr>
            </w:pPr>
            <w:r>
              <w:rPr>
                <w:rFonts w:ascii="宋体" w:hAnsi="宋体" w:cs="Times New Roman"/>
                <w:color w:val="000000"/>
                <w:sz w:val="24"/>
                <w:szCs w:val="24"/>
              </w:rPr>
              <w:t> </w:t>
            </w:r>
            <w:r>
              <w:rPr>
                <w:rFonts w:hint="eastAsia" w:ascii="宋体" w:hAnsi="宋体" w:cs="Times New Roman"/>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90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720"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宋体"/>
                <w:color w:val="000000"/>
                <w:sz w:val="24"/>
                <w:szCs w:val="24"/>
              </w:rPr>
            </w:pPr>
            <w:r>
              <w:rPr>
                <w:rFonts w:hint="eastAsia" w:ascii="宋体" w:hAnsi="宋体" w:cs="宋体"/>
                <w:color w:val="000000"/>
                <w:sz w:val="24"/>
                <w:szCs w:val="24"/>
              </w:rPr>
              <w:t>0</w:t>
            </w:r>
          </w:p>
        </w:tc>
        <w:tc>
          <w:tcPr>
            <w:tcW w:w="829"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hAnsi="宋体" w:cs="Times New Roman"/>
                <w:color w:val="000000"/>
                <w:kern w:val="0"/>
                <w:sz w:val="24"/>
                <w:szCs w:val="24"/>
              </w:rPr>
            </w:pPr>
            <w:r>
              <w:rPr>
                <w:rFonts w:hint="eastAsia" w:ascii="宋体" w:hAnsi="宋体" w:cs="Times New Roman"/>
                <w:color w:val="000000"/>
                <w:kern w:val="0"/>
                <w:sz w:val="24"/>
                <w:szCs w:val="24"/>
              </w:rPr>
              <w:t>0</w:t>
            </w:r>
          </w:p>
        </w:tc>
      </w:tr>
    </w:tbl>
    <w:p>
      <w:pPr>
        <w:widowControl/>
        <w:spacing w:line="560" w:lineRule="exact"/>
        <w:ind w:firstLine="640" w:firstLineChars="200"/>
        <w:rPr>
          <w:rFonts w:ascii="黑体" w:hAnsi="黑体" w:eastAsia="黑体" w:cs="Times New Roman"/>
          <w:color w:val="000000"/>
          <w:kern w:val="0"/>
          <w:sz w:val="32"/>
          <w:szCs w:val="32"/>
        </w:rPr>
      </w:pPr>
      <w:r>
        <w:rPr>
          <w:rFonts w:hint="eastAsia" w:ascii="黑体" w:hAnsi="黑体" w:eastAsia="黑体" w:cs="黑体"/>
          <w:color w:val="000000"/>
          <w:kern w:val="0"/>
          <w:sz w:val="32"/>
          <w:szCs w:val="32"/>
        </w:rPr>
        <w:t>四、政府信息公开行政复议、行政诉讼情况</w:t>
      </w:r>
    </w:p>
    <w:tbl>
      <w:tblPr>
        <w:tblStyle w:val="6"/>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
        <w:gridCol w:w="634"/>
        <w:gridCol w:w="634"/>
        <w:gridCol w:w="634"/>
        <w:gridCol w:w="634"/>
        <w:gridCol w:w="634"/>
        <w:gridCol w:w="634"/>
        <w:gridCol w:w="635"/>
        <w:gridCol w:w="635"/>
        <w:gridCol w:w="635"/>
        <w:gridCol w:w="635"/>
        <w:gridCol w:w="635"/>
        <w:gridCol w:w="635"/>
        <w:gridCol w:w="635"/>
        <w:gridCol w:w="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567" w:type="dxa"/>
            <w:gridSpan w:val="5"/>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cs="Times New Roman"/>
                <w:color w:val="000000"/>
                <w:kern w:val="0"/>
                <w:sz w:val="18"/>
                <w:szCs w:val="18"/>
              </w:rPr>
            </w:pPr>
            <w:r>
              <w:rPr>
                <w:rFonts w:hint="eastAsia" w:cs="宋体"/>
                <w:color w:val="000000"/>
                <w:sz w:val="18"/>
                <w:szCs w:val="18"/>
              </w:rPr>
              <w:t>行政复议</w:t>
            </w:r>
          </w:p>
        </w:tc>
        <w:tc>
          <w:tcPr>
            <w:tcW w:w="567" w:type="dxa"/>
            <w:gridSpan w:val="10"/>
            <w:tcBorders>
              <w:top w:val="single" w:color="auto" w:sz="4" w:space="0"/>
              <w:left w:val="nil"/>
              <w:bottom w:val="single" w:color="auto" w:sz="4" w:space="0"/>
              <w:right w:val="single" w:color="auto" w:sz="4" w:space="0"/>
            </w:tcBorders>
            <w:vAlign w:val="center"/>
          </w:tcPr>
          <w:p>
            <w:pPr>
              <w:widowControl/>
              <w:spacing w:line="400" w:lineRule="exact"/>
              <w:jc w:val="center"/>
              <w:rPr>
                <w:rFonts w:ascii="宋体" w:cs="Times New Roman"/>
                <w:color w:val="000000"/>
                <w:kern w:val="0"/>
                <w:sz w:val="18"/>
                <w:szCs w:val="18"/>
              </w:rPr>
            </w:pPr>
            <w:r>
              <w:rPr>
                <w:rFonts w:hint="eastAsia" w:cs="宋体"/>
                <w:color w:val="000000"/>
                <w:sz w:val="18"/>
                <w:szCs w:val="18"/>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567" w:type="dxa"/>
            <w:vMerge w:val="restart"/>
            <w:tcBorders>
              <w:top w:val="nil"/>
              <w:left w:val="single" w:color="auto" w:sz="4" w:space="0"/>
              <w:bottom w:val="single" w:color="auto" w:sz="4" w:space="0"/>
              <w:right w:val="single" w:color="auto" w:sz="4" w:space="0"/>
            </w:tcBorders>
            <w:vAlign w:val="center"/>
          </w:tcPr>
          <w:p>
            <w:pPr>
              <w:widowControl/>
              <w:spacing w:line="400" w:lineRule="exact"/>
              <w:jc w:val="center"/>
              <w:rPr>
                <w:rFonts w:cs="Times New Roman"/>
                <w:color w:val="000000"/>
                <w:sz w:val="18"/>
                <w:szCs w:val="18"/>
              </w:rPr>
            </w:pPr>
            <w:r>
              <w:rPr>
                <w:rFonts w:hint="eastAsia" w:cs="宋体"/>
                <w:color w:val="000000"/>
                <w:sz w:val="18"/>
                <w:szCs w:val="18"/>
              </w:rPr>
              <w:t>结果维持</w:t>
            </w:r>
          </w:p>
        </w:tc>
        <w:tc>
          <w:tcPr>
            <w:tcW w:w="567" w:type="dxa"/>
            <w:vMerge w:val="restart"/>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sz w:val="18"/>
                <w:szCs w:val="18"/>
              </w:rPr>
            </w:pPr>
            <w:r>
              <w:rPr>
                <w:rFonts w:hint="eastAsia" w:cs="宋体"/>
                <w:color w:val="000000"/>
                <w:sz w:val="18"/>
                <w:szCs w:val="18"/>
              </w:rPr>
              <w:t>结果纠正</w:t>
            </w:r>
          </w:p>
        </w:tc>
        <w:tc>
          <w:tcPr>
            <w:tcW w:w="567" w:type="dxa"/>
            <w:vMerge w:val="restart"/>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color w:val="000000"/>
                <w:sz w:val="18"/>
                <w:szCs w:val="18"/>
              </w:rPr>
            </w:pPr>
            <w:r>
              <w:rPr>
                <w:rFonts w:hint="eastAsia" w:cs="宋体"/>
                <w:color w:val="000000"/>
                <w:sz w:val="18"/>
                <w:szCs w:val="18"/>
              </w:rPr>
              <w:t>其他</w:t>
            </w:r>
          </w:p>
          <w:p>
            <w:pPr>
              <w:widowControl/>
              <w:spacing w:line="400" w:lineRule="exact"/>
              <w:jc w:val="center"/>
              <w:rPr>
                <w:rFonts w:cs="Times New Roman"/>
                <w:color w:val="000000"/>
                <w:sz w:val="18"/>
                <w:szCs w:val="18"/>
              </w:rPr>
            </w:pPr>
            <w:r>
              <w:rPr>
                <w:rFonts w:hint="eastAsia" w:cs="宋体"/>
                <w:color w:val="000000"/>
                <w:sz w:val="18"/>
                <w:szCs w:val="18"/>
              </w:rPr>
              <w:t>结果</w:t>
            </w:r>
          </w:p>
        </w:tc>
        <w:tc>
          <w:tcPr>
            <w:tcW w:w="567" w:type="dxa"/>
            <w:vMerge w:val="restart"/>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color w:val="000000"/>
                <w:sz w:val="18"/>
                <w:szCs w:val="18"/>
              </w:rPr>
            </w:pPr>
            <w:r>
              <w:rPr>
                <w:rFonts w:hint="eastAsia" w:cs="宋体"/>
                <w:color w:val="000000"/>
                <w:sz w:val="18"/>
                <w:szCs w:val="18"/>
              </w:rPr>
              <w:t>尚未</w:t>
            </w:r>
          </w:p>
          <w:p>
            <w:pPr>
              <w:widowControl/>
              <w:spacing w:line="400" w:lineRule="exact"/>
              <w:jc w:val="center"/>
              <w:rPr>
                <w:rFonts w:cs="Times New Roman"/>
                <w:color w:val="000000"/>
                <w:sz w:val="18"/>
                <w:szCs w:val="18"/>
              </w:rPr>
            </w:pPr>
            <w:r>
              <w:rPr>
                <w:rFonts w:hint="eastAsia" w:cs="宋体"/>
                <w:color w:val="000000"/>
                <w:sz w:val="18"/>
                <w:szCs w:val="18"/>
              </w:rPr>
              <w:t>审结</w:t>
            </w:r>
          </w:p>
        </w:tc>
        <w:tc>
          <w:tcPr>
            <w:tcW w:w="567" w:type="dxa"/>
            <w:vMerge w:val="restart"/>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color w:val="000000"/>
                <w:sz w:val="18"/>
                <w:szCs w:val="18"/>
              </w:rPr>
            </w:pPr>
            <w:r>
              <w:rPr>
                <w:rFonts w:hint="eastAsia" w:cs="宋体"/>
                <w:color w:val="000000"/>
                <w:sz w:val="18"/>
                <w:szCs w:val="18"/>
              </w:rPr>
              <w:t>总</w:t>
            </w:r>
          </w:p>
          <w:p>
            <w:pPr>
              <w:widowControl/>
              <w:spacing w:line="400" w:lineRule="exact"/>
              <w:jc w:val="center"/>
              <w:rPr>
                <w:rFonts w:cs="Times New Roman"/>
                <w:color w:val="000000"/>
                <w:sz w:val="18"/>
                <w:szCs w:val="18"/>
              </w:rPr>
            </w:pPr>
            <w:r>
              <w:rPr>
                <w:rFonts w:hint="eastAsia" w:cs="宋体"/>
                <w:color w:val="000000"/>
                <w:sz w:val="18"/>
                <w:szCs w:val="18"/>
              </w:rPr>
              <w:t>计</w:t>
            </w:r>
          </w:p>
        </w:tc>
        <w:tc>
          <w:tcPr>
            <w:tcW w:w="567" w:type="dxa"/>
            <w:gridSpan w:val="5"/>
            <w:tcBorders>
              <w:top w:val="single" w:color="auto" w:sz="4" w:space="0"/>
              <w:left w:val="nil"/>
              <w:bottom w:val="single" w:color="auto" w:sz="4" w:space="0"/>
              <w:right w:val="single" w:color="auto" w:sz="4" w:space="0"/>
            </w:tcBorders>
            <w:vAlign w:val="center"/>
          </w:tcPr>
          <w:p>
            <w:pPr>
              <w:widowControl/>
              <w:spacing w:line="400" w:lineRule="exact"/>
              <w:jc w:val="center"/>
              <w:rPr>
                <w:rFonts w:cs="Times New Roman"/>
                <w:color w:val="000000"/>
                <w:sz w:val="18"/>
                <w:szCs w:val="18"/>
              </w:rPr>
            </w:pPr>
            <w:r>
              <w:rPr>
                <w:rFonts w:hint="eastAsia" w:cs="宋体"/>
                <w:color w:val="000000"/>
                <w:sz w:val="18"/>
                <w:szCs w:val="18"/>
              </w:rPr>
              <w:t>未经复议直接起诉</w:t>
            </w:r>
          </w:p>
        </w:tc>
        <w:tc>
          <w:tcPr>
            <w:tcW w:w="567" w:type="dxa"/>
            <w:gridSpan w:val="5"/>
            <w:tcBorders>
              <w:top w:val="single" w:color="auto" w:sz="4" w:space="0"/>
              <w:left w:val="nil"/>
              <w:bottom w:val="single" w:color="auto" w:sz="4" w:space="0"/>
              <w:right w:val="single" w:color="auto" w:sz="4" w:space="0"/>
            </w:tcBorders>
            <w:vAlign w:val="center"/>
          </w:tcPr>
          <w:p>
            <w:pPr>
              <w:widowControl/>
              <w:spacing w:line="400" w:lineRule="exact"/>
              <w:jc w:val="center"/>
              <w:rPr>
                <w:rFonts w:cs="Times New Roman"/>
                <w:color w:val="000000"/>
                <w:sz w:val="18"/>
                <w:szCs w:val="18"/>
              </w:rPr>
            </w:pPr>
            <w:r>
              <w:rPr>
                <w:rFonts w:hint="eastAsia" w:cs="宋体"/>
                <w:color w:val="000000"/>
                <w:sz w:val="18"/>
                <w:szCs w:val="18"/>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567" w:type="dxa"/>
            <w:vMerge w:val="continue"/>
            <w:tcBorders>
              <w:top w:val="nil"/>
              <w:left w:val="single" w:color="auto" w:sz="4" w:space="0"/>
              <w:bottom w:val="single" w:color="auto" w:sz="4" w:space="0"/>
              <w:right w:val="single" w:color="auto" w:sz="4" w:space="0"/>
            </w:tcBorders>
            <w:vAlign w:val="center"/>
          </w:tcPr>
          <w:p>
            <w:pPr>
              <w:widowControl/>
              <w:spacing w:line="400" w:lineRule="exact"/>
              <w:jc w:val="center"/>
              <w:rPr>
                <w:rFonts w:cs="Times New Roman"/>
                <w:color w:val="000000"/>
                <w:sz w:val="18"/>
                <w:szCs w:val="18"/>
              </w:rPr>
            </w:pPr>
          </w:p>
        </w:tc>
        <w:tc>
          <w:tcPr>
            <w:tcW w:w="567" w:type="dxa"/>
            <w:vMerge w:val="continue"/>
            <w:tcBorders>
              <w:top w:val="nil"/>
              <w:left w:val="nil"/>
              <w:bottom w:val="single" w:color="auto" w:sz="4" w:space="0"/>
              <w:right w:val="single" w:color="auto" w:sz="4" w:space="0"/>
            </w:tcBorders>
            <w:vAlign w:val="center"/>
          </w:tcPr>
          <w:p>
            <w:pPr>
              <w:widowControl/>
              <w:spacing w:line="400" w:lineRule="exact"/>
              <w:jc w:val="center"/>
              <w:rPr>
                <w:rFonts w:cs="Times New Roman"/>
                <w:color w:val="000000"/>
                <w:sz w:val="18"/>
                <w:szCs w:val="18"/>
              </w:rPr>
            </w:pPr>
          </w:p>
        </w:tc>
        <w:tc>
          <w:tcPr>
            <w:tcW w:w="567" w:type="dxa"/>
            <w:vMerge w:val="continue"/>
            <w:tcBorders>
              <w:top w:val="single" w:color="auto" w:sz="4" w:space="0"/>
              <w:left w:val="nil"/>
              <w:bottom w:val="single" w:color="auto" w:sz="4" w:space="0"/>
              <w:right w:val="single" w:color="auto" w:sz="4" w:space="0"/>
            </w:tcBorders>
            <w:vAlign w:val="center"/>
          </w:tcPr>
          <w:p>
            <w:pPr>
              <w:widowControl/>
              <w:spacing w:line="400" w:lineRule="exact"/>
              <w:jc w:val="center"/>
              <w:rPr>
                <w:rFonts w:cs="Times New Roman"/>
                <w:color w:val="000000"/>
                <w:sz w:val="18"/>
                <w:szCs w:val="18"/>
              </w:rPr>
            </w:pPr>
          </w:p>
        </w:tc>
        <w:tc>
          <w:tcPr>
            <w:tcW w:w="567" w:type="dxa"/>
            <w:vMerge w:val="continue"/>
            <w:tcBorders>
              <w:top w:val="single" w:color="auto" w:sz="4" w:space="0"/>
              <w:left w:val="nil"/>
              <w:bottom w:val="single" w:color="auto" w:sz="4" w:space="0"/>
              <w:right w:val="single" w:color="auto" w:sz="4" w:space="0"/>
            </w:tcBorders>
            <w:vAlign w:val="center"/>
          </w:tcPr>
          <w:p>
            <w:pPr>
              <w:widowControl/>
              <w:spacing w:line="400" w:lineRule="exact"/>
              <w:jc w:val="center"/>
              <w:rPr>
                <w:rFonts w:cs="Times New Roman"/>
                <w:color w:val="000000"/>
                <w:sz w:val="18"/>
                <w:szCs w:val="18"/>
              </w:rPr>
            </w:pPr>
          </w:p>
        </w:tc>
        <w:tc>
          <w:tcPr>
            <w:tcW w:w="567" w:type="dxa"/>
            <w:vMerge w:val="continue"/>
            <w:tcBorders>
              <w:top w:val="single" w:color="auto" w:sz="4" w:space="0"/>
              <w:left w:val="nil"/>
              <w:bottom w:val="single" w:color="auto" w:sz="4" w:space="0"/>
              <w:right w:val="single" w:color="auto" w:sz="4" w:space="0"/>
            </w:tcBorders>
            <w:vAlign w:val="center"/>
          </w:tcPr>
          <w:p>
            <w:pPr>
              <w:widowControl/>
              <w:spacing w:line="400" w:lineRule="exact"/>
              <w:jc w:val="center"/>
              <w:rPr>
                <w:rFonts w:cs="Times New Roman"/>
                <w:color w:val="000000"/>
                <w:sz w:val="18"/>
                <w:szCs w:val="18"/>
              </w:rPr>
            </w:pPr>
          </w:p>
        </w:tc>
        <w:tc>
          <w:tcPr>
            <w:tcW w:w="56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Times New Roman"/>
                <w:color w:val="000000"/>
                <w:sz w:val="18"/>
                <w:szCs w:val="18"/>
              </w:rPr>
            </w:pPr>
            <w:r>
              <w:rPr>
                <w:rFonts w:hint="eastAsia" w:cs="宋体"/>
                <w:color w:val="000000"/>
                <w:sz w:val="18"/>
                <w:szCs w:val="18"/>
              </w:rPr>
              <w:t>结果维持</w:t>
            </w:r>
          </w:p>
        </w:tc>
        <w:tc>
          <w:tcPr>
            <w:tcW w:w="56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Times New Roman"/>
                <w:color w:val="000000"/>
                <w:sz w:val="18"/>
                <w:szCs w:val="18"/>
              </w:rPr>
            </w:pPr>
            <w:r>
              <w:rPr>
                <w:rFonts w:hint="eastAsia" w:cs="宋体"/>
                <w:color w:val="000000"/>
                <w:sz w:val="18"/>
                <w:szCs w:val="18"/>
              </w:rPr>
              <w:t>结果纠正</w:t>
            </w:r>
          </w:p>
        </w:tc>
        <w:tc>
          <w:tcPr>
            <w:tcW w:w="56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Times New Roman"/>
                <w:color w:val="000000"/>
                <w:sz w:val="18"/>
                <w:szCs w:val="18"/>
              </w:rPr>
            </w:pPr>
            <w:r>
              <w:rPr>
                <w:rFonts w:hint="eastAsia" w:cs="宋体"/>
                <w:color w:val="000000"/>
                <w:sz w:val="18"/>
                <w:szCs w:val="18"/>
              </w:rPr>
              <w:t>其他结果</w:t>
            </w:r>
          </w:p>
        </w:tc>
        <w:tc>
          <w:tcPr>
            <w:tcW w:w="56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Times New Roman"/>
                <w:color w:val="000000"/>
                <w:sz w:val="18"/>
                <w:szCs w:val="18"/>
              </w:rPr>
            </w:pPr>
            <w:r>
              <w:rPr>
                <w:rFonts w:hint="eastAsia" w:cs="宋体"/>
                <w:color w:val="000000"/>
                <w:sz w:val="18"/>
                <w:szCs w:val="18"/>
              </w:rPr>
              <w:t>尚未审结</w:t>
            </w:r>
          </w:p>
        </w:tc>
        <w:tc>
          <w:tcPr>
            <w:tcW w:w="56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color w:val="000000"/>
                <w:sz w:val="18"/>
                <w:szCs w:val="18"/>
              </w:rPr>
            </w:pPr>
            <w:r>
              <w:rPr>
                <w:rFonts w:hint="eastAsia" w:cs="宋体"/>
                <w:color w:val="000000"/>
                <w:sz w:val="18"/>
                <w:szCs w:val="18"/>
              </w:rPr>
              <w:t>总</w:t>
            </w:r>
          </w:p>
          <w:p>
            <w:pPr>
              <w:widowControl/>
              <w:spacing w:line="400" w:lineRule="exact"/>
              <w:jc w:val="center"/>
              <w:rPr>
                <w:rFonts w:cs="Times New Roman"/>
                <w:color w:val="000000"/>
                <w:sz w:val="18"/>
                <w:szCs w:val="18"/>
              </w:rPr>
            </w:pPr>
            <w:r>
              <w:rPr>
                <w:rFonts w:hint="eastAsia" w:cs="宋体"/>
                <w:color w:val="000000"/>
                <w:sz w:val="18"/>
                <w:szCs w:val="18"/>
              </w:rPr>
              <w:t>计</w:t>
            </w:r>
          </w:p>
        </w:tc>
        <w:tc>
          <w:tcPr>
            <w:tcW w:w="56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color w:val="000000"/>
                <w:sz w:val="18"/>
                <w:szCs w:val="18"/>
              </w:rPr>
            </w:pPr>
            <w:r>
              <w:rPr>
                <w:rFonts w:hint="eastAsia" w:cs="宋体"/>
                <w:color w:val="000000"/>
                <w:sz w:val="18"/>
                <w:szCs w:val="18"/>
              </w:rPr>
              <w:t>结果</w:t>
            </w:r>
          </w:p>
          <w:p>
            <w:pPr>
              <w:widowControl/>
              <w:spacing w:line="400" w:lineRule="exact"/>
              <w:jc w:val="center"/>
              <w:rPr>
                <w:rFonts w:cs="Times New Roman"/>
                <w:color w:val="000000"/>
                <w:sz w:val="18"/>
                <w:szCs w:val="18"/>
              </w:rPr>
            </w:pPr>
            <w:r>
              <w:rPr>
                <w:rFonts w:hint="eastAsia" w:cs="宋体"/>
                <w:color w:val="000000"/>
                <w:sz w:val="18"/>
                <w:szCs w:val="18"/>
              </w:rPr>
              <w:t>维持</w:t>
            </w:r>
          </w:p>
        </w:tc>
        <w:tc>
          <w:tcPr>
            <w:tcW w:w="56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Times New Roman"/>
                <w:color w:val="000000"/>
                <w:sz w:val="18"/>
                <w:szCs w:val="18"/>
              </w:rPr>
            </w:pPr>
            <w:r>
              <w:rPr>
                <w:rFonts w:hint="eastAsia" w:cs="宋体"/>
                <w:color w:val="000000"/>
                <w:sz w:val="18"/>
                <w:szCs w:val="18"/>
              </w:rPr>
              <w:t>结果纠正</w:t>
            </w:r>
          </w:p>
        </w:tc>
        <w:tc>
          <w:tcPr>
            <w:tcW w:w="56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Times New Roman"/>
                <w:color w:val="000000"/>
                <w:sz w:val="18"/>
                <w:szCs w:val="18"/>
              </w:rPr>
            </w:pPr>
            <w:r>
              <w:rPr>
                <w:rFonts w:hint="eastAsia" w:cs="宋体"/>
                <w:color w:val="000000"/>
                <w:sz w:val="18"/>
                <w:szCs w:val="18"/>
              </w:rPr>
              <w:t>其他结果</w:t>
            </w:r>
          </w:p>
        </w:tc>
        <w:tc>
          <w:tcPr>
            <w:tcW w:w="56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Times New Roman"/>
                <w:color w:val="000000"/>
                <w:sz w:val="18"/>
                <w:szCs w:val="18"/>
              </w:rPr>
            </w:pPr>
            <w:r>
              <w:rPr>
                <w:rFonts w:hint="eastAsia" w:cs="宋体"/>
                <w:color w:val="000000"/>
                <w:sz w:val="18"/>
                <w:szCs w:val="18"/>
              </w:rPr>
              <w:t>尚未审结</w:t>
            </w:r>
          </w:p>
        </w:tc>
        <w:tc>
          <w:tcPr>
            <w:tcW w:w="567"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cs="宋体"/>
                <w:color w:val="000000"/>
                <w:sz w:val="18"/>
                <w:szCs w:val="18"/>
              </w:rPr>
            </w:pPr>
            <w:r>
              <w:rPr>
                <w:rFonts w:hint="eastAsia" w:cs="宋体"/>
                <w:color w:val="000000"/>
                <w:sz w:val="18"/>
                <w:szCs w:val="18"/>
              </w:rPr>
              <w:t>总</w:t>
            </w:r>
          </w:p>
          <w:p>
            <w:pPr>
              <w:widowControl/>
              <w:spacing w:line="400" w:lineRule="exact"/>
              <w:jc w:val="center"/>
              <w:rPr>
                <w:rFonts w:cs="Times New Roman"/>
                <w:color w:val="000000"/>
                <w:sz w:val="18"/>
                <w:szCs w:val="18"/>
              </w:rPr>
            </w:pPr>
            <w:r>
              <w:rPr>
                <w:rFonts w:hint="eastAsia" w:cs="宋体"/>
                <w:color w:val="000000"/>
                <w:sz w:val="18"/>
                <w:szCs w:val="18"/>
              </w:rPr>
              <w:t>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Times New Roman"/>
                <w:color w:val="000000"/>
                <w:kern w:val="0"/>
                <w:sz w:val="24"/>
                <w:szCs w:val="24"/>
              </w:rPr>
            </w:pPr>
            <w:r>
              <w:rPr>
                <w:rFonts w:hint="eastAsia" w:ascii="宋体" w:hAnsi="宋体" w:cs="Times New Roman"/>
                <w:color w:val="000000"/>
                <w:kern w:val="0"/>
                <w:sz w:val="24"/>
                <w:szCs w:val="24"/>
              </w:rPr>
              <w:t>0</w:t>
            </w:r>
          </w:p>
        </w:tc>
        <w:tc>
          <w:tcPr>
            <w:tcW w:w="567"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Times New Roman"/>
                <w:color w:val="000000"/>
                <w:kern w:val="0"/>
                <w:sz w:val="24"/>
                <w:szCs w:val="24"/>
              </w:rPr>
            </w:pPr>
            <w:r>
              <w:rPr>
                <w:rFonts w:hint="eastAsia" w:ascii="宋体" w:hAnsi="宋体" w:cs="Times New Roman"/>
                <w:color w:val="000000"/>
                <w:kern w:val="0"/>
                <w:sz w:val="24"/>
                <w:szCs w:val="24"/>
              </w:rPr>
              <w:t>0</w:t>
            </w:r>
          </w:p>
        </w:tc>
        <w:tc>
          <w:tcPr>
            <w:tcW w:w="567"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Times New Roman"/>
                <w:color w:val="000000"/>
                <w:kern w:val="0"/>
                <w:sz w:val="24"/>
                <w:szCs w:val="24"/>
              </w:rPr>
            </w:pPr>
            <w:r>
              <w:rPr>
                <w:rFonts w:hint="eastAsia" w:ascii="宋体" w:hAnsi="宋体" w:cs="Times New Roman"/>
                <w:color w:val="000000"/>
                <w:kern w:val="0"/>
                <w:sz w:val="24"/>
                <w:szCs w:val="24"/>
              </w:rPr>
              <w:t>0</w:t>
            </w:r>
          </w:p>
        </w:tc>
        <w:tc>
          <w:tcPr>
            <w:tcW w:w="567"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Times New Roman"/>
                <w:color w:val="000000"/>
                <w:kern w:val="0"/>
                <w:sz w:val="24"/>
                <w:szCs w:val="24"/>
              </w:rPr>
            </w:pPr>
            <w:r>
              <w:rPr>
                <w:rFonts w:hint="eastAsia" w:ascii="宋体" w:hAnsi="宋体" w:cs="Times New Roman"/>
                <w:color w:val="000000"/>
                <w:kern w:val="0"/>
                <w:sz w:val="24"/>
                <w:szCs w:val="24"/>
              </w:rPr>
              <w:t>0</w:t>
            </w:r>
          </w:p>
        </w:tc>
        <w:tc>
          <w:tcPr>
            <w:tcW w:w="567"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Times New Roman"/>
                <w:color w:val="000000"/>
                <w:kern w:val="0"/>
                <w:sz w:val="24"/>
                <w:szCs w:val="24"/>
              </w:rPr>
            </w:pPr>
            <w:r>
              <w:rPr>
                <w:rFonts w:hint="eastAsia" w:ascii="宋体" w:hAnsi="宋体"/>
                <w:color w:val="000000"/>
                <w:sz w:val="24"/>
                <w:szCs w:val="24"/>
              </w:rPr>
              <w:t>0</w:t>
            </w:r>
          </w:p>
        </w:tc>
        <w:tc>
          <w:tcPr>
            <w:tcW w:w="567"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Times New Roman"/>
                <w:color w:val="000000"/>
                <w:kern w:val="0"/>
                <w:sz w:val="24"/>
                <w:szCs w:val="24"/>
              </w:rPr>
            </w:pPr>
            <w:r>
              <w:rPr>
                <w:rFonts w:hint="eastAsia" w:ascii="宋体" w:hAnsi="宋体" w:cs="Times New Roman"/>
                <w:color w:val="000000"/>
                <w:kern w:val="0"/>
                <w:sz w:val="24"/>
                <w:szCs w:val="24"/>
              </w:rPr>
              <w:t>0</w:t>
            </w:r>
          </w:p>
        </w:tc>
        <w:tc>
          <w:tcPr>
            <w:tcW w:w="567"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Times New Roman"/>
                <w:color w:val="000000"/>
                <w:kern w:val="0"/>
                <w:sz w:val="24"/>
                <w:szCs w:val="24"/>
              </w:rPr>
            </w:pPr>
            <w:r>
              <w:rPr>
                <w:rFonts w:hint="eastAsia" w:ascii="宋体" w:hAnsi="宋体" w:cs="Times New Roman"/>
                <w:color w:val="000000"/>
                <w:kern w:val="0"/>
                <w:sz w:val="24"/>
                <w:szCs w:val="24"/>
              </w:rPr>
              <w:t>0</w:t>
            </w:r>
          </w:p>
        </w:tc>
        <w:tc>
          <w:tcPr>
            <w:tcW w:w="567"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Times New Roman"/>
                <w:color w:val="000000"/>
                <w:kern w:val="0"/>
                <w:sz w:val="24"/>
                <w:szCs w:val="24"/>
              </w:rPr>
            </w:pPr>
            <w:r>
              <w:rPr>
                <w:rFonts w:hint="eastAsia" w:ascii="宋体" w:hAnsi="宋体" w:cs="Times New Roman"/>
                <w:color w:val="000000"/>
                <w:kern w:val="0"/>
                <w:sz w:val="24"/>
                <w:szCs w:val="24"/>
              </w:rPr>
              <w:t>0</w:t>
            </w:r>
          </w:p>
        </w:tc>
        <w:tc>
          <w:tcPr>
            <w:tcW w:w="567" w:type="dxa"/>
            <w:tcBorders>
              <w:top w:val="single" w:color="auto" w:sz="4" w:space="0"/>
              <w:left w:val="nil"/>
              <w:bottom w:val="single" w:color="auto" w:sz="4" w:space="0"/>
              <w:right w:val="single" w:color="auto" w:sz="4" w:space="0"/>
            </w:tcBorders>
            <w:vAlign w:val="center"/>
          </w:tcPr>
          <w:p>
            <w:pPr>
              <w:widowControl/>
              <w:spacing w:line="560" w:lineRule="exact"/>
              <w:jc w:val="center"/>
              <w:rPr>
                <w:rFonts w:ascii="宋体" w:hAnsi="宋体" w:cs="Times New Roman"/>
                <w:color w:val="000000"/>
                <w:kern w:val="0"/>
                <w:sz w:val="24"/>
                <w:szCs w:val="24"/>
              </w:rPr>
            </w:pPr>
            <w:r>
              <w:rPr>
                <w:rFonts w:hint="eastAsia" w:ascii="宋体" w:hAnsi="宋体" w:cs="Times New Roman"/>
                <w:color w:val="000000"/>
                <w:kern w:val="0"/>
                <w:sz w:val="24"/>
                <w:szCs w:val="24"/>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Times New Roman"/>
                <w:color w:val="000000"/>
                <w:kern w:val="0"/>
                <w:sz w:val="24"/>
                <w:szCs w:val="24"/>
              </w:rPr>
            </w:pPr>
            <w:r>
              <w:rPr>
                <w:rFonts w:hint="eastAsia" w:ascii="宋体" w:hAnsi="宋体" w:cs="Times New Roman"/>
                <w:color w:val="000000"/>
                <w:kern w:val="0"/>
                <w:sz w:val="24"/>
                <w:szCs w:val="24"/>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Times New Roman"/>
                <w:color w:val="000000"/>
                <w:kern w:val="0"/>
                <w:sz w:val="24"/>
                <w:szCs w:val="24"/>
              </w:rPr>
            </w:pPr>
            <w:r>
              <w:rPr>
                <w:rFonts w:hint="eastAsia" w:ascii="宋体" w:hAnsi="宋体" w:cs="Times New Roman"/>
                <w:color w:val="000000"/>
                <w:kern w:val="0"/>
                <w:sz w:val="24"/>
                <w:szCs w:val="24"/>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Times New Roman"/>
                <w:color w:val="000000"/>
                <w:kern w:val="0"/>
                <w:sz w:val="24"/>
                <w:szCs w:val="24"/>
              </w:rPr>
            </w:pPr>
            <w:r>
              <w:rPr>
                <w:rFonts w:hint="eastAsia" w:ascii="宋体" w:hAnsi="宋体" w:cs="Times New Roman"/>
                <w:color w:val="000000"/>
                <w:kern w:val="0"/>
                <w:sz w:val="24"/>
                <w:szCs w:val="24"/>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Times New Roman"/>
                <w:color w:val="000000"/>
                <w:kern w:val="0"/>
                <w:sz w:val="24"/>
                <w:szCs w:val="24"/>
              </w:rPr>
            </w:pPr>
            <w:r>
              <w:rPr>
                <w:rFonts w:hint="eastAsia" w:ascii="宋体" w:hAnsi="宋体" w:cs="Times New Roman"/>
                <w:color w:val="000000"/>
                <w:kern w:val="0"/>
                <w:sz w:val="24"/>
                <w:szCs w:val="24"/>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Times New Roman"/>
                <w:color w:val="000000"/>
                <w:kern w:val="0"/>
                <w:sz w:val="24"/>
                <w:szCs w:val="24"/>
              </w:rPr>
            </w:pPr>
            <w:r>
              <w:rPr>
                <w:rFonts w:hint="eastAsia" w:ascii="宋体" w:hAnsi="宋体" w:cs="Times New Roman"/>
                <w:color w:val="000000"/>
                <w:kern w:val="0"/>
                <w:sz w:val="24"/>
                <w:szCs w:val="24"/>
              </w:rPr>
              <w:t>0</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Times New Roman"/>
                <w:color w:val="000000"/>
                <w:kern w:val="0"/>
                <w:sz w:val="24"/>
                <w:szCs w:val="24"/>
              </w:rPr>
            </w:pPr>
            <w:r>
              <w:rPr>
                <w:rFonts w:hint="eastAsia" w:ascii="宋体" w:hAnsi="宋体" w:cs="Times New Roman"/>
                <w:color w:val="000000"/>
                <w:kern w:val="0"/>
                <w:sz w:val="24"/>
                <w:szCs w:val="24"/>
              </w:rPr>
              <w:t>0</w:t>
            </w:r>
          </w:p>
        </w:tc>
      </w:tr>
    </w:tbl>
    <w:p>
      <w:pPr>
        <w:spacing w:line="560" w:lineRule="exact"/>
        <w:ind w:firstLine="640" w:firstLineChars="200"/>
        <w:rPr>
          <w:rFonts w:ascii="黑体" w:hAnsi="黑体" w:eastAsia="黑体" w:cs="Times New Roman"/>
          <w:color w:val="000000"/>
          <w:sz w:val="32"/>
          <w:szCs w:val="32"/>
        </w:rPr>
      </w:pPr>
      <w:r>
        <w:rPr>
          <w:rFonts w:hint="eastAsia" w:ascii="黑体" w:hAnsi="黑体" w:eastAsia="黑体" w:cs="黑体"/>
          <w:color w:val="000000"/>
          <w:sz w:val="32"/>
          <w:szCs w:val="32"/>
        </w:rPr>
        <w:t>五、存在的主要问题及改进情况</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0" w:right="0" w:hanging="360"/>
        <w:rPr>
          <w:rFonts w:ascii="黑体" w:hAnsi="黑体" w:eastAsia="黑体" w:cs="Times New Roman"/>
          <w:sz w:val="32"/>
          <w:szCs w:val="32"/>
        </w:rPr>
      </w:pPr>
      <w:r>
        <w:rPr>
          <w:rFonts w:ascii="仿宋_GB2312" w:hAnsi="仿宋_GB2312" w:eastAsia="仿宋_GB2312" w:cs="仿宋_GB2312"/>
          <w:b w:val="0"/>
          <w:color w:val="000000"/>
          <w:sz w:val="32"/>
          <w:szCs w:val="32"/>
        </w:rPr>
        <w:t>202</w:t>
      </w:r>
      <w:r>
        <w:rPr>
          <w:rFonts w:hint="eastAsia" w:ascii="仿宋_GB2312" w:hAnsi="仿宋_GB2312" w:eastAsia="仿宋_GB2312" w:cs="仿宋_GB2312"/>
          <w:b w:val="0"/>
          <w:color w:val="000000"/>
          <w:sz w:val="32"/>
          <w:szCs w:val="32"/>
          <w:lang w:val="en-US" w:eastAsia="zh-CN"/>
        </w:rPr>
        <w:t>3</w:t>
      </w:r>
      <w:r>
        <w:rPr>
          <w:rFonts w:ascii="仿宋_GB2312" w:hAnsi="仿宋_GB2312" w:eastAsia="仿宋_GB2312" w:cs="仿宋_GB2312"/>
          <w:b w:val="0"/>
          <w:color w:val="000000"/>
          <w:sz w:val="32"/>
          <w:szCs w:val="32"/>
        </w:rPr>
        <w:t>年市人力资源和社会保障局政务公开工作还存在以下问题：政府信息公开平台有些栏目</w:t>
      </w:r>
      <w:r>
        <w:rPr>
          <w:rFonts w:hint="eastAsia" w:ascii="仿宋_GB2312" w:hAnsi="仿宋_GB2312" w:eastAsia="仿宋_GB2312" w:cs="仿宋_GB2312"/>
          <w:b w:val="0"/>
          <w:color w:val="000000"/>
          <w:sz w:val="32"/>
          <w:szCs w:val="32"/>
          <w:lang w:val="en-US" w:eastAsia="zh-CN"/>
        </w:rPr>
        <w:t>内容不全面、</w:t>
      </w:r>
      <w:r>
        <w:rPr>
          <w:rFonts w:ascii="仿宋_GB2312" w:hAnsi="仿宋_GB2312" w:eastAsia="仿宋_GB2312" w:cs="仿宋_GB2312"/>
          <w:b w:val="0"/>
          <w:color w:val="000000"/>
          <w:sz w:val="32"/>
          <w:szCs w:val="32"/>
        </w:rPr>
        <w:t>更新不够及时、政策解读有待进一步加强等。202</w:t>
      </w:r>
      <w:r>
        <w:rPr>
          <w:rFonts w:hint="eastAsia" w:ascii="仿宋_GB2312" w:hAnsi="仿宋_GB2312" w:eastAsia="仿宋_GB2312" w:cs="仿宋_GB2312"/>
          <w:b w:val="0"/>
          <w:color w:val="000000"/>
          <w:sz w:val="32"/>
          <w:szCs w:val="32"/>
          <w:lang w:val="en-US" w:eastAsia="zh-CN"/>
        </w:rPr>
        <w:t>4</w:t>
      </w:r>
      <w:r>
        <w:rPr>
          <w:rFonts w:ascii="仿宋_GB2312" w:hAnsi="仿宋_GB2312" w:eastAsia="仿宋_GB2312" w:cs="仿宋_GB2312"/>
          <w:b w:val="0"/>
          <w:color w:val="000000"/>
          <w:sz w:val="32"/>
          <w:szCs w:val="32"/>
        </w:rPr>
        <w:t>年，市人力资源和社会保障局将继续贯彻落实市委、市政府关于政务公开工作的决策部署，坚持以人民为中心深化政务公开</w:t>
      </w:r>
      <w:r>
        <w:rPr>
          <w:rFonts w:hint="eastAsia" w:ascii="仿宋_GB2312" w:hAnsi="仿宋_GB2312" w:eastAsia="仿宋_GB2312" w:cs="仿宋_GB2312"/>
          <w:b w:val="0"/>
          <w:color w:val="000000"/>
          <w:sz w:val="32"/>
          <w:szCs w:val="32"/>
          <w:lang w:eastAsia="zh-CN"/>
        </w:rPr>
        <w:t>：</w:t>
      </w:r>
      <w:r>
        <w:rPr>
          <w:rFonts w:hint="eastAsia" w:ascii="仿宋_GB2312" w:hAnsi="仿宋_GB2312" w:eastAsia="仿宋_GB2312" w:cs="仿宋_GB2312"/>
          <w:b/>
          <w:bCs/>
          <w:color w:val="000000"/>
          <w:sz w:val="32"/>
          <w:szCs w:val="32"/>
          <w:lang w:eastAsia="zh-CN"/>
        </w:rPr>
        <w:t>一是</w:t>
      </w:r>
      <w:r>
        <w:rPr>
          <w:rFonts w:hint="eastAsia" w:ascii="仿宋_GB2312" w:hAnsi="仿宋_GB2312" w:eastAsia="仿宋_GB2312" w:cs="仿宋_GB2312"/>
          <w:b w:val="0"/>
          <w:color w:val="000000"/>
          <w:sz w:val="32"/>
          <w:szCs w:val="32"/>
          <w:lang w:eastAsia="zh-CN"/>
        </w:rPr>
        <w:t>加强政务公开内容的全面性，</w:t>
      </w:r>
      <w:r>
        <w:rPr>
          <w:rFonts w:hint="eastAsia" w:ascii="仿宋_GB2312" w:hAnsi="仿宋_GB2312" w:eastAsia="仿宋_GB2312" w:cs="仿宋_GB2312"/>
          <w:b/>
          <w:bCs/>
          <w:color w:val="000000"/>
          <w:sz w:val="32"/>
          <w:szCs w:val="32"/>
          <w:lang w:eastAsia="zh-CN"/>
        </w:rPr>
        <w:t>二是</w:t>
      </w:r>
      <w:r>
        <w:rPr>
          <w:rFonts w:hint="eastAsia" w:ascii="仿宋_GB2312" w:hAnsi="仿宋_GB2312" w:eastAsia="仿宋_GB2312" w:cs="仿宋_GB2312"/>
          <w:b w:val="0"/>
          <w:color w:val="000000"/>
          <w:sz w:val="32"/>
          <w:szCs w:val="32"/>
          <w:lang w:eastAsia="zh-CN"/>
        </w:rPr>
        <w:t>提高政务公开信息的及时性，</w:t>
      </w:r>
      <w:r>
        <w:rPr>
          <w:rFonts w:hint="eastAsia" w:ascii="仿宋_GB2312" w:hAnsi="仿宋_GB2312" w:eastAsia="仿宋_GB2312" w:cs="仿宋_GB2312"/>
          <w:b/>
          <w:bCs/>
          <w:color w:val="000000"/>
          <w:sz w:val="32"/>
          <w:szCs w:val="32"/>
          <w:lang w:eastAsia="zh-CN"/>
        </w:rPr>
        <w:t>三是</w:t>
      </w:r>
      <w:r>
        <w:rPr>
          <w:rFonts w:hint="eastAsia" w:ascii="仿宋_GB2312" w:hAnsi="仿宋_GB2312" w:eastAsia="仿宋_GB2312" w:cs="仿宋_GB2312"/>
          <w:b w:val="0"/>
          <w:color w:val="000000"/>
          <w:sz w:val="32"/>
          <w:szCs w:val="32"/>
          <w:lang w:eastAsia="zh-CN"/>
        </w:rPr>
        <w:t>保证政务公开信息的准确性，</w:t>
      </w:r>
      <w:r>
        <w:rPr>
          <w:rFonts w:hint="eastAsia" w:ascii="仿宋_GB2312" w:hAnsi="仿宋_GB2312" w:eastAsia="仿宋_GB2312" w:cs="仿宋_GB2312"/>
          <w:b/>
          <w:bCs/>
          <w:color w:val="000000"/>
          <w:sz w:val="32"/>
          <w:szCs w:val="32"/>
          <w:lang w:eastAsia="zh-CN"/>
        </w:rPr>
        <w:t>四是</w:t>
      </w:r>
      <w:r>
        <w:rPr>
          <w:rFonts w:hint="eastAsia" w:ascii="仿宋_GB2312" w:hAnsi="仿宋_GB2312" w:eastAsia="仿宋_GB2312" w:cs="仿宋_GB2312"/>
          <w:b w:val="0"/>
          <w:color w:val="000000"/>
          <w:sz w:val="32"/>
          <w:szCs w:val="32"/>
          <w:lang w:eastAsia="zh-CN"/>
        </w:rPr>
        <w:t>加强政务公开的宣传推广。</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0" w:right="0" w:hanging="360"/>
        <w:rPr>
          <w:rFonts w:hint="eastAsia" w:ascii="仿宋_GB2312" w:eastAsia="仿宋_GB2312"/>
          <w:sz w:val="32"/>
          <w:szCs w:val="32"/>
        </w:rPr>
      </w:pPr>
      <w:r>
        <w:rPr>
          <w:rFonts w:hint="eastAsia" w:ascii="黑体" w:hAnsi="黑体" w:eastAsia="黑体" w:cs="黑体"/>
          <w:sz w:val="32"/>
          <w:szCs w:val="32"/>
        </w:rPr>
        <w:t>六、其他需要报告的事项</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1"/>
        <w:ind w:left="0" w:right="0" w:hanging="360"/>
        <w:rPr>
          <w:rFonts w:hint="eastAsia" w:ascii="仿宋_GB2312" w:eastAsia="仿宋_GB2312"/>
          <w:sz w:val="32"/>
          <w:szCs w:val="32"/>
        </w:rPr>
      </w:pPr>
      <w:r>
        <w:rPr>
          <w:rFonts w:hint="eastAsia" w:ascii="仿宋_GB2312" w:eastAsia="仿宋_GB2312"/>
          <w:sz w:val="32"/>
          <w:szCs w:val="32"/>
        </w:rPr>
        <w:t>认真贯彻执行国务院办公厅《政府信息公开信息处理费管理办法》和《关于政府信息公开处理费管理有关事项的通知》。202</w:t>
      </w:r>
      <w:r>
        <w:rPr>
          <w:rFonts w:hint="eastAsia" w:ascii="仿宋_GB2312" w:eastAsia="仿宋_GB2312"/>
          <w:sz w:val="32"/>
          <w:szCs w:val="32"/>
          <w:lang w:val="en-US" w:eastAsia="zh-CN"/>
        </w:rPr>
        <w:t>3</w:t>
      </w:r>
      <w:r>
        <w:rPr>
          <w:rFonts w:hint="eastAsia" w:ascii="仿宋_GB2312" w:eastAsia="仿宋_GB2312"/>
          <w:sz w:val="32"/>
          <w:szCs w:val="32"/>
        </w:rPr>
        <w:t>年邢台市人力资源和社会保障局未收取信息处理费。</w:t>
      </w:r>
    </w:p>
    <w:p>
      <w:pPr>
        <w:widowControl/>
        <w:spacing w:line="560" w:lineRule="exact"/>
        <w:rPr>
          <w:rFonts w:ascii="仿宋_GB2312" w:eastAsia="仿宋_GB2312"/>
          <w:color w:val="000000"/>
          <w:sz w:val="32"/>
          <w:szCs w:val="32"/>
        </w:rPr>
      </w:pPr>
      <w:bookmarkStart w:id="0" w:name="_GoBack"/>
      <w:bookmarkEnd w:id="0"/>
    </w:p>
    <w:p>
      <w:pPr>
        <w:widowControl/>
        <w:spacing w:line="560" w:lineRule="exact"/>
        <w:rPr>
          <w:rFonts w:ascii="仿宋_GB2312" w:eastAsia="仿宋_GB2312"/>
          <w:color w:val="000000"/>
          <w:sz w:val="32"/>
          <w:szCs w:val="32"/>
        </w:rPr>
      </w:pPr>
    </w:p>
    <w:p>
      <w:pPr>
        <w:widowControl/>
        <w:spacing w:line="560" w:lineRule="exact"/>
        <w:rPr>
          <w:rFonts w:ascii="仿宋_GB2312" w:eastAsia="仿宋_GB2312"/>
          <w:color w:val="000000"/>
          <w:sz w:val="32"/>
          <w:szCs w:val="32"/>
        </w:rPr>
      </w:pPr>
    </w:p>
    <w:p>
      <w:pPr>
        <w:widowControl/>
        <w:spacing w:line="560" w:lineRule="exact"/>
        <w:ind w:firstLine="4480" w:firstLineChars="1400"/>
        <w:rPr>
          <w:rFonts w:ascii="仿宋_GB2312" w:eastAsia="仿宋_GB2312"/>
          <w:color w:val="000000"/>
          <w:sz w:val="32"/>
          <w:szCs w:val="32"/>
        </w:rPr>
      </w:pPr>
      <w:r>
        <w:rPr>
          <w:rFonts w:hint="eastAsia" w:ascii="仿宋_GB2312" w:eastAsia="仿宋_GB2312"/>
          <w:color w:val="000000"/>
          <w:sz w:val="32"/>
          <w:szCs w:val="32"/>
        </w:rPr>
        <w:t>邢台市人力资源和社会保障局</w:t>
      </w:r>
    </w:p>
    <w:p>
      <w:pPr>
        <w:widowControl/>
        <w:spacing w:line="560" w:lineRule="exact"/>
        <w:ind w:firstLine="5280" w:firstLineChars="1650"/>
        <w:rPr>
          <w:rFonts w:ascii="仿宋_GB2312" w:eastAsia="仿宋_GB2312"/>
          <w:color w:val="000000"/>
          <w:sz w:val="32"/>
          <w:szCs w:val="32"/>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年1月</w:t>
      </w: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日</w:t>
      </w:r>
    </w:p>
    <w:sectPr>
      <w:footerReference r:id="rId5" w:type="first"/>
      <w:footerReference r:id="rId3" w:type="default"/>
      <w:footerReference r:id="rId4" w:type="even"/>
      <w:pgSz w:w="11906" w:h="16838"/>
      <w:pgMar w:top="2098" w:right="1531" w:bottom="1701" w:left="1531" w:header="851" w:footer="1418"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5 -</w:t>
    </w:r>
    <w:r>
      <w:rPr>
        <w:rFonts w:ascii="宋体" w:hAnsi="宋体"/>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6 -</w:t>
    </w:r>
    <w:r>
      <w:rPr>
        <w:rFonts w:ascii="宋体" w:hAnsi="宋体"/>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1 -</w:t>
    </w:r>
    <w:r>
      <w:rPr>
        <w:rFonts w:ascii="宋体" w:hAnsi="宋体"/>
        <w:sz w:val="24"/>
        <w:szCs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DCEE4D"/>
    <w:multiLevelType w:val="multilevel"/>
    <w:tmpl w:val="E0DCEE4D"/>
    <w:lvl w:ilvl="0" w:tentative="0">
      <w:start w:val="1"/>
      <w:numFmt w:val="none"/>
      <w:lvlText w:val="%1."/>
      <w:lvlJc w:val="left"/>
      <w:pPr>
        <w:tabs>
          <w:tab w:val="left" w:pos="720"/>
        </w:tabs>
        <w:ind w:left="720" w:hanging="360"/>
      </w:pPr>
      <w:rPr>
        <w:sz w:val="24"/>
        <w:szCs w:val="24"/>
      </w:rPr>
    </w:lvl>
    <w:lvl w:ilvl="1" w:tentative="0">
      <w:start w:val="1"/>
      <w:numFmt w:val="none"/>
      <w:lvlText w:val="%2."/>
      <w:lvlJc w:val="left"/>
      <w:pPr>
        <w:tabs>
          <w:tab w:val="left" w:pos="1440"/>
        </w:tabs>
        <w:ind w:left="1440" w:hanging="360"/>
      </w:pPr>
      <w:rPr>
        <w:sz w:val="24"/>
        <w:szCs w:val="24"/>
      </w:rPr>
    </w:lvl>
    <w:lvl w:ilvl="2" w:tentative="0">
      <w:start w:val="1"/>
      <w:numFmt w:val="none"/>
      <w:lvlText w:val="%3."/>
      <w:lvlJc w:val="left"/>
      <w:pPr>
        <w:tabs>
          <w:tab w:val="left" w:pos="2160"/>
        </w:tabs>
        <w:ind w:left="2160" w:hanging="360"/>
      </w:pPr>
      <w:rPr>
        <w:sz w:val="24"/>
        <w:szCs w:val="24"/>
      </w:rPr>
    </w:lvl>
    <w:lvl w:ilvl="3" w:tentative="0">
      <w:start w:val="1"/>
      <w:numFmt w:val="none"/>
      <w:lvlText w:val="%4."/>
      <w:lvlJc w:val="left"/>
      <w:pPr>
        <w:tabs>
          <w:tab w:val="left" w:pos="2517"/>
        </w:tabs>
        <w:ind w:left="2880" w:hanging="360"/>
      </w:pPr>
      <w:rPr>
        <w:sz w:val="24"/>
        <w:szCs w:val="24"/>
      </w:rPr>
    </w:lvl>
    <w:lvl w:ilvl="4" w:tentative="0">
      <w:start w:val="1"/>
      <w:numFmt w:val="none"/>
      <w:lvlText w:val="%5."/>
      <w:lvlJc w:val="left"/>
      <w:pPr>
        <w:tabs>
          <w:tab w:val="left" w:pos="3238"/>
        </w:tabs>
        <w:ind w:left="3600" w:hanging="360"/>
      </w:pPr>
      <w:rPr>
        <w:sz w:val="24"/>
        <w:szCs w:val="24"/>
      </w:rPr>
    </w:lvl>
    <w:lvl w:ilvl="5" w:tentative="0">
      <w:start w:val="1"/>
      <w:numFmt w:val="none"/>
      <w:lvlText w:val="%6."/>
      <w:lvlJc w:val="left"/>
      <w:pPr>
        <w:tabs>
          <w:tab w:val="left" w:pos="3958"/>
        </w:tabs>
        <w:ind w:left="4320" w:hanging="360"/>
      </w:pPr>
      <w:rPr>
        <w:sz w:val="24"/>
        <w:szCs w:val="24"/>
      </w:rPr>
    </w:lvl>
    <w:lvl w:ilvl="6" w:tentative="0">
      <w:start w:val="1"/>
      <w:numFmt w:val="none"/>
      <w:lvlText w:val="%7."/>
      <w:lvlJc w:val="left"/>
      <w:pPr>
        <w:tabs>
          <w:tab w:val="left" w:pos="4678"/>
        </w:tabs>
        <w:ind w:left="5040" w:hanging="360"/>
      </w:pPr>
      <w:rPr>
        <w:sz w:val="24"/>
        <w:szCs w:val="24"/>
      </w:rPr>
    </w:lvl>
    <w:lvl w:ilvl="7" w:tentative="0">
      <w:start w:val="1"/>
      <w:numFmt w:val="none"/>
      <w:lvlText w:val="%8."/>
      <w:lvlJc w:val="left"/>
      <w:pPr>
        <w:tabs>
          <w:tab w:val="left" w:pos="5398"/>
        </w:tabs>
        <w:ind w:left="5760" w:hanging="360"/>
      </w:pPr>
      <w:rPr>
        <w:sz w:val="24"/>
        <w:szCs w:val="24"/>
      </w:rPr>
    </w:lvl>
    <w:lvl w:ilvl="8" w:tentative="0">
      <w:start w:val="1"/>
      <w:numFmt w:val="none"/>
      <w:lvlText w:val="%9."/>
      <w:lvlJc w:val="left"/>
      <w:pPr>
        <w:tabs>
          <w:tab w:val="left" w:pos="6118"/>
        </w:tabs>
        <w:ind w:left="6480" w:hanging="360"/>
      </w:pPr>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oNotHyphenateCaps/>
  <w:evenAndOddHeaders w:val="1"/>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M0OTEyYTk2NzQwY2I5MzY5NWY5NzlkYjVjZmFlMGEifQ=="/>
    <w:docVar w:name="KSO_WPS_MARK_KEY" w:val="22061101-01ab-477e-91ba-3c015980de0a"/>
  </w:docVars>
  <w:rsids>
    <w:rsidRoot w:val="007F658D"/>
    <w:rsid w:val="000B4EFC"/>
    <w:rsid w:val="000E6BAC"/>
    <w:rsid w:val="000E7770"/>
    <w:rsid w:val="000F0105"/>
    <w:rsid w:val="0014040D"/>
    <w:rsid w:val="002011EB"/>
    <w:rsid w:val="00225650"/>
    <w:rsid w:val="00231B2A"/>
    <w:rsid w:val="002734B0"/>
    <w:rsid w:val="00283B45"/>
    <w:rsid w:val="002A6CD7"/>
    <w:rsid w:val="002B35A3"/>
    <w:rsid w:val="00321DF4"/>
    <w:rsid w:val="003303C5"/>
    <w:rsid w:val="00343A92"/>
    <w:rsid w:val="003762FE"/>
    <w:rsid w:val="003A2FF9"/>
    <w:rsid w:val="003C219E"/>
    <w:rsid w:val="00407211"/>
    <w:rsid w:val="00426CC6"/>
    <w:rsid w:val="00477EF0"/>
    <w:rsid w:val="004D4AFF"/>
    <w:rsid w:val="005913EF"/>
    <w:rsid w:val="005B05C4"/>
    <w:rsid w:val="0062496E"/>
    <w:rsid w:val="00632528"/>
    <w:rsid w:val="00637793"/>
    <w:rsid w:val="00660049"/>
    <w:rsid w:val="006B0B05"/>
    <w:rsid w:val="006B2566"/>
    <w:rsid w:val="006D2D0C"/>
    <w:rsid w:val="006E33FA"/>
    <w:rsid w:val="006E6476"/>
    <w:rsid w:val="006F01AA"/>
    <w:rsid w:val="007004C5"/>
    <w:rsid w:val="00746864"/>
    <w:rsid w:val="0078065E"/>
    <w:rsid w:val="007A2DF2"/>
    <w:rsid w:val="007F658D"/>
    <w:rsid w:val="00825D77"/>
    <w:rsid w:val="008D2D22"/>
    <w:rsid w:val="008D344E"/>
    <w:rsid w:val="0094276F"/>
    <w:rsid w:val="0098188B"/>
    <w:rsid w:val="00A22533"/>
    <w:rsid w:val="00A239C5"/>
    <w:rsid w:val="00A33E18"/>
    <w:rsid w:val="00A72CA9"/>
    <w:rsid w:val="00AB509B"/>
    <w:rsid w:val="00B23422"/>
    <w:rsid w:val="00B30565"/>
    <w:rsid w:val="00B32903"/>
    <w:rsid w:val="00B538BD"/>
    <w:rsid w:val="00BA1DDC"/>
    <w:rsid w:val="00BC1DB8"/>
    <w:rsid w:val="00C13000"/>
    <w:rsid w:val="00C543BE"/>
    <w:rsid w:val="00CD2977"/>
    <w:rsid w:val="00CF0EA5"/>
    <w:rsid w:val="00D16F8C"/>
    <w:rsid w:val="00D33DBD"/>
    <w:rsid w:val="00D47FFE"/>
    <w:rsid w:val="00DD5E07"/>
    <w:rsid w:val="00DF05E0"/>
    <w:rsid w:val="00E005AF"/>
    <w:rsid w:val="00E0174D"/>
    <w:rsid w:val="00E15264"/>
    <w:rsid w:val="00E2048D"/>
    <w:rsid w:val="00E77FC8"/>
    <w:rsid w:val="00EB3910"/>
    <w:rsid w:val="00EC4B19"/>
    <w:rsid w:val="00ED1320"/>
    <w:rsid w:val="00F27B81"/>
    <w:rsid w:val="00F27D2F"/>
    <w:rsid w:val="00F32068"/>
    <w:rsid w:val="00F75EB5"/>
    <w:rsid w:val="00F941DC"/>
    <w:rsid w:val="00FB4A5E"/>
    <w:rsid w:val="00FF37C0"/>
    <w:rsid w:val="00FF4286"/>
    <w:rsid w:val="15602773"/>
    <w:rsid w:val="24857B00"/>
    <w:rsid w:val="2D9D01D0"/>
    <w:rsid w:val="33F11B7C"/>
    <w:rsid w:val="45AB48FC"/>
    <w:rsid w:val="48BA1BBF"/>
    <w:rsid w:val="4C8A1C89"/>
    <w:rsid w:val="5D156232"/>
    <w:rsid w:val="60F01363"/>
    <w:rsid w:val="62B24314"/>
    <w:rsid w:val="62D574EB"/>
    <w:rsid w:val="674943E2"/>
    <w:rsid w:val="68B94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Calibri"/>
      <w:kern w:val="2"/>
      <w:sz w:val="21"/>
      <w:szCs w:val="21"/>
      <w:lang w:val="en-US" w:eastAsia="zh-CN" w:bidi="ar-SA"/>
    </w:rPr>
  </w:style>
  <w:style w:type="paragraph" w:styleId="2">
    <w:name w:val="heading 2"/>
    <w:basedOn w:val="1"/>
    <w:next w:val="1"/>
    <w:autoRedefine/>
    <w:qFormat/>
    <w:locked/>
    <w:uiPriority w:val="0"/>
    <w:pPr>
      <w:spacing w:before="100" w:beforeAutospacing="1" w:after="100" w:afterAutospacing="1"/>
      <w:jc w:val="left"/>
      <w:outlineLvl w:val="1"/>
    </w:pPr>
    <w:rPr>
      <w:rFonts w:hint="eastAsia" w:ascii="宋体" w:hAnsi="宋体" w:cs="Times New Roman"/>
      <w:b/>
      <w:bCs/>
      <w:kern w:val="0"/>
      <w:sz w:val="36"/>
      <w:szCs w:val="36"/>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autoRedefine/>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character" w:styleId="8">
    <w:name w:val="Strong"/>
    <w:basedOn w:val="7"/>
    <w:autoRedefine/>
    <w:qFormat/>
    <w:locked/>
    <w:uiPriority w:val="0"/>
    <w:rPr>
      <w:b/>
      <w:bCs/>
    </w:rPr>
  </w:style>
  <w:style w:type="character" w:styleId="9">
    <w:name w:val="page number"/>
    <w:basedOn w:val="7"/>
    <w:autoRedefine/>
    <w:qFormat/>
    <w:uiPriority w:val="0"/>
  </w:style>
  <w:style w:type="paragraph" w:customStyle="1" w:styleId="10">
    <w:name w:val="Char Char Char Char Char Char Char Char Char Char"/>
    <w:basedOn w:val="1"/>
    <w:autoRedefine/>
    <w:qFormat/>
    <w:uiPriority w:val="0"/>
    <w:rPr>
      <w:rFonts w:cs="Times New Roman"/>
      <w:szCs w:val="20"/>
    </w:rPr>
  </w:style>
  <w:style w:type="paragraph" w:customStyle="1" w:styleId="11">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2">
    <w:name w:val="页脚 Char"/>
    <w:basedOn w:val="7"/>
    <w:link w:val="3"/>
    <w:autoRedefine/>
    <w:qFormat/>
    <w:uiPriority w:val="99"/>
    <w:rPr>
      <w:rFonts w:cs="Calibri"/>
      <w:kern w:val="2"/>
      <w:sz w:val="18"/>
      <w:szCs w:val="18"/>
    </w:rPr>
  </w:style>
  <w:style w:type="paragraph" w:customStyle="1" w:styleId="13">
    <w:name w:val=" Char Char Char Char Char Char Char Char Char Char"/>
    <w:basedOn w:val="1"/>
    <w:autoRedefine/>
    <w:qFormat/>
    <w:uiPriority w:val="0"/>
    <w:rPr>
      <w:rFonts w:cs="Times New Roman"/>
      <w:szCs w:val="20"/>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2054</Words>
  <Characters>2113</Characters>
  <Lines>3</Lines>
  <Paragraphs>5</Paragraphs>
  <TotalTime>8</TotalTime>
  <ScaleCrop>false</ScaleCrop>
  <LinksUpToDate>false</LinksUpToDate>
  <CharactersWithSpaces>2116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2023-01-28T01:13:00Z</dcterms:created>
  <dc:creator>xb21cn</dc:creator>
  <cp:lastModifiedBy>Administrator</cp:lastModifiedBy>
  <cp:lastPrinted>2023-02-07T01:44:00Z</cp:lastPrinted>
  <dcterms:modified xsi:type="dcterms:W3CDTF">2024-01-11T08:49:51Z</dcterms:modified>
  <cp:revision>6</cp:revision>
  <dc:title>政府信息公开工作年度报告格式模板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5E6D48133C7A4E80A491B133B57AF271</vt:lpwstr>
  </property>
</Properties>
</file>