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b w:val="0"/>
          <w:bCs/>
          <w:i w:val="0"/>
          <w:caps w:val="0"/>
          <w:color w:val="333333"/>
          <w:spacing w:val="0"/>
          <w:sz w:val="36"/>
          <w:szCs w:val="36"/>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b w:val="0"/>
          <w:bCs/>
          <w:i w:val="0"/>
          <w:caps w:val="0"/>
          <w:color w:val="333333"/>
          <w:spacing w:val="0"/>
          <w:sz w:val="36"/>
          <w:szCs w:val="36"/>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rPr>
      </w:pPr>
      <w:r>
        <w:rPr>
          <w:rFonts w:hint="eastAsia" w:ascii="方正小标宋_GBK" w:hAnsi="方正小标宋_GBK" w:eastAsia="方正小标宋_GBK" w:cs="方正小标宋_GBK"/>
          <w:b w:val="0"/>
          <w:bCs/>
          <w:i w:val="0"/>
          <w:caps w:val="0"/>
          <w:color w:val="auto"/>
          <w:spacing w:val="0"/>
          <w:sz w:val="44"/>
          <w:szCs w:val="44"/>
          <w:shd w:val="clear" w:color="auto" w:fill="FFFFFF"/>
        </w:rPr>
        <w:t>邢台市自然资源和规划局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rPr>
      </w:pPr>
      <w:r>
        <w:rPr>
          <w:rFonts w:hint="eastAsia" w:ascii="方正小标宋_GBK" w:hAnsi="方正小标宋_GBK" w:eastAsia="方正小标宋_GBK" w:cs="方正小标宋_GBK"/>
          <w:b w:val="0"/>
          <w:bCs/>
          <w:i w:val="0"/>
          <w:caps w:val="0"/>
          <w:color w:val="auto"/>
          <w:spacing w:val="0"/>
          <w:sz w:val="44"/>
          <w:szCs w:val="44"/>
          <w:shd w:val="clear" w:color="auto" w:fill="FFFFFF"/>
        </w:rPr>
        <w:t>20</w:t>
      </w:r>
      <w:r>
        <w:rPr>
          <w:rFonts w:hint="eastAsia" w:ascii="方正小标宋_GBK" w:hAnsi="方正小标宋_GBK" w:eastAsia="方正小标宋_GBK" w:cs="方正小标宋_GBK"/>
          <w:b w:val="0"/>
          <w:bCs/>
          <w:i w:val="0"/>
          <w:caps w:val="0"/>
          <w:color w:val="auto"/>
          <w:spacing w:val="0"/>
          <w:sz w:val="44"/>
          <w:szCs w:val="44"/>
          <w:shd w:val="clear" w:color="auto" w:fill="FFFFFF"/>
          <w:lang w:val="en-US" w:eastAsia="zh-CN"/>
        </w:rPr>
        <w:t>23</w:t>
      </w:r>
      <w:r>
        <w:rPr>
          <w:rFonts w:hint="eastAsia" w:ascii="方正小标宋_GBK" w:hAnsi="方正小标宋_GBK" w:eastAsia="方正小标宋_GBK" w:cs="方正小标宋_GBK"/>
          <w:b w:val="0"/>
          <w:bCs/>
          <w:i w:val="0"/>
          <w:caps w:val="0"/>
          <w:color w:val="auto"/>
          <w:spacing w:val="0"/>
          <w:sz w:val="44"/>
          <w:szCs w:val="44"/>
          <w:shd w:val="clear" w:color="auto" w:fill="FFFFFF"/>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b/>
          <w:i w:val="0"/>
          <w:caps w:val="0"/>
          <w:color w:val="auto"/>
          <w:spacing w:val="0"/>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仿宋_GB2312" w:hAnsi="仿宋_GB2312" w:eastAsia="仿宋_GB2312" w:cs="仿宋_GB2312"/>
          <w:color w:val="auto"/>
          <w:sz w:val="32"/>
          <w:szCs w:val="32"/>
        </w:rPr>
        <w:t>根据《中华人民共和国政府信息公开条例》</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lang w:val="en-US" w:eastAsia="zh-CN"/>
        </w:rPr>
        <w:t>国家、省、市相关通知</w:t>
      </w:r>
      <w:r>
        <w:rPr>
          <w:rFonts w:hint="eastAsia" w:ascii="仿宋_GB2312" w:hAnsi="仿宋_GB2312" w:eastAsia="仿宋_GB2312" w:cs="仿宋_GB2312"/>
          <w:color w:val="auto"/>
          <w:sz w:val="32"/>
          <w:szCs w:val="32"/>
        </w:rPr>
        <w:t>要求，结合工作实际，编制本报告。</w:t>
      </w:r>
      <w:r>
        <w:rPr>
          <w:rFonts w:hint="eastAsia" w:ascii="仿宋_GB2312" w:hAnsi="仿宋_GB2312" w:eastAsia="仿宋_GB2312" w:cs="仿宋_GB2312"/>
          <w:color w:val="auto"/>
          <w:sz w:val="32"/>
          <w:szCs w:val="32"/>
          <w:lang w:eastAsia="zh-CN"/>
        </w:rPr>
        <w:t>本报告中数据统计期限为</w:t>
      </w:r>
      <w:r>
        <w:rPr>
          <w:rFonts w:hint="eastAsia" w:ascii="仿宋_GB2312" w:hAnsi="仿宋_GB2312" w:eastAsia="仿宋_GB2312" w:cs="仿宋_GB2312"/>
          <w:color w:val="auto"/>
          <w:sz w:val="32"/>
          <w:szCs w:val="32"/>
          <w:lang w:val="en-US" w:eastAsia="zh-CN"/>
        </w:rPr>
        <w:t>2023年1月1日至2023年12月31日。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2023年，</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i w:val="0"/>
          <w:caps w:val="0"/>
          <w:color w:val="auto"/>
          <w:spacing w:val="0"/>
          <w:sz w:val="32"/>
          <w:szCs w:val="32"/>
          <w:shd w:val="clear" w:color="auto" w:fill="FFFFFF"/>
          <w:lang w:val="en-US" w:eastAsia="zh-CN"/>
        </w:rPr>
        <w:t>市委、市政府的正确领导下，在</w:t>
      </w:r>
      <w:r>
        <w:rPr>
          <w:rFonts w:hint="eastAsia" w:ascii="仿宋_GB2312" w:hAnsi="仿宋_GB2312" w:eastAsia="仿宋_GB2312" w:cs="仿宋_GB2312"/>
          <w:color w:val="auto"/>
          <w:sz w:val="32"/>
          <w:szCs w:val="32"/>
        </w:rPr>
        <w:t>市政府办公室政务公开科</w:t>
      </w:r>
      <w:r>
        <w:rPr>
          <w:rFonts w:hint="eastAsia" w:ascii="仿宋_GB2312" w:hAnsi="仿宋_GB2312" w:eastAsia="仿宋_GB2312" w:cs="仿宋_GB2312"/>
          <w:color w:val="auto"/>
          <w:sz w:val="32"/>
          <w:szCs w:val="32"/>
          <w:highlight w:val="none"/>
        </w:rPr>
        <w:t>的指导</w:t>
      </w:r>
      <w:r>
        <w:rPr>
          <w:rFonts w:hint="eastAsia" w:ascii="仿宋_GB2312" w:hAnsi="仿宋_GB2312" w:eastAsia="仿宋_GB2312" w:cs="仿宋_GB2312"/>
          <w:color w:val="auto"/>
          <w:sz w:val="32"/>
          <w:szCs w:val="32"/>
          <w:highlight w:val="none"/>
          <w:lang w:eastAsia="zh-CN"/>
        </w:rPr>
        <w:t>帮助</w:t>
      </w:r>
      <w:r>
        <w:rPr>
          <w:rFonts w:hint="eastAsia" w:ascii="仿宋_GB2312" w:hAnsi="仿宋_GB2312" w:eastAsia="仿宋_GB2312" w:cs="仿宋_GB2312"/>
          <w:color w:val="auto"/>
          <w:sz w:val="32"/>
          <w:szCs w:val="32"/>
          <w:highlight w:val="none"/>
        </w:rPr>
        <w:t>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邢台市自然资源和规划局坚持以习近平新时代中国特色社会主义思想为指导，深入学习贯彻党的二十大和习总书记系列重要讲话、指示批示精神，持续健全工作机制、畅通公开渠道、强化政策解读，全面推进政府信息公开和重点领域信息公开，各项工作取得良好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（一）主动公开政府信息情况。</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重点公开了一系列重要政策文件、重点领域工作动态、重大民生信息等工作信息，在市政府信息公开平台市自然资源和规划局专版中公开政府信息</w:t>
      </w:r>
      <w:r>
        <w:rPr>
          <w:rFonts w:hint="eastAsia" w:ascii="仿宋_GB2312" w:hAnsi="黑体" w:eastAsia="仿宋_GB2312" w:cs="仿宋_GB2312"/>
          <w:color w:val="auto"/>
          <w:kern w:val="0"/>
          <w:sz w:val="32"/>
          <w:szCs w:val="32"/>
          <w:highlight w:val="none"/>
          <w:lang w:val="en-US" w:eastAsia="zh-CN"/>
        </w:rPr>
        <w:t>976</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条，市政府门户网站发布部门动态118条。</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按照省厅的工作安排，组织编制发布了《邢台市自然资源领域政府信息公开标准目录暨公开渠道指引》，指导20个县（市、区）高质量编制本级自然资源领域政府信息公开标准目录暨公开渠道指引，形成上下联动良好格局。</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三是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共承办人大建议和政协提案17件，其中人大建议10件，政协提案7件。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（二）依申请公开政府信息情况。</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全年共受理依申请公开282件，其中当面申请19件，来信申请239件，电子邮件申请24件。未收到信息公开类行政复议、行政诉讼案件，未收到因信息公开引起的群众合理投诉举报情况。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（三）政府信息管理情况。</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按照市政府工作要求，进一步完善了信息公开保密和审查制度，</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要求各科室、各单位拟制公文时，填报《拟发公文信息公开(保密)审查表》，并按照公文内容确定公开属性，在附注位置标注“主动公开”、“依申请公开”或者“不予公开”，</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严格执行内容发布审核制度，按照“谁主管谁负责，谁运行谁负责，谁公开谁审查”原则，建立健全互联网网站信息发布保密审查机制。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（四）政府信息公开平台建设情况。</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认真做好信息公开工作部署，及时更新部门动态，不断加强政务新媒体运维管理，开设“邢台自然资源规划公开”头条号，明确专人负责，及时发布最新工作动态。2023年在头条发布信息364条。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highlight w:val="none"/>
          <w:shd w:val="clear" w:color="auto" w:fill="FFFFFF"/>
          <w:lang w:val="en-US" w:eastAsia="zh-CN"/>
        </w:rPr>
        <w:t>（五）监督保障情况。</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我局高度重视政府信息公开工作，</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由分管局领导牵头，办公室具体落实，明确专职人员负责日常政务信息公开工作，其他相关科室按职责分工抓好工作配合。</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对照《邢台市2023年政务公开工作要点》具体内容，对市政府规定的政务公开工作要点进行了再分工，完善了政务公开信息</w:t>
      </w:r>
      <w:r>
        <w:rPr>
          <w:rFonts w:hint="eastAsia" w:ascii="仿宋_GB2312" w:hAnsi="仿宋_GB2312" w:eastAsia="仿宋_GB2312" w:cs="仿宋_GB2312"/>
          <w:i w:val="0"/>
          <w:caps w:val="0"/>
          <w:color w:val="auto"/>
          <w:spacing w:val="0"/>
          <w:sz w:val="32"/>
          <w:szCs w:val="32"/>
          <w:shd w:val="clear" w:color="auto" w:fill="FFFFFF"/>
          <w:lang w:val="en-US" w:eastAsia="zh-CN"/>
        </w:rPr>
        <w:t>审核、发布和责任追究制度。</w:t>
      </w:r>
      <w:r>
        <w:rPr>
          <w:rFonts w:hint="eastAsia" w:ascii="仿宋_GB2312" w:hAnsi="仿宋_GB2312" w:eastAsia="仿宋_GB2312" w:cs="仿宋_GB2312"/>
          <w:b/>
          <w:bCs/>
          <w:i w:val="0"/>
          <w:caps w:val="0"/>
          <w:color w:val="auto"/>
          <w:spacing w:val="0"/>
          <w:sz w:val="32"/>
          <w:szCs w:val="32"/>
          <w:shd w:val="clear" w:color="auto" w:fill="FFFFFF"/>
          <w:lang w:val="en-US" w:eastAsia="zh-CN"/>
        </w:rPr>
        <w:t>三是</w:t>
      </w:r>
      <w:r>
        <w:rPr>
          <w:rFonts w:hint="eastAsia" w:ascii="仿宋_GB2312" w:hAnsi="仿宋_GB2312" w:eastAsia="仿宋_GB2312" w:cs="仿宋_GB2312"/>
          <w:i w:val="0"/>
          <w:caps w:val="0"/>
          <w:color w:val="auto"/>
          <w:spacing w:val="0"/>
          <w:sz w:val="32"/>
          <w:szCs w:val="32"/>
          <w:shd w:val="clear" w:color="auto" w:fill="FFFFFF"/>
          <w:lang w:val="en-US" w:eastAsia="zh-CN"/>
        </w:rPr>
        <w:t>注重加强队伍建设，积极参加信息公开法律知识学习问答，着力提升政府信息公开业务能力和水平。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4"/>
        <w:tblW w:w="8140" w:type="dxa"/>
        <w:jc w:val="center"/>
        <w:tblLayout w:type="fixed"/>
        <w:tblCellMar>
          <w:top w:w="0" w:type="dxa"/>
          <w:left w:w="0" w:type="dxa"/>
          <w:bottom w:w="0" w:type="dxa"/>
          <w:right w:w="0" w:type="dxa"/>
        </w:tblCellMar>
      </w:tblPr>
      <w:tblGrid>
        <w:gridCol w:w="3113"/>
        <w:gridCol w:w="1635"/>
        <w:gridCol w:w="1511"/>
        <w:gridCol w:w="1881"/>
      </w:tblGrid>
      <w:tr>
        <w:tblPrEx>
          <w:tblCellMar>
            <w:top w:w="0" w:type="dxa"/>
            <w:left w:w="0" w:type="dxa"/>
            <w:bottom w:w="0" w:type="dxa"/>
            <w:right w:w="0" w:type="dxa"/>
          </w:tblCellMar>
        </w:tblPrEx>
        <w:trPr>
          <w:trHeight w:val="90"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第二十条</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第（一）项</w:t>
            </w:r>
          </w:p>
        </w:tc>
      </w:tr>
      <w:tr>
        <w:tblPrEx>
          <w:tblCellMar>
            <w:top w:w="0" w:type="dxa"/>
            <w:left w:w="0" w:type="dxa"/>
            <w:bottom w:w="0" w:type="dxa"/>
            <w:right w:w="0" w:type="dxa"/>
          </w:tblCellMar>
        </w:tblPrEx>
        <w:trPr>
          <w:trHeight w:val="7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信息内容</w:t>
            </w:r>
          </w:p>
        </w:tc>
        <w:tc>
          <w:tcPr>
            <w:tcW w:w="163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本年制发件数</w:t>
            </w:r>
          </w:p>
        </w:tc>
        <w:tc>
          <w:tcPr>
            <w:tcW w:w="15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eastAsia="宋体" w:cs="宋体"/>
                <w:color w:val="000000"/>
                <w:kern w:val="0"/>
                <w:sz w:val="21"/>
                <w:szCs w:val="21"/>
                <w:lang w:val="en-US" w:eastAsia="zh-CN" w:bidi="ar"/>
              </w:rPr>
              <w:t>本年</w:t>
            </w:r>
            <w:r>
              <w:rPr>
                <w:rFonts w:hint="eastAsia" w:ascii="宋体" w:hAnsi="宋体" w:cs="宋体"/>
                <w:color w:val="000000"/>
                <w:kern w:val="0"/>
                <w:sz w:val="21"/>
                <w:szCs w:val="21"/>
                <w:lang w:val="en-US" w:eastAsia="zh-CN" w:bidi="ar"/>
              </w:rPr>
              <w:t>废止件数</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现行有效件数</w:t>
            </w:r>
          </w:p>
        </w:tc>
      </w:tr>
      <w:tr>
        <w:tblPrEx>
          <w:tblCellMar>
            <w:top w:w="0" w:type="dxa"/>
            <w:left w:w="0" w:type="dxa"/>
            <w:bottom w:w="0" w:type="dxa"/>
            <w:right w:w="0" w:type="dxa"/>
          </w:tblCellMar>
        </w:tblPrEx>
        <w:trPr>
          <w:trHeight w:val="4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规章</w:t>
            </w:r>
          </w:p>
        </w:tc>
        <w:tc>
          <w:tcPr>
            <w:tcW w:w="163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0</w:t>
            </w:r>
          </w:p>
        </w:tc>
        <w:tc>
          <w:tcPr>
            <w:tcW w:w="15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0</w:t>
            </w:r>
          </w:p>
        </w:tc>
      </w:tr>
      <w:tr>
        <w:tblPrEx>
          <w:tblCellMar>
            <w:top w:w="0" w:type="dxa"/>
            <w:left w:w="0" w:type="dxa"/>
            <w:bottom w:w="0" w:type="dxa"/>
            <w:right w:w="0" w:type="dxa"/>
          </w:tblCellMar>
        </w:tblPrEx>
        <w:trPr>
          <w:trHeight w:val="57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规范性文件</w:t>
            </w:r>
          </w:p>
        </w:tc>
        <w:tc>
          <w:tcPr>
            <w:tcW w:w="163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15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1</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第二十条</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第（五）项</w:t>
            </w:r>
          </w:p>
        </w:tc>
      </w:tr>
      <w:tr>
        <w:tblPrEx>
          <w:tblCellMar>
            <w:top w:w="0" w:type="dxa"/>
            <w:left w:w="0" w:type="dxa"/>
            <w:bottom w:w="0" w:type="dxa"/>
            <w:right w:w="0" w:type="dxa"/>
          </w:tblCellMar>
        </w:tblPrEx>
        <w:trPr>
          <w:trHeight w:val="215" w:hRule="atLeast"/>
          <w:jc w:val="center"/>
        </w:trPr>
        <w:tc>
          <w:tcPr>
            <w:tcW w:w="311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信息内容</w:t>
            </w:r>
          </w:p>
        </w:tc>
        <w:tc>
          <w:tcPr>
            <w:tcW w:w="5027" w:type="dxa"/>
            <w:gridSpan w:val="3"/>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本年处理决定数量</w:t>
            </w:r>
          </w:p>
        </w:tc>
      </w:tr>
      <w:tr>
        <w:tblPrEx>
          <w:tblCellMar>
            <w:top w:w="0" w:type="dxa"/>
            <w:left w:w="0" w:type="dxa"/>
            <w:bottom w:w="0" w:type="dxa"/>
            <w:right w:w="0" w:type="dxa"/>
          </w:tblCellMar>
        </w:tblPrEx>
        <w:trPr>
          <w:trHeight w:val="360" w:hRule="atLeast"/>
          <w:jc w:val="center"/>
        </w:trPr>
        <w:tc>
          <w:tcPr>
            <w:tcW w:w="311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行政许可</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137</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第二十条 第（六）项</w:t>
            </w:r>
          </w:p>
        </w:tc>
      </w:tr>
      <w:tr>
        <w:tblPrEx>
          <w:tblCellMar>
            <w:top w:w="0" w:type="dxa"/>
            <w:left w:w="0" w:type="dxa"/>
            <w:bottom w:w="0" w:type="dxa"/>
            <w:right w:w="0" w:type="dxa"/>
          </w:tblCellMar>
        </w:tblPrEx>
        <w:trPr>
          <w:trHeight w:val="54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本年处理决定数量</w:t>
            </w:r>
          </w:p>
        </w:tc>
      </w:tr>
      <w:tr>
        <w:tblPrEx>
          <w:tblCellMar>
            <w:top w:w="0" w:type="dxa"/>
            <w:left w:w="0" w:type="dxa"/>
            <w:bottom w:w="0" w:type="dxa"/>
            <w:right w:w="0" w:type="dxa"/>
          </w:tblCellMar>
        </w:tblPrEx>
        <w:trPr>
          <w:trHeight w:val="33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12</w:t>
            </w:r>
          </w:p>
        </w:tc>
      </w:tr>
      <w:tr>
        <w:tblPrEx>
          <w:tblCellMar>
            <w:top w:w="0" w:type="dxa"/>
            <w:left w:w="0" w:type="dxa"/>
            <w:bottom w:w="0" w:type="dxa"/>
            <w:right w:w="0" w:type="dxa"/>
          </w:tblCellMar>
        </w:tblPrEx>
        <w:trPr>
          <w:trHeight w:val="4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第二十条</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第（八）项</w:t>
            </w:r>
          </w:p>
        </w:tc>
      </w:tr>
      <w:tr>
        <w:tblPrEx>
          <w:tblCellMar>
            <w:top w:w="0" w:type="dxa"/>
            <w:left w:w="0" w:type="dxa"/>
            <w:bottom w:w="0" w:type="dxa"/>
            <w:right w:w="0" w:type="dxa"/>
          </w:tblCellMar>
        </w:tblPrEx>
        <w:trPr>
          <w:trHeight w:val="42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sz w:val="22"/>
                <w:szCs w:val="28"/>
                <w:lang w:val="en-US" w:eastAsia="zh-CN"/>
              </w:rPr>
            </w:pPr>
            <w:r>
              <w:rPr>
                <w:rFonts w:hint="eastAsia"/>
                <w:sz w:val="22"/>
                <w:szCs w:val="28"/>
                <w:lang w:val="en-US" w:eastAsia="zh-CN"/>
              </w:rPr>
              <w:t>本年收费金额（单位：万元）</w:t>
            </w:r>
          </w:p>
        </w:tc>
      </w:tr>
      <w:tr>
        <w:tblPrEx>
          <w:tblCellMar>
            <w:top w:w="0" w:type="dxa"/>
            <w:left w:w="0" w:type="dxa"/>
            <w:bottom w:w="0" w:type="dxa"/>
            <w:right w:w="0" w:type="dxa"/>
          </w:tblCellMar>
        </w:tblPrEx>
        <w:trPr>
          <w:trHeight w:val="59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sz w:val="22"/>
                <w:szCs w:val="28"/>
                <w:lang w:val="en-US" w:eastAsia="zh-CN"/>
              </w:rPr>
            </w:pPr>
            <w:r>
              <w:rPr>
                <w:rFonts w:hint="eastAsia" w:ascii="宋体" w:hAnsi="宋体" w:cs="宋体"/>
                <w:color w:val="000000"/>
                <w:kern w:val="0"/>
                <w:sz w:val="21"/>
                <w:szCs w:val="21"/>
                <w:lang w:val="en-US" w:eastAsia="zh-CN" w:bidi="ar"/>
              </w:rPr>
              <w:t>505.9</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_GBK" w:hAnsi="方正小标宋_GBK" w:eastAsia="方正小标宋_GBK" w:cs="方正小标宋_GBK"/>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4"/>
        <w:tblW w:w="921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7"/>
        <w:gridCol w:w="942"/>
        <w:gridCol w:w="1895"/>
        <w:gridCol w:w="916"/>
        <w:gridCol w:w="755"/>
        <w:gridCol w:w="755"/>
        <w:gridCol w:w="899"/>
        <w:gridCol w:w="887"/>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vMerge w:val="restart"/>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rPr>
                <w:sz w:val="22"/>
                <w:szCs w:val="28"/>
              </w:rPr>
            </w:pPr>
            <w:r>
              <w:rPr>
                <w:rFonts w:hint="eastAsia" w:ascii="宋体" w:hAnsi="宋体" w:eastAsia="宋体" w:cs="宋体"/>
                <w:kern w:val="0"/>
                <w:sz w:val="21"/>
                <w:szCs w:val="21"/>
                <w:lang w:val="en-US" w:eastAsia="zh-CN" w:bidi="ar"/>
              </w:rPr>
              <w:t>（本列数据的勾稽关系为：第一项加第二项之和，等于第三项加第四项之和）</w:t>
            </w:r>
          </w:p>
        </w:tc>
        <w:tc>
          <w:tcPr>
            <w:tcW w:w="5618" w:type="dxa"/>
            <w:gridSpan w:val="7"/>
            <w:tcBorders>
              <w:top w:val="single" w:color="auto" w:sz="4" w:space="0"/>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rPr>
                <w:sz w:val="22"/>
                <w:szCs w:val="28"/>
              </w:rPr>
            </w:pPr>
            <w:r>
              <w:rPr>
                <w:rFonts w:hint="eastAsia" w:ascii="宋体" w:hAnsi="宋体" w:eastAsia="宋体" w:cs="宋体"/>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vMerge w:val="continue"/>
            <w:tcBorders>
              <w:top w:val="single" w:color="auto" w:sz="8"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8"/>
                <w:szCs w:val="28"/>
              </w:rPr>
            </w:pPr>
          </w:p>
        </w:tc>
        <w:tc>
          <w:tcPr>
            <w:tcW w:w="916" w:type="dxa"/>
            <w:vMerge w:val="restart"/>
            <w:tcBorders>
              <w:top w:val="nil"/>
              <w:left w:val="nil"/>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rPr>
                <w:sz w:val="22"/>
                <w:szCs w:val="28"/>
              </w:rPr>
            </w:pPr>
            <w:r>
              <w:rPr>
                <w:rFonts w:hint="eastAsia" w:ascii="宋体" w:hAnsi="宋体" w:eastAsia="宋体" w:cs="宋体"/>
                <w:kern w:val="0"/>
                <w:sz w:val="21"/>
                <w:szCs w:val="21"/>
                <w:lang w:val="en-US" w:eastAsia="zh-CN" w:bidi="ar"/>
              </w:rPr>
              <w:t>自然人</w:t>
            </w:r>
          </w:p>
        </w:tc>
        <w:tc>
          <w:tcPr>
            <w:tcW w:w="4007" w:type="dxa"/>
            <w:gridSpan w:val="5"/>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rPr>
                <w:sz w:val="22"/>
                <w:szCs w:val="28"/>
              </w:rPr>
            </w:pPr>
            <w:r>
              <w:rPr>
                <w:rFonts w:hint="eastAsia" w:ascii="宋体" w:hAnsi="宋体" w:eastAsia="宋体" w:cs="宋体"/>
                <w:kern w:val="0"/>
                <w:sz w:val="21"/>
                <w:szCs w:val="21"/>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vMerge w:val="continue"/>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8"/>
                <w:szCs w:val="28"/>
              </w:rPr>
            </w:pPr>
          </w:p>
        </w:tc>
        <w:tc>
          <w:tcPr>
            <w:tcW w:w="916"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8"/>
                <w:szCs w:val="28"/>
              </w:rPr>
            </w:pPr>
          </w:p>
        </w:tc>
        <w:tc>
          <w:tcPr>
            <w:tcW w:w="75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2"/>
                <w:szCs w:val="28"/>
              </w:rPr>
            </w:pPr>
            <w:r>
              <w:rPr>
                <w:rFonts w:hint="eastAsia" w:ascii="宋体" w:hAnsi="宋体" w:eastAsia="宋体" w:cs="宋体"/>
                <w:kern w:val="0"/>
                <w:sz w:val="21"/>
                <w:szCs w:val="21"/>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2"/>
                <w:szCs w:val="28"/>
              </w:rPr>
            </w:pPr>
            <w:r>
              <w:rPr>
                <w:rFonts w:hint="eastAsia" w:ascii="宋体" w:hAnsi="宋体" w:eastAsia="宋体" w:cs="宋体"/>
                <w:kern w:val="0"/>
                <w:sz w:val="21"/>
                <w:szCs w:val="21"/>
                <w:lang w:val="en-US" w:eastAsia="zh-CN" w:bidi="ar"/>
              </w:rPr>
              <w:t>科研机构</w:t>
            </w:r>
          </w:p>
        </w:tc>
        <w:tc>
          <w:tcPr>
            <w:tcW w:w="89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2"/>
                <w:szCs w:val="28"/>
              </w:rPr>
            </w:pPr>
            <w:r>
              <w:rPr>
                <w:rFonts w:hint="eastAsia" w:ascii="宋体" w:hAnsi="宋体" w:eastAsia="宋体" w:cs="宋体"/>
                <w:kern w:val="0"/>
                <w:sz w:val="21"/>
                <w:szCs w:val="21"/>
                <w:lang w:val="en-US" w:eastAsia="zh-CN" w:bidi="ar"/>
              </w:rPr>
              <w:t>社会公益组织</w:t>
            </w:r>
          </w:p>
        </w:tc>
        <w:tc>
          <w:tcPr>
            <w:tcW w:w="88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2"/>
                <w:szCs w:val="28"/>
              </w:rPr>
            </w:pPr>
            <w:r>
              <w:rPr>
                <w:rFonts w:hint="eastAsia" w:ascii="宋体" w:hAnsi="宋体" w:eastAsia="宋体" w:cs="宋体"/>
                <w:kern w:val="0"/>
                <w:sz w:val="21"/>
                <w:szCs w:val="21"/>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sz w:val="22"/>
                <w:szCs w:val="28"/>
              </w:rPr>
            </w:pPr>
            <w:r>
              <w:rPr>
                <w:rFonts w:hint="eastAsia" w:ascii="宋体" w:hAnsi="宋体" w:eastAsia="宋体" w:cs="宋体"/>
                <w:kern w:val="0"/>
                <w:sz w:val="21"/>
                <w:szCs w:val="21"/>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2"/>
                <w:szCs w:val="28"/>
              </w:rPr>
            </w:pPr>
            <w:r>
              <w:rPr>
                <w:rFonts w:hint="eastAsia" w:ascii="宋体" w:hAnsi="宋体" w:eastAsia="宋体" w:cs="宋体"/>
                <w:kern w:val="0"/>
                <w:sz w:val="21"/>
                <w:szCs w:val="21"/>
                <w:lang w:val="en-US" w:eastAsia="zh-CN" w:bidi="ar"/>
              </w:rPr>
              <w:t>一、本年新收政府信息公开申请数量</w:t>
            </w:r>
          </w:p>
        </w:tc>
        <w:tc>
          <w:tcPr>
            <w:tcW w:w="916"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113</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3</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166</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2"/>
                <w:szCs w:val="28"/>
              </w:rPr>
            </w:pPr>
            <w:r>
              <w:rPr>
                <w:rFonts w:hint="eastAsia" w:ascii="宋体" w:hAnsi="宋体" w:eastAsia="宋体" w:cs="宋体"/>
                <w:kern w:val="0"/>
                <w:sz w:val="21"/>
                <w:szCs w:val="21"/>
                <w:lang w:val="en-US" w:eastAsia="zh-CN" w:bidi="ar"/>
              </w:rPr>
              <w:t>二、上年结转政府信息公开申请数量</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三、本年度办理结果</w:t>
            </w:r>
          </w:p>
        </w:tc>
        <w:tc>
          <w:tcPr>
            <w:tcW w:w="2837"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（一）予以公开</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75</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128</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2837"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（二）部分公开（区分处理的，只计这一情形，不计其他情形）</w:t>
            </w:r>
          </w:p>
        </w:tc>
        <w:tc>
          <w:tcPr>
            <w:tcW w:w="91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5" w:hRule="atLeast"/>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（三）不予公开</w:t>
            </w:r>
          </w:p>
        </w:tc>
        <w:tc>
          <w:tcPr>
            <w:tcW w:w="18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1.属于国家秘密</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2.其他法律行政法规禁止公开</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3.危及“三安全一稳定”</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5" w:hRule="atLeast"/>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4.保护第三方合法权益</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5.属于三类内部事务信息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6.属于四类过程性信息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7.属于行政执法案卷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8.属于行政查询事项</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4</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（四）无法提供</w:t>
            </w: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1.本机关不掌握相关政府信息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2.没有现成信息需要另行制作</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3.补正后申请内容仍不明确</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（五）不予处理</w:t>
            </w: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1.信访举报投诉类申请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0"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2.重复申请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3.要求提供公开出版物</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4.无正当理由大量反复申请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5.要求行政机关确认或重新出具已获取信息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25"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942"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（六）其他处理</w:t>
            </w: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1.申请人无正当理由逾期不补正、行政机关不再处理其政府信息公开申请</w:t>
            </w:r>
          </w:p>
        </w:tc>
        <w:tc>
          <w:tcPr>
            <w:tcW w:w="916"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755"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pPr>
          </w:p>
        </w:tc>
        <w:tc>
          <w:tcPr>
            <w:tcW w:w="942" w:type="dxa"/>
            <w:vMerge w:val="continue"/>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2.申请人逾期未按收费通知要求缴纳费用、行政机关不再处理其政府信息公开申请</w:t>
            </w:r>
          </w:p>
        </w:tc>
        <w:tc>
          <w:tcPr>
            <w:tcW w:w="916"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55"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755"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99"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887"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4</w:t>
            </w:r>
          </w:p>
        </w:tc>
        <w:tc>
          <w:tcPr>
            <w:tcW w:w="711"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695"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jc w:val="center"/>
        </w:trPr>
        <w:tc>
          <w:tcPr>
            <w:tcW w:w="757"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kern w:val="0"/>
                <w:sz w:val="21"/>
                <w:szCs w:val="21"/>
                <w:lang w:val="en-US" w:eastAsia="zh-CN" w:bidi="ar"/>
              </w:rPr>
            </w:pPr>
          </w:p>
        </w:tc>
        <w:tc>
          <w:tcPr>
            <w:tcW w:w="942"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kern w:val="0"/>
                <w:sz w:val="21"/>
                <w:szCs w:val="21"/>
                <w:lang w:val="en-US" w:eastAsia="zh-CN" w:bidi="ar"/>
              </w:rPr>
            </w:pPr>
          </w:p>
        </w:tc>
        <w:tc>
          <w:tcPr>
            <w:tcW w:w="18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3.其他</w:t>
            </w:r>
          </w:p>
        </w:tc>
        <w:tc>
          <w:tcPr>
            <w:tcW w:w="916"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w:t>
            </w:r>
          </w:p>
        </w:tc>
        <w:tc>
          <w:tcPr>
            <w:tcW w:w="755"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w:t>
            </w:r>
          </w:p>
        </w:tc>
        <w:tc>
          <w:tcPr>
            <w:tcW w:w="755"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p>
        </w:tc>
        <w:tc>
          <w:tcPr>
            <w:tcW w:w="899"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887"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7</w:t>
            </w:r>
          </w:p>
        </w:tc>
        <w:tc>
          <w:tcPr>
            <w:tcW w:w="711"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695"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2837"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（七）总计</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115</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156</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94"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sz w:val="22"/>
                <w:szCs w:val="28"/>
              </w:rPr>
            </w:pPr>
            <w:r>
              <w:rPr>
                <w:rFonts w:hint="eastAsia" w:ascii="宋体" w:hAnsi="宋体" w:eastAsia="宋体" w:cs="宋体"/>
                <w:kern w:val="0"/>
                <w:sz w:val="21"/>
                <w:szCs w:val="21"/>
                <w:lang w:val="en-US" w:eastAsia="zh-CN" w:bidi="ar"/>
              </w:rPr>
              <w:t>四、结转下年度继续办理</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面对取得的成绩，我们也清醒认识到工作中存在的问题，主要是对出现的新情况、新特点研究还不够深、不够透，在具体组织实施过程中还存在一些不足，</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体现在三个方面：</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一是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依法主动公开意识仍需增强；</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二是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推进政策宣传、政策解读要进一步增强时效性；</w:t>
      </w:r>
      <w:r>
        <w:rPr>
          <w:rFonts w:hint="eastAsia" w:ascii="仿宋_GB2312" w:hAnsi="仿宋_GB2312" w:eastAsia="仿宋_GB2312" w:cs="仿宋_GB2312"/>
          <w:b/>
          <w:bCs/>
          <w:i w:val="0"/>
          <w:caps w:val="0"/>
          <w:color w:val="auto"/>
          <w:spacing w:val="0"/>
          <w:sz w:val="32"/>
          <w:szCs w:val="32"/>
          <w:highlight w:val="none"/>
          <w:shd w:val="clear" w:color="auto" w:fill="FFFFFF"/>
          <w:lang w:val="en-US" w:eastAsia="zh-CN"/>
        </w:rPr>
        <w:t>三是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政务公开的信息内容丰富性有待加强，公众体验感有待提高。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yellow"/>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下一步，我局将进一步提高思想认识，强化工作举措，加大政策宣传解读力度，持续丰富完善政务公开信息内容，高标准、高质量推进自然资源和规划领域政府信息公开工作再上新台阶。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202</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年，</w:t>
      </w:r>
      <w:r>
        <w:rPr>
          <w:rFonts w:hint="eastAsia" w:ascii="仿宋_GB2312" w:hAnsi="仿宋_GB2312" w:eastAsia="仿宋_GB2312" w:cs="仿宋_GB2312"/>
          <w:i w:val="0"/>
          <w:caps w:val="0"/>
          <w:color w:val="auto"/>
          <w:spacing w:val="0"/>
          <w:sz w:val="32"/>
          <w:szCs w:val="32"/>
          <w:shd w:val="clear" w:color="auto" w:fill="FFFFFF"/>
          <w:lang w:val="en-US" w:eastAsia="zh-CN"/>
        </w:rPr>
        <w:t>我局</w:t>
      </w:r>
      <w:r>
        <w:rPr>
          <w:rFonts w:hint="eastAsia" w:ascii="仿宋_GB2312" w:hAnsi="仿宋_GB2312" w:eastAsia="仿宋_GB2312" w:cs="仿宋_GB2312"/>
          <w:i w:val="0"/>
          <w:caps w:val="0"/>
          <w:color w:val="auto"/>
          <w:spacing w:val="0"/>
          <w:sz w:val="32"/>
          <w:szCs w:val="32"/>
          <w:shd w:val="clear" w:color="auto" w:fill="FFFFFF"/>
          <w:lang w:eastAsia="zh-CN"/>
        </w:rPr>
        <w:t>认真贯彻执行国务院办公厅《政府信息公开信息处理费管理办法》，按照《河北省财政厅河北省发展和改革委员会关于政府信息公开信息处理费管理有关事项的通知》规定，</w:t>
      </w:r>
      <w:r>
        <w:rPr>
          <w:rFonts w:hint="eastAsia" w:ascii="仿宋_GB2312" w:hAnsi="仿宋_GB2312" w:eastAsia="仿宋_GB2312" w:cs="仿宋_GB2312"/>
          <w:i w:val="0"/>
          <w:caps w:val="0"/>
          <w:color w:val="auto"/>
          <w:spacing w:val="0"/>
          <w:sz w:val="32"/>
          <w:szCs w:val="32"/>
          <w:shd w:val="clear" w:color="auto" w:fill="FFFFFF"/>
          <w:lang w:val="en-US" w:eastAsia="zh-CN"/>
        </w:rPr>
        <w:t>我局</w:t>
      </w:r>
      <w:r>
        <w:rPr>
          <w:rFonts w:hint="eastAsia" w:ascii="仿宋_GB2312" w:hAnsi="仿宋_GB2312" w:eastAsia="仿宋_GB2312" w:cs="仿宋_GB2312"/>
          <w:i w:val="0"/>
          <w:caps w:val="0"/>
          <w:color w:val="auto"/>
          <w:spacing w:val="0"/>
          <w:sz w:val="32"/>
          <w:szCs w:val="32"/>
          <w:shd w:val="clear" w:color="auto" w:fill="FFFFFF"/>
          <w:lang w:eastAsia="zh-CN"/>
        </w:rPr>
        <w:t>收取信息处理费总金额</w:t>
      </w:r>
      <w:r>
        <w:rPr>
          <w:rFonts w:hint="eastAsia" w:ascii="仿宋_GB2312" w:hAnsi="仿宋_GB2312" w:eastAsia="仿宋_GB2312" w:cs="仿宋_GB2312"/>
          <w:i w:val="0"/>
          <w:caps w:val="0"/>
          <w:color w:val="auto"/>
          <w:spacing w:val="0"/>
          <w:sz w:val="32"/>
          <w:szCs w:val="32"/>
          <w:shd w:val="clear" w:color="auto" w:fill="FFFFFF"/>
          <w:lang w:val="en-US" w:eastAsia="zh-CN"/>
        </w:rPr>
        <w:t>3650</w:t>
      </w:r>
      <w:r>
        <w:rPr>
          <w:rFonts w:hint="eastAsia" w:ascii="仿宋_GB2312" w:hAnsi="仿宋_GB2312" w:eastAsia="仿宋_GB2312" w:cs="仿宋_GB2312"/>
          <w:i w:val="0"/>
          <w:caps w:val="0"/>
          <w:color w:val="auto"/>
          <w:spacing w:val="0"/>
          <w:sz w:val="32"/>
          <w:szCs w:val="32"/>
          <w:shd w:val="clear" w:color="auto" w:fill="FFFFFF"/>
          <w:lang w:eastAsia="zh-CN"/>
        </w:rPr>
        <w:t>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040" w:firstLineChars="1575"/>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5040" w:firstLineChars="1575"/>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5040" w:firstLineChars="1575"/>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邢台市自然资源和规划局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80" w:firstLineChars="1775"/>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2023年1月25</w:t>
      </w:r>
      <w:bookmarkStart w:id="0" w:name="_GoBack"/>
      <w:bookmarkEnd w:id="0"/>
      <w:r>
        <w:rPr>
          <w:rFonts w:hint="eastAsia" w:ascii="仿宋_GB2312" w:hAnsi="仿宋_GB2312" w:eastAsia="仿宋_GB2312" w:cs="仿宋_GB2312"/>
          <w:i w:val="0"/>
          <w:caps w:val="0"/>
          <w:color w:val="auto"/>
          <w:spacing w:val="0"/>
          <w:sz w:val="32"/>
          <w:szCs w:val="32"/>
          <w:shd w:val="clear" w:color="auto" w:fill="FFFFFF"/>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78C3"/>
    <w:rsid w:val="00417B77"/>
    <w:rsid w:val="00447A97"/>
    <w:rsid w:val="0046550B"/>
    <w:rsid w:val="006D1E65"/>
    <w:rsid w:val="00716148"/>
    <w:rsid w:val="00C0174A"/>
    <w:rsid w:val="00D76447"/>
    <w:rsid w:val="01862290"/>
    <w:rsid w:val="01865798"/>
    <w:rsid w:val="01BB0BFA"/>
    <w:rsid w:val="02016B37"/>
    <w:rsid w:val="02281E18"/>
    <w:rsid w:val="02FD55A8"/>
    <w:rsid w:val="037430E3"/>
    <w:rsid w:val="03A82736"/>
    <w:rsid w:val="03EF0D73"/>
    <w:rsid w:val="041F20D1"/>
    <w:rsid w:val="0431785B"/>
    <w:rsid w:val="044B5D5A"/>
    <w:rsid w:val="047D1FAA"/>
    <w:rsid w:val="04AE201E"/>
    <w:rsid w:val="0516101F"/>
    <w:rsid w:val="05292F6B"/>
    <w:rsid w:val="057B238D"/>
    <w:rsid w:val="05CE0B13"/>
    <w:rsid w:val="05D77224"/>
    <w:rsid w:val="06DF02A3"/>
    <w:rsid w:val="06E73E86"/>
    <w:rsid w:val="06ED0F6A"/>
    <w:rsid w:val="072A0DCF"/>
    <w:rsid w:val="076C1C49"/>
    <w:rsid w:val="07DB05A5"/>
    <w:rsid w:val="07E35E8F"/>
    <w:rsid w:val="081431D0"/>
    <w:rsid w:val="081B3BDB"/>
    <w:rsid w:val="08500BB1"/>
    <w:rsid w:val="085223EA"/>
    <w:rsid w:val="09E97F8B"/>
    <w:rsid w:val="0A4F60F9"/>
    <w:rsid w:val="0AFA7285"/>
    <w:rsid w:val="0B090DAA"/>
    <w:rsid w:val="0B0F443D"/>
    <w:rsid w:val="0B747092"/>
    <w:rsid w:val="0BB61C6C"/>
    <w:rsid w:val="0BD229F1"/>
    <w:rsid w:val="0C117EBC"/>
    <w:rsid w:val="0C3A1BAA"/>
    <w:rsid w:val="0C4C26BB"/>
    <w:rsid w:val="0C8E36C7"/>
    <w:rsid w:val="0CA92A55"/>
    <w:rsid w:val="0D126C01"/>
    <w:rsid w:val="0D190AB5"/>
    <w:rsid w:val="0D261F96"/>
    <w:rsid w:val="0D352639"/>
    <w:rsid w:val="0D546518"/>
    <w:rsid w:val="0D6E2C18"/>
    <w:rsid w:val="0DBF639C"/>
    <w:rsid w:val="0DD30D64"/>
    <w:rsid w:val="0DE77F5F"/>
    <w:rsid w:val="0DF43970"/>
    <w:rsid w:val="0E026985"/>
    <w:rsid w:val="0E346922"/>
    <w:rsid w:val="0E5970D3"/>
    <w:rsid w:val="0E9A19C5"/>
    <w:rsid w:val="0ECD1530"/>
    <w:rsid w:val="0EF54989"/>
    <w:rsid w:val="0F6B2F8D"/>
    <w:rsid w:val="102E7935"/>
    <w:rsid w:val="103B4F9A"/>
    <w:rsid w:val="105015D1"/>
    <w:rsid w:val="105147CA"/>
    <w:rsid w:val="10647092"/>
    <w:rsid w:val="108550E0"/>
    <w:rsid w:val="1192358B"/>
    <w:rsid w:val="11E54EEB"/>
    <w:rsid w:val="128C69E0"/>
    <w:rsid w:val="12B04CCB"/>
    <w:rsid w:val="130760B1"/>
    <w:rsid w:val="130B4CCD"/>
    <w:rsid w:val="132814A2"/>
    <w:rsid w:val="134712AF"/>
    <w:rsid w:val="13713596"/>
    <w:rsid w:val="140420FC"/>
    <w:rsid w:val="141E6C17"/>
    <w:rsid w:val="143D70A3"/>
    <w:rsid w:val="14640782"/>
    <w:rsid w:val="14663AEB"/>
    <w:rsid w:val="147449A5"/>
    <w:rsid w:val="149639D8"/>
    <w:rsid w:val="14FD1747"/>
    <w:rsid w:val="150D4352"/>
    <w:rsid w:val="15571C7F"/>
    <w:rsid w:val="15C578C3"/>
    <w:rsid w:val="161D6BFF"/>
    <w:rsid w:val="17652E21"/>
    <w:rsid w:val="17B9407C"/>
    <w:rsid w:val="1819149E"/>
    <w:rsid w:val="181C2A9C"/>
    <w:rsid w:val="18200658"/>
    <w:rsid w:val="185773FE"/>
    <w:rsid w:val="19065282"/>
    <w:rsid w:val="19351E45"/>
    <w:rsid w:val="194465BE"/>
    <w:rsid w:val="1AFF3E59"/>
    <w:rsid w:val="1B9F015F"/>
    <w:rsid w:val="1BAB2140"/>
    <w:rsid w:val="1BD87F4C"/>
    <w:rsid w:val="1BFD32B4"/>
    <w:rsid w:val="1C855F74"/>
    <w:rsid w:val="1CB07F9C"/>
    <w:rsid w:val="1DC24961"/>
    <w:rsid w:val="1DF42BB2"/>
    <w:rsid w:val="1E5A5DD9"/>
    <w:rsid w:val="1EBB544A"/>
    <w:rsid w:val="1F5E182B"/>
    <w:rsid w:val="1FB351F5"/>
    <w:rsid w:val="201B3841"/>
    <w:rsid w:val="21243CEE"/>
    <w:rsid w:val="215E6BAF"/>
    <w:rsid w:val="219E0C79"/>
    <w:rsid w:val="21F96F3A"/>
    <w:rsid w:val="222540CF"/>
    <w:rsid w:val="222B101D"/>
    <w:rsid w:val="223E223C"/>
    <w:rsid w:val="22717D6E"/>
    <w:rsid w:val="22F71EB0"/>
    <w:rsid w:val="22FB5390"/>
    <w:rsid w:val="236E4B2D"/>
    <w:rsid w:val="237036C5"/>
    <w:rsid w:val="23B536CE"/>
    <w:rsid w:val="24290182"/>
    <w:rsid w:val="24371DC7"/>
    <w:rsid w:val="243F2C87"/>
    <w:rsid w:val="246333B2"/>
    <w:rsid w:val="24AE2C50"/>
    <w:rsid w:val="24D8665F"/>
    <w:rsid w:val="24FF37EF"/>
    <w:rsid w:val="258935AD"/>
    <w:rsid w:val="25AC53DC"/>
    <w:rsid w:val="2628412B"/>
    <w:rsid w:val="2633152B"/>
    <w:rsid w:val="26BA362B"/>
    <w:rsid w:val="270F5B0C"/>
    <w:rsid w:val="27995A1C"/>
    <w:rsid w:val="279E360D"/>
    <w:rsid w:val="292D35B5"/>
    <w:rsid w:val="29AA4C57"/>
    <w:rsid w:val="29D34DE3"/>
    <w:rsid w:val="29DE3B3C"/>
    <w:rsid w:val="29FA27CA"/>
    <w:rsid w:val="2A3317D7"/>
    <w:rsid w:val="2ADE4D64"/>
    <w:rsid w:val="2B3D3447"/>
    <w:rsid w:val="2B4327FE"/>
    <w:rsid w:val="2B9B69E6"/>
    <w:rsid w:val="2BCB18BB"/>
    <w:rsid w:val="2C3A38C6"/>
    <w:rsid w:val="2C845095"/>
    <w:rsid w:val="2CA852DD"/>
    <w:rsid w:val="2CD953C6"/>
    <w:rsid w:val="2D0852EE"/>
    <w:rsid w:val="2D8B11AC"/>
    <w:rsid w:val="2DD41818"/>
    <w:rsid w:val="2E542DB1"/>
    <w:rsid w:val="2E650353"/>
    <w:rsid w:val="2E7C2C51"/>
    <w:rsid w:val="2EAD7EF0"/>
    <w:rsid w:val="2EE73A8A"/>
    <w:rsid w:val="2EF00ED6"/>
    <w:rsid w:val="2F660650"/>
    <w:rsid w:val="2FA539B8"/>
    <w:rsid w:val="2FB77E8D"/>
    <w:rsid w:val="2FC760CC"/>
    <w:rsid w:val="30804544"/>
    <w:rsid w:val="30817D16"/>
    <w:rsid w:val="30A83FC4"/>
    <w:rsid w:val="30DA485D"/>
    <w:rsid w:val="310A6B03"/>
    <w:rsid w:val="314D0C94"/>
    <w:rsid w:val="316E62D7"/>
    <w:rsid w:val="31CB5ECC"/>
    <w:rsid w:val="333D6E49"/>
    <w:rsid w:val="33790EC7"/>
    <w:rsid w:val="33D22622"/>
    <w:rsid w:val="33E11107"/>
    <w:rsid w:val="343B7C3F"/>
    <w:rsid w:val="34914B3F"/>
    <w:rsid w:val="34CD2A31"/>
    <w:rsid w:val="34DD7448"/>
    <w:rsid w:val="34ED69E4"/>
    <w:rsid w:val="34FC6149"/>
    <w:rsid w:val="35033A54"/>
    <w:rsid w:val="35037688"/>
    <w:rsid w:val="353A17A1"/>
    <w:rsid w:val="354E4284"/>
    <w:rsid w:val="35B933D5"/>
    <w:rsid w:val="36213627"/>
    <w:rsid w:val="36EF5872"/>
    <w:rsid w:val="374B1F85"/>
    <w:rsid w:val="37AF3B24"/>
    <w:rsid w:val="37CE4EB3"/>
    <w:rsid w:val="38DC5018"/>
    <w:rsid w:val="38F77AB1"/>
    <w:rsid w:val="397E4C5D"/>
    <w:rsid w:val="39875C7A"/>
    <w:rsid w:val="39C258E6"/>
    <w:rsid w:val="39D206E8"/>
    <w:rsid w:val="39F32DDC"/>
    <w:rsid w:val="3A023958"/>
    <w:rsid w:val="3A2E59C8"/>
    <w:rsid w:val="3A595244"/>
    <w:rsid w:val="3AFE2E55"/>
    <w:rsid w:val="3B212110"/>
    <w:rsid w:val="3B4C61F4"/>
    <w:rsid w:val="3BBB2496"/>
    <w:rsid w:val="3BD8170E"/>
    <w:rsid w:val="3C344905"/>
    <w:rsid w:val="3CFF16A1"/>
    <w:rsid w:val="3D225EFB"/>
    <w:rsid w:val="3D617452"/>
    <w:rsid w:val="3D6E5AA9"/>
    <w:rsid w:val="3DC65BE7"/>
    <w:rsid w:val="3DDA5BD5"/>
    <w:rsid w:val="3E142C7F"/>
    <w:rsid w:val="3E801DCB"/>
    <w:rsid w:val="3EB96C1C"/>
    <w:rsid w:val="3ED92FE5"/>
    <w:rsid w:val="3FCB072C"/>
    <w:rsid w:val="400D217E"/>
    <w:rsid w:val="4054751A"/>
    <w:rsid w:val="41462326"/>
    <w:rsid w:val="418976F2"/>
    <w:rsid w:val="41E81B2F"/>
    <w:rsid w:val="41FB2D4E"/>
    <w:rsid w:val="421C4B48"/>
    <w:rsid w:val="424261EF"/>
    <w:rsid w:val="42A02C14"/>
    <w:rsid w:val="42B84786"/>
    <w:rsid w:val="436B7B0A"/>
    <w:rsid w:val="44B21FC2"/>
    <w:rsid w:val="44DE05D6"/>
    <w:rsid w:val="44F50E27"/>
    <w:rsid w:val="451851EA"/>
    <w:rsid w:val="452F5B59"/>
    <w:rsid w:val="45B30914"/>
    <w:rsid w:val="45D3591D"/>
    <w:rsid w:val="468156F1"/>
    <w:rsid w:val="469D2991"/>
    <w:rsid w:val="46A048B9"/>
    <w:rsid w:val="46BF52B9"/>
    <w:rsid w:val="4794337F"/>
    <w:rsid w:val="48915055"/>
    <w:rsid w:val="48CE242D"/>
    <w:rsid w:val="48DE461B"/>
    <w:rsid w:val="48EA5EAF"/>
    <w:rsid w:val="49131D46"/>
    <w:rsid w:val="493C2177"/>
    <w:rsid w:val="495C4EE9"/>
    <w:rsid w:val="498B5309"/>
    <w:rsid w:val="49C53CBF"/>
    <w:rsid w:val="49E031D3"/>
    <w:rsid w:val="4A2526FB"/>
    <w:rsid w:val="4A640668"/>
    <w:rsid w:val="4A7049AB"/>
    <w:rsid w:val="4AB613D7"/>
    <w:rsid w:val="4AE02AE7"/>
    <w:rsid w:val="4B0F3E6B"/>
    <w:rsid w:val="4B4F51C2"/>
    <w:rsid w:val="4B650C39"/>
    <w:rsid w:val="4B7A7462"/>
    <w:rsid w:val="4BA92652"/>
    <w:rsid w:val="4BD402AB"/>
    <w:rsid w:val="4BDF4BEB"/>
    <w:rsid w:val="4BFB1480"/>
    <w:rsid w:val="4C264062"/>
    <w:rsid w:val="4C6A3F9F"/>
    <w:rsid w:val="4CDF65D3"/>
    <w:rsid w:val="4D121074"/>
    <w:rsid w:val="4D443D7C"/>
    <w:rsid w:val="4D907392"/>
    <w:rsid w:val="4D9C506F"/>
    <w:rsid w:val="4DA42F84"/>
    <w:rsid w:val="4DCE1EB5"/>
    <w:rsid w:val="4DFE3CE0"/>
    <w:rsid w:val="4E094A18"/>
    <w:rsid w:val="4E1A2CF4"/>
    <w:rsid w:val="4E2415BF"/>
    <w:rsid w:val="4E6069DE"/>
    <w:rsid w:val="4E6D2B88"/>
    <w:rsid w:val="4E7C3473"/>
    <w:rsid w:val="4E98737F"/>
    <w:rsid w:val="4F1D09AA"/>
    <w:rsid w:val="4F1E6113"/>
    <w:rsid w:val="4F427818"/>
    <w:rsid w:val="50257084"/>
    <w:rsid w:val="50276777"/>
    <w:rsid w:val="50890EBE"/>
    <w:rsid w:val="50AF1F6D"/>
    <w:rsid w:val="50F25C39"/>
    <w:rsid w:val="510F0E87"/>
    <w:rsid w:val="511F243D"/>
    <w:rsid w:val="51600D58"/>
    <w:rsid w:val="518C6691"/>
    <w:rsid w:val="51F34C8E"/>
    <w:rsid w:val="52297D3A"/>
    <w:rsid w:val="53645CDE"/>
    <w:rsid w:val="53EF16C6"/>
    <w:rsid w:val="53F55D6F"/>
    <w:rsid w:val="54252B30"/>
    <w:rsid w:val="542E5CA8"/>
    <w:rsid w:val="546E5721"/>
    <w:rsid w:val="54795826"/>
    <w:rsid w:val="54AB79AF"/>
    <w:rsid w:val="55796E8B"/>
    <w:rsid w:val="55817BDE"/>
    <w:rsid w:val="55956EAA"/>
    <w:rsid w:val="55B9315B"/>
    <w:rsid w:val="55F20714"/>
    <w:rsid w:val="56081A25"/>
    <w:rsid w:val="561455C8"/>
    <w:rsid w:val="562E6085"/>
    <w:rsid w:val="567852EC"/>
    <w:rsid w:val="5700610A"/>
    <w:rsid w:val="579D371D"/>
    <w:rsid w:val="57A8345F"/>
    <w:rsid w:val="58062066"/>
    <w:rsid w:val="58F63101"/>
    <w:rsid w:val="593C7834"/>
    <w:rsid w:val="59481BE0"/>
    <w:rsid w:val="59A10AD3"/>
    <w:rsid w:val="59BD3C7B"/>
    <w:rsid w:val="59FD7B19"/>
    <w:rsid w:val="5A463B29"/>
    <w:rsid w:val="5B813507"/>
    <w:rsid w:val="5C0F0D95"/>
    <w:rsid w:val="5CF67F38"/>
    <w:rsid w:val="5D24713B"/>
    <w:rsid w:val="5D9E20D1"/>
    <w:rsid w:val="5EAD0764"/>
    <w:rsid w:val="5EC63653"/>
    <w:rsid w:val="5EC67D2C"/>
    <w:rsid w:val="5EF046D1"/>
    <w:rsid w:val="5F374B2C"/>
    <w:rsid w:val="5F4B0C5E"/>
    <w:rsid w:val="5F592E75"/>
    <w:rsid w:val="5FA57677"/>
    <w:rsid w:val="5FF34FE3"/>
    <w:rsid w:val="60364128"/>
    <w:rsid w:val="61903D20"/>
    <w:rsid w:val="61BA49AE"/>
    <w:rsid w:val="62042584"/>
    <w:rsid w:val="625F3CA1"/>
    <w:rsid w:val="62B14A28"/>
    <w:rsid w:val="6384326C"/>
    <w:rsid w:val="63A64574"/>
    <w:rsid w:val="64103AD7"/>
    <w:rsid w:val="641536BE"/>
    <w:rsid w:val="6448614D"/>
    <w:rsid w:val="64A87BFB"/>
    <w:rsid w:val="64F66BC1"/>
    <w:rsid w:val="651D7A24"/>
    <w:rsid w:val="652534DF"/>
    <w:rsid w:val="65362AD9"/>
    <w:rsid w:val="65426B55"/>
    <w:rsid w:val="655C7717"/>
    <w:rsid w:val="65770892"/>
    <w:rsid w:val="65AB22BA"/>
    <w:rsid w:val="66325FB7"/>
    <w:rsid w:val="665A1FEC"/>
    <w:rsid w:val="66C23856"/>
    <w:rsid w:val="66C73D54"/>
    <w:rsid w:val="66D00E40"/>
    <w:rsid w:val="672C74D4"/>
    <w:rsid w:val="67CC7736"/>
    <w:rsid w:val="67F924D6"/>
    <w:rsid w:val="67FE6125"/>
    <w:rsid w:val="680331E1"/>
    <w:rsid w:val="683F63AA"/>
    <w:rsid w:val="687761F1"/>
    <w:rsid w:val="68B51E05"/>
    <w:rsid w:val="68F62EFE"/>
    <w:rsid w:val="692C3126"/>
    <w:rsid w:val="69F908EC"/>
    <w:rsid w:val="6A0333FA"/>
    <w:rsid w:val="6AC66498"/>
    <w:rsid w:val="6AF81192"/>
    <w:rsid w:val="6B1C5A99"/>
    <w:rsid w:val="6BE920D7"/>
    <w:rsid w:val="6BF44B24"/>
    <w:rsid w:val="6C1319EB"/>
    <w:rsid w:val="6C290A10"/>
    <w:rsid w:val="6CB060DD"/>
    <w:rsid w:val="6DE25953"/>
    <w:rsid w:val="6E175492"/>
    <w:rsid w:val="6EB2602C"/>
    <w:rsid w:val="6EFF5D6C"/>
    <w:rsid w:val="6FC04ADA"/>
    <w:rsid w:val="6FD52DAA"/>
    <w:rsid w:val="70037241"/>
    <w:rsid w:val="70C61EC0"/>
    <w:rsid w:val="7146786F"/>
    <w:rsid w:val="716F3619"/>
    <w:rsid w:val="71A37433"/>
    <w:rsid w:val="71DD2CEA"/>
    <w:rsid w:val="722D2A6C"/>
    <w:rsid w:val="726F675C"/>
    <w:rsid w:val="72E4538B"/>
    <w:rsid w:val="73FE075C"/>
    <w:rsid w:val="7412312F"/>
    <w:rsid w:val="745E01F8"/>
    <w:rsid w:val="7549756F"/>
    <w:rsid w:val="75CE2A3E"/>
    <w:rsid w:val="76975F17"/>
    <w:rsid w:val="76BD2AF4"/>
    <w:rsid w:val="76C91A4F"/>
    <w:rsid w:val="76E76B27"/>
    <w:rsid w:val="777F291C"/>
    <w:rsid w:val="7788574D"/>
    <w:rsid w:val="77F37D06"/>
    <w:rsid w:val="78003D9B"/>
    <w:rsid w:val="7807775C"/>
    <w:rsid w:val="7811440A"/>
    <w:rsid w:val="78777631"/>
    <w:rsid w:val="796C3009"/>
    <w:rsid w:val="7A372442"/>
    <w:rsid w:val="7A6856DE"/>
    <w:rsid w:val="7AAC006A"/>
    <w:rsid w:val="7B11414A"/>
    <w:rsid w:val="7B7E1448"/>
    <w:rsid w:val="7B924CC7"/>
    <w:rsid w:val="7C1717A8"/>
    <w:rsid w:val="7C8C4263"/>
    <w:rsid w:val="7D504C0A"/>
    <w:rsid w:val="7DAC7EBB"/>
    <w:rsid w:val="7DEA0FB5"/>
    <w:rsid w:val="7DEB5F1F"/>
    <w:rsid w:val="7E3B5732"/>
    <w:rsid w:val="7EEB4B02"/>
    <w:rsid w:val="7F086B76"/>
    <w:rsid w:val="7F1312C7"/>
    <w:rsid w:val="7F1A78F9"/>
    <w:rsid w:val="7F275426"/>
    <w:rsid w:val="7F2D097A"/>
    <w:rsid w:val="7F92080A"/>
    <w:rsid w:val="7FBF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6">
    <w:name w:val="page number"/>
    <w:basedOn w:val="7"/>
    <w:qFormat/>
    <w:uiPriority w:val="0"/>
  </w:style>
  <w:style w:type="character" w:customStyle="1" w:styleId="7">
    <w:name w:val="Default Paragraph Font"/>
    <w:semiHidden/>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Admin</cp:lastModifiedBy>
  <cp:lastPrinted>2024-01-25T00:50:52Z</cp:lastPrinted>
  <dcterms:modified xsi:type="dcterms:W3CDTF">2024-01-25T00:50:54Z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F81CB1F7FF9C4FD2BF4D8AC205A53560</vt:lpwstr>
  </property>
</Properties>
</file>