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方正小标宋简体" w:hAnsi="方正小标宋简体" w:eastAsia="方正小标宋简体" w:cs="方正小标宋简体"/>
          <w:b w:val="0"/>
          <w:bCs/>
          <w:i w:val="0"/>
          <w:caps w:val="0"/>
          <w:color w:val="333333"/>
          <w:spacing w:val="0"/>
          <w:sz w:val="44"/>
          <w:szCs w:val="44"/>
          <w:shd w:val="clear" w:color="auto" w:fill="FFFFFF"/>
          <w:lang w:val="en-US" w:eastAsia="zh-CN"/>
        </w:rPr>
      </w:pPr>
      <w:r>
        <w:rPr>
          <w:rFonts w:hint="eastAsia" w:ascii="方正小标宋简体" w:hAnsi="方正小标宋简体" w:eastAsia="方正小标宋简体" w:cs="方正小标宋简体"/>
          <w:b w:val="0"/>
          <w:bCs/>
          <w:i w:val="0"/>
          <w:caps w:val="0"/>
          <w:color w:val="333333"/>
          <w:spacing w:val="0"/>
          <w:sz w:val="44"/>
          <w:szCs w:val="44"/>
          <w:shd w:val="clear" w:color="auto" w:fill="FFFFFF"/>
          <w:lang w:eastAsia="zh-CN"/>
        </w:rPr>
        <w:t>邢台高新区</w:t>
      </w:r>
      <w:r>
        <w:rPr>
          <w:rFonts w:hint="eastAsia" w:ascii="方正小标宋简体" w:hAnsi="方正小标宋简体" w:eastAsia="方正小标宋简体" w:cs="方正小标宋简体"/>
          <w:b w:val="0"/>
          <w:bCs/>
          <w:i w:val="0"/>
          <w:caps w:val="0"/>
          <w:color w:val="333333"/>
          <w:spacing w:val="0"/>
          <w:sz w:val="44"/>
          <w:szCs w:val="44"/>
          <w:shd w:val="clear" w:color="auto" w:fill="FFFFFF"/>
          <w:lang w:val="en-US" w:eastAsia="zh-CN"/>
        </w:rPr>
        <w:t>科工统计局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i w:val="0"/>
          <w:caps w:val="0"/>
          <w:color w:val="333333"/>
          <w:spacing w:val="0"/>
          <w:sz w:val="44"/>
          <w:szCs w:val="44"/>
        </w:rPr>
      </w:pPr>
      <w:r>
        <w:rPr>
          <w:rFonts w:hint="eastAsia" w:ascii="方正小标宋简体" w:hAnsi="方正小标宋简体" w:eastAsia="方正小标宋简体" w:cs="方正小标宋简体"/>
          <w:b w:val="0"/>
          <w:bCs/>
          <w:i w:val="0"/>
          <w:caps w:val="0"/>
          <w:color w:val="333333"/>
          <w:spacing w:val="0"/>
          <w:sz w:val="44"/>
          <w:szCs w:val="44"/>
          <w:shd w:val="clear" w:color="auto" w:fill="FFFFFF"/>
        </w:rPr>
        <w:t>政府信息公开工作年度报告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i w:val="0"/>
          <w:caps w:val="0"/>
          <w:color w:val="333333"/>
          <w:spacing w:val="0"/>
          <w:sz w:val="24"/>
          <w:szCs w:val="24"/>
        </w:rPr>
      </w:pPr>
    </w:p>
    <w:p>
      <w:pPr>
        <w:keepNext w:val="0"/>
        <w:keepLines w:val="0"/>
        <w:pageBreakBefore w:val="0"/>
        <w:widowControl w:val="0"/>
        <w:kinsoku/>
        <w:wordWrap/>
        <w:overflowPunct/>
        <w:topLinePunct w:val="0"/>
        <w:autoSpaceDE/>
        <w:autoSpaceDN/>
        <w:bidi w:val="0"/>
        <w:adjustRightInd w:val="0"/>
        <w:snapToGrid/>
        <w:spacing w:line="540" w:lineRule="exact"/>
        <w:ind w:left="0" w:leftChars="0" w:right="0" w:rightChars="0" w:firstLine="640" w:firstLineChars="200"/>
        <w:jc w:val="both"/>
        <w:textAlignment w:val="auto"/>
        <w:outlineLvl w:val="9"/>
        <w:rPr>
          <w:rFonts w:hint="default" w:ascii="仿宋_GB2312" w:eastAsia="仿宋_GB2312"/>
          <w:color w:val="000000"/>
          <w:sz w:val="32"/>
          <w:szCs w:val="32"/>
          <w:lang w:val="en-US" w:eastAsia="zh-CN" w:bidi="ar"/>
        </w:rPr>
      </w:pPr>
      <w:r>
        <w:rPr>
          <w:rFonts w:hint="eastAsia" w:ascii="仿宋_GB2312" w:eastAsia="仿宋_GB2312" w:cs="Times New Roman"/>
          <w:sz w:val="32"/>
          <w:szCs w:val="32"/>
          <w:lang w:val="en-US" w:eastAsia="zh-CN"/>
        </w:rPr>
        <w:t>根据《中华人民共和国政府信息公开条例》《河北省实施〈中华人民共和国政府信息公开条例〉办法》等规定，发布本年度报告。报告中所列数据统计期限为2023年1月1日至12月31日。</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b w:val="0"/>
          <w:bCs/>
          <w:i w:val="0"/>
          <w:caps w:val="0"/>
          <w:color w:val="333333"/>
          <w:spacing w:val="0"/>
          <w:sz w:val="32"/>
          <w:szCs w:val="32"/>
          <w:shd w:val="clear" w:color="auto" w:fill="FFFFFF"/>
        </w:rPr>
      </w:pPr>
      <w:r>
        <w:rPr>
          <w:rFonts w:hint="eastAsia" w:ascii="黑体" w:hAnsi="黑体" w:eastAsia="黑体" w:cs="黑体"/>
          <w:b w:val="0"/>
          <w:bCs/>
          <w:i w:val="0"/>
          <w:caps w:val="0"/>
          <w:color w:val="333333"/>
          <w:spacing w:val="0"/>
          <w:sz w:val="32"/>
          <w:szCs w:val="32"/>
          <w:shd w:val="clear" w:color="auto" w:fill="FFFFFF"/>
        </w:rPr>
        <w:t>总体情况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202</w:t>
      </w:r>
      <w:r>
        <w:rPr>
          <w:rFonts w:hint="eastAsia" w:ascii="仿宋_GB2312" w:eastAsia="仿宋_GB2312" w:cs="Times New Roman"/>
          <w:kern w:val="2"/>
          <w:sz w:val="32"/>
          <w:szCs w:val="32"/>
          <w:lang w:val="en-US" w:eastAsia="zh-CN" w:bidi="ar-SA"/>
        </w:rPr>
        <w:t>3</w:t>
      </w:r>
      <w:r>
        <w:rPr>
          <w:rFonts w:hint="eastAsia" w:ascii="仿宋_GB2312" w:hAnsi="Calibri" w:eastAsia="仿宋_GB2312" w:cs="Times New Roman"/>
          <w:kern w:val="2"/>
          <w:sz w:val="32"/>
          <w:szCs w:val="32"/>
          <w:lang w:val="en-US" w:eastAsia="zh-CN" w:bidi="ar-SA"/>
        </w:rPr>
        <w:t>年，</w:t>
      </w:r>
      <w:r>
        <w:rPr>
          <w:rFonts w:hint="eastAsia" w:ascii="仿宋_GB2312" w:eastAsia="仿宋_GB2312" w:cs="Times New Roman"/>
          <w:kern w:val="2"/>
          <w:sz w:val="32"/>
          <w:szCs w:val="32"/>
          <w:lang w:val="en-US" w:eastAsia="zh-CN" w:bidi="ar-SA"/>
        </w:rPr>
        <w:t>科工统计局</w:t>
      </w:r>
      <w:r>
        <w:rPr>
          <w:rFonts w:hint="eastAsia" w:ascii="仿宋_GB2312" w:hAnsi="Calibri" w:eastAsia="仿宋_GB2312" w:cs="Times New Roman"/>
          <w:kern w:val="2"/>
          <w:sz w:val="32"/>
          <w:szCs w:val="32"/>
          <w:lang w:val="en-US" w:eastAsia="zh-CN" w:bidi="ar-SA"/>
        </w:rPr>
        <w:t>严格执行《中华人民共和国政府信息公开条例》，按照国务院、省、市政务公开要点要求，</w:t>
      </w:r>
      <w:r>
        <w:rPr>
          <w:rFonts w:hint="eastAsia" w:ascii="仿宋_GB2312" w:eastAsia="仿宋_GB2312" w:cs="Times New Roman"/>
          <w:kern w:val="2"/>
          <w:sz w:val="32"/>
          <w:szCs w:val="32"/>
          <w:lang w:val="en-US" w:eastAsia="zh-CN" w:bidi="ar-SA"/>
        </w:rPr>
        <w:t>完善工作机制</w:t>
      </w:r>
      <w:r>
        <w:rPr>
          <w:rFonts w:hint="eastAsia" w:ascii="仿宋_GB2312" w:hAnsi="Calibri" w:eastAsia="仿宋_GB2312" w:cs="Times New Roman"/>
          <w:kern w:val="2"/>
          <w:sz w:val="32"/>
          <w:szCs w:val="32"/>
          <w:lang w:val="en-US" w:eastAsia="zh-CN" w:bidi="ar-SA"/>
        </w:rPr>
        <w:t>，突出公开重点，</w:t>
      </w:r>
      <w:r>
        <w:rPr>
          <w:rFonts w:hint="eastAsia" w:ascii="仿宋_GB2312" w:eastAsia="仿宋_GB2312" w:cs="Times New Roman"/>
          <w:kern w:val="2"/>
          <w:sz w:val="32"/>
          <w:szCs w:val="32"/>
          <w:lang w:val="en-US" w:eastAsia="zh-CN" w:bidi="ar-SA"/>
        </w:rPr>
        <w:t>规范化开展政务公开相关工作。</w:t>
      </w:r>
    </w:p>
    <w:p>
      <w:pPr>
        <w:rPr>
          <w:rFonts w:hint="default"/>
          <w:lang w:val="en-US"/>
        </w:rPr>
      </w:pPr>
      <w:r>
        <w:rPr>
          <w:rFonts w:hint="eastAsia" w:ascii="仿宋_GB2312" w:hAnsi="仿宋_GB2312" w:eastAsia="仿宋_GB2312" w:cs="仿宋_GB2312"/>
          <w:b w:val="0"/>
          <w:bCs w:val="0"/>
          <w:sz w:val="32"/>
          <w:szCs w:val="32"/>
          <w:lang w:eastAsia="zh-CN"/>
        </w:rPr>
        <w:t>　　</w:t>
      </w:r>
      <w:r>
        <w:rPr>
          <w:rFonts w:hint="eastAsia" w:ascii="楷体_GB2312" w:hAnsi="楷体_GB2312" w:eastAsia="楷体_GB2312" w:cs="楷体_GB2312"/>
          <w:b w:val="0"/>
          <w:bCs w:val="0"/>
          <w:sz w:val="32"/>
          <w:szCs w:val="32"/>
          <w:lang w:eastAsia="zh-CN"/>
        </w:rPr>
        <w:t>（一）加强主动公开。</w:t>
      </w:r>
      <w:r>
        <w:rPr>
          <w:rFonts w:hint="eastAsia" w:ascii="仿宋_GB2312" w:hAnsi="仿宋_GB2312" w:eastAsia="仿宋_GB2312" w:cs="仿宋_GB2312"/>
          <w:b w:val="0"/>
          <w:bCs w:val="0"/>
          <w:sz w:val="32"/>
          <w:szCs w:val="32"/>
          <w:lang w:val="en-US" w:eastAsia="zh-CN"/>
        </w:rPr>
        <w:t>2023年依托邢台市政府信息网站主动公开各类信息19余条，涉及科技、统计、财政等诸多重点领域，均按要求进行公开。</w:t>
      </w:r>
    </w:p>
    <w:p>
      <w:r>
        <w:rPr>
          <w:rFonts w:hint="eastAsia" w:ascii="仿宋_GB2312" w:hAnsi="仿宋_GB2312" w:eastAsia="仿宋_GB2312" w:cs="仿宋_GB2312"/>
          <w:b w:val="0"/>
          <w:bCs w:val="0"/>
          <w:sz w:val="32"/>
          <w:szCs w:val="32"/>
          <w:lang w:eastAsia="zh-CN"/>
        </w:rPr>
        <w:t>　　</w:t>
      </w:r>
      <w:r>
        <w:rPr>
          <w:rFonts w:hint="eastAsia" w:ascii="楷体_GB2312" w:hAnsi="楷体_GB2312" w:eastAsia="楷体_GB2312" w:cs="楷体_GB2312"/>
          <w:b w:val="0"/>
          <w:bCs w:val="0"/>
          <w:sz w:val="32"/>
          <w:szCs w:val="32"/>
          <w:lang w:eastAsia="zh-CN"/>
        </w:rPr>
        <w:t>（二）规范依申请公开。</w:t>
      </w:r>
      <w:r>
        <w:rPr>
          <w:rFonts w:hint="eastAsia" w:ascii="仿宋_GB2312" w:hAnsi="仿宋_GB2312" w:eastAsia="仿宋_GB2312" w:cs="仿宋_GB2312"/>
          <w:b w:val="0"/>
          <w:bCs w:val="0"/>
          <w:sz w:val="32"/>
          <w:szCs w:val="32"/>
          <w:lang w:eastAsia="zh-CN"/>
        </w:rPr>
        <w:t>2023年，我</w:t>
      </w:r>
      <w:r>
        <w:rPr>
          <w:rFonts w:hint="eastAsia" w:ascii="仿宋_GB2312" w:hAnsi="仿宋_GB2312" w:eastAsia="仿宋_GB2312" w:cs="仿宋_GB2312"/>
          <w:b w:val="0"/>
          <w:bCs w:val="0"/>
          <w:sz w:val="32"/>
          <w:szCs w:val="32"/>
          <w:lang w:val="en-US" w:eastAsia="zh-CN"/>
        </w:rPr>
        <w:t>局</w:t>
      </w:r>
      <w:r>
        <w:rPr>
          <w:rFonts w:hint="eastAsia" w:ascii="仿宋_GB2312" w:hAnsi="仿宋_GB2312" w:eastAsia="仿宋_GB2312" w:cs="仿宋_GB2312"/>
          <w:b w:val="0"/>
          <w:bCs w:val="0"/>
          <w:sz w:val="32"/>
          <w:szCs w:val="32"/>
          <w:lang w:eastAsia="zh-CN"/>
        </w:rPr>
        <w:t>未收到政府信息公开申请，未发生行政复议、行政诉讼情况。</w:t>
      </w:r>
    </w:p>
    <w:p>
      <w:r>
        <w:rPr>
          <w:rFonts w:hint="eastAsia" w:ascii="仿宋_GB2312" w:hAnsi="仿宋_GB2312" w:eastAsia="仿宋_GB2312" w:cs="仿宋_GB2312"/>
          <w:b w:val="0"/>
          <w:bCs w:val="0"/>
          <w:sz w:val="32"/>
          <w:szCs w:val="32"/>
          <w:lang w:eastAsia="zh-CN"/>
        </w:rPr>
        <w:t>　　</w:t>
      </w:r>
      <w:r>
        <w:rPr>
          <w:rFonts w:hint="eastAsia" w:ascii="楷体_GB2312" w:hAnsi="楷体_GB2312" w:eastAsia="楷体_GB2312" w:cs="楷体_GB2312"/>
          <w:b w:val="0"/>
          <w:bCs w:val="0"/>
          <w:sz w:val="32"/>
          <w:szCs w:val="32"/>
          <w:lang w:eastAsia="zh-CN"/>
        </w:rPr>
        <w:t>（三）严格政府信息管理。</w:t>
      </w:r>
      <w:r>
        <w:rPr>
          <w:rFonts w:hint="eastAsia" w:ascii="仿宋_GB2312" w:hAnsi="仿宋_GB2312" w:eastAsia="仿宋_GB2312" w:cs="仿宋_GB2312"/>
          <w:b w:val="0"/>
          <w:bCs w:val="0"/>
          <w:sz w:val="32"/>
          <w:szCs w:val="32"/>
          <w:lang w:eastAsia="zh-CN"/>
        </w:rPr>
        <w:t>严格政务信息的收集、编辑、审核和报送，确保信息主题鲜明、内容充实、数据准确、情况清楚、精炼简洁、表述规范，确保信息的规范性；相关工作人员按规定依时公开各类政务信息、行政执法等信息。对政务公开和政务服务事项的信息量、完整性、时效性、准确性等进行监察，确保信息公开及时、准确。</w:t>
      </w:r>
    </w:p>
    <w:p>
      <w:r>
        <w:rPr>
          <w:rFonts w:hint="eastAsia" w:ascii="仿宋_GB2312" w:hAnsi="仿宋_GB2312" w:eastAsia="仿宋_GB2312" w:cs="仿宋_GB2312"/>
          <w:b w:val="0"/>
          <w:bCs w:val="0"/>
          <w:sz w:val="32"/>
          <w:szCs w:val="32"/>
          <w:lang w:eastAsia="zh-CN"/>
        </w:rPr>
        <w:t>　　</w:t>
      </w:r>
      <w:r>
        <w:rPr>
          <w:rFonts w:hint="eastAsia" w:ascii="楷体_GB2312" w:hAnsi="楷体_GB2312" w:eastAsia="楷体_GB2312" w:cs="楷体_GB2312"/>
          <w:b w:val="0"/>
          <w:bCs w:val="0"/>
          <w:sz w:val="32"/>
          <w:szCs w:val="32"/>
          <w:lang w:eastAsia="zh-CN"/>
        </w:rPr>
        <w:t>（四）推进政府信息公开平台建设。</w:t>
      </w:r>
      <w:r>
        <w:rPr>
          <w:rFonts w:hint="eastAsia" w:ascii="仿宋_GB2312" w:hAnsi="仿宋_GB2312" w:eastAsia="仿宋_GB2312" w:cs="仿宋_GB2312"/>
          <w:b w:val="0"/>
          <w:bCs w:val="0"/>
          <w:sz w:val="32"/>
          <w:szCs w:val="32"/>
          <w:lang w:eastAsia="zh-CN"/>
        </w:rPr>
        <w:t>2023年，我</w:t>
      </w:r>
      <w:r>
        <w:rPr>
          <w:rFonts w:hint="eastAsia" w:ascii="仿宋_GB2312" w:hAnsi="仿宋_GB2312" w:eastAsia="仿宋_GB2312" w:cs="仿宋_GB2312"/>
          <w:b w:val="0"/>
          <w:bCs w:val="0"/>
          <w:sz w:val="32"/>
          <w:szCs w:val="32"/>
          <w:lang w:val="en-US" w:eastAsia="zh-CN"/>
        </w:rPr>
        <w:t>局</w:t>
      </w:r>
      <w:r>
        <w:rPr>
          <w:rFonts w:hint="eastAsia" w:ascii="仿宋_GB2312" w:hAnsi="仿宋_GB2312" w:eastAsia="仿宋_GB2312" w:cs="仿宋_GB2312"/>
          <w:b w:val="0"/>
          <w:bCs w:val="0"/>
          <w:sz w:val="32"/>
          <w:szCs w:val="32"/>
          <w:lang w:eastAsia="zh-CN"/>
        </w:rPr>
        <w:t>无政府信息公开平台。</w:t>
      </w:r>
    </w:p>
    <w:p>
      <w:r>
        <w:rPr>
          <w:rFonts w:hint="eastAsia" w:ascii="仿宋_GB2312" w:hAnsi="仿宋_GB2312" w:eastAsia="仿宋_GB2312" w:cs="仿宋_GB2312"/>
          <w:b w:val="0"/>
          <w:bCs w:val="0"/>
          <w:sz w:val="32"/>
          <w:szCs w:val="32"/>
          <w:lang w:eastAsia="zh-CN"/>
        </w:rPr>
        <w:t>　　</w:t>
      </w:r>
      <w:r>
        <w:rPr>
          <w:rFonts w:hint="eastAsia" w:ascii="楷体_GB2312" w:hAnsi="楷体_GB2312" w:eastAsia="楷体_GB2312" w:cs="楷体_GB2312"/>
          <w:b w:val="0"/>
          <w:bCs w:val="0"/>
          <w:sz w:val="32"/>
          <w:szCs w:val="32"/>
          <w:lang w:eastAsia="zh-CN"/>
        </w:rPr>
        <w:t>（五）强化监督保障。</w:t>
      </w:r>
      <w:r>
        <w:rPr>
          <w:rFonts w:hint="eastAsia" w:ascii="仿宋_GB2312" w:hAnsi="仿宋_GB2312" w:eastAsia="仿宋_GB2312" w:cs="仿宋_GB2312"/>
          <w:b w:val="0"/>
          <w:bCs w:val="0"/>
          <w:sz w:val="32"/>
          <w:szCs w:val="32"/>
          <w:lang w:val="en-US" w:eastAsia="zh-CN"/>
        </w:rPr>
        <w:t>我局</w:t>
      </w:r>
      <w:r>
        <w:rPr>
          <w:rFonts w:hint="eastAsia" w:ascii="仿宋_GB2312" w:hAnsi="仿宋_GB2312" w:eastAsia="仿宋_GB2312" w:cs="仿宋_GB2312"/>
          <w:b w:val="0"/>
          <w:bCs w:val="0"/>
          <w:sz w:val="32"/>
          <w:szCs w:val="32"/>
          <w:lang w:val="en-US" w:eastAsia="zh-CN"/>
        </w:rPr>
        <w:t>成立了政务公开工作领导小组，并下设办公室，确保政务公开工作平稳推进。进一步健全完善本单位信息公开工作机制，加强对信息公开工作的监督检查保证行政机关发布的政府信息准确一致，确保各项准备工作和措施落实到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40" w:afterAutospacing="0" w:line="560" w:lineRule="exact"/>
        <w:ind w:right="0" w:firstLine="640" w:firstLineChars="200"/>
        <w:jc w:val="both"/>
        <w:textAlignment w:val="auto"/>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color="auto" w:fill="FFFFFF"/>
        </w:rPr>
        <w:t>二、主动公开政府信息情况</w:t>
      </w:r>
    </w:p>
    <w:tbl>
      <w:tblPr>
        <w:tblStyle w:val="6"/>
        <w:tblW w:w="8840" w:type="dxa"/>
        <w:jc w:val="center"/>
        <w:tblLayout w:type="fixed"/>
        <w:tblCellMar>
          <w:top w:w="0" w:type="dxa"/>
          <w:left w:w="0" w:type="dxa"/>
          <w:bottom w:w="0" w:type="dxa"/>
          <w:right w:w="0" w:type="dxa"/>
        </w:tblCellMar>
      </w:tblPr>
      <w:tblGrid>
        <w:gridCol w:w="3225"/>
        <w:gridCol w:w="1901"/>
        <w:gridCol w:w="1671"/>
        <w:gridCol w:w="2043"/>
      </w:tblGrid>
      <w:tr>
        <w:tblPrEx>
          <w:tblCellMar>
            <w:top w:w="0" w:type="dxa"/>
            <w:left w:w="0" w:type="dxa"/>
            <w:bottom w:w="0" w:type="dxa"/>
            <w:right w:w="0" w:type="dxa"/>
          </w:tblCellMar>
        </w:tblPrEx>
        <w:trPr>
          <w:trHeight w:val="624" w:hRule="exact"/>
          <w:jc w:val="center"/>
        </w:trPr>
        <w:tc>
          <w:tcPr>
            <w:tcW w:w="8840" w:type="dxa"/>
            <w:gridSpan w:val="4"/>
            <w:tcBorders>
              <w:top w:val="single" w:color="auto" w:sz="8" w:space="0"/>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第二十条</w:t>
            </w:r>
            <w:r>
              <w:rPr>
                <w:rFonts w:hint="eastAsia" w:ascii="宋体" w:hAnsi="宋体" w:cs="宋体"/>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第（一）项</w:t>
            </w:r>
          </w:p>
        </w:tc>
      </w:tr>
      <w:tr>
        <w:tblPrEx>
          <w:tblCellMar>
            <w:top w:w="0" w:type="dxa"/>
            <w:left w:w="0" w:type="dxa"/>
            <w:bottom w:w="0" w:type="dxa"/>
            <w:right w:w="0" w:type="dxa"/>
          </w:tblCellMar>
        </w:tblPrEx>
        <w:trPr>
          <w:trHeight w:val="624" w:hRule="exact"/>
          <w:jc w:val="center"/>
        </w:trPr>
        <w:tc>
          <w:tcPr>
            <w:tcW w:w="3225"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1901" w:type="dxa"/>
            <w:tcBorders>
              <w:top w:val="single" w:color="auto" w:sz="8" w:space="0"/>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color w:val="000000"/>
                <w:kern w:val="0"/>
                <w:sz w:val="20"/>
                <w:szCs w:val="20"/>
                <w:lang w:val="en-US" w:eastAsia="zh-CN" w:bidi="ar"/>
              </w:rPr>
              <w:t>本年</w:t>
            </w:r>
            <w:r>
              <w:rPr>
                <w:rFonts w:hint="eastAsia" w:ascii="宋体" w:hAnsi="宋体" w:cs="宋体"/>
                <w:color w:val="000000"/>
                <w:kern w:val="0"/>
                <w:sz w:val="20"/>
                <w:szCs w:val="20"/>
                <w:lang w:val="en-US" w:eastAsia="zh-CN" w:bidi="ar"/>
              </w:rPr>
              <w:t>制发件数</w:t>
            </w:r>
          </w:p>
        </w:tc>
        <w:tc>
          <w:tcPr>
            <w:tcW w:w="1671"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color w:val="000000"/>
                <w:kern w:val="0"/>
                <w:sz w:val="20"/>
                <w:szCs w:val="20"/>
                <w:lang w:val="en-US" w:eastAsia="zh-CN" w:bidi="ar"/>
              </w:rPr>
              <w:t>本年</w:t>
            </w:r>
            <w:r>
              <w:rPr>
                <w:rFonts w:hint="eastAsia" w:ascii="宋体" w:hAnsi="宋体" w:cs="宋体"/>
                <w:color w:val="000000"/>
                <w:kern w:val="0"/>
                <w:sz w:val="20"/>
                <w:szCs w:val="20"/>
                <w:lang w:val="en-US" w:eastAsia="zh-CN" w:bidi="ar"/>
              </w:rPr>
              <w:t>废止件数</w:t>
            </w:r>
          </w:p>
        </w:tc>
        <w:tc>
          <w:tcPr>
            <w:tcW w:w="2043"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cs="宋体"/>
                <w:color w:val="000000"/>
                <w:kern w:val="0"/>
                <w:sz w:val="20"/>
                <w:szCs w:val="20"/>
                <w:lang w:val="en-US" w:eastAsia="zh-CN" w:bidi="ar"/>
              </w:rPr>
              <w:t>现行有效件数</w:t>
            </w:r>
          </w:p>
        </w:tc>
      </w:tr>
      <w:tr>
        <w:tblPrEx>
          <w:tblCellMar>
            <w:top w:w="0" w:type="dxa"/>
            <w:left w:w="0" w:type="dxa"/>
            <w:bottom w:w="0" w:type="dxa"/>
            <w:right w:w="0" w:type="dxa"/>
          </w:tblCellMar>
        </w:tblPrEx>
        <w:trPr>
          <w:trHeight w:val="624" w:hRule="exact"/>
          <w:jc w:val="center"/>
        </w:trPr>
        <w:tc>
          <w:tcPr>
            <w:tcW w:w="3225"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规章</w:t>
            </w:r>
          </w:p>
        </w:tc>
        <w:tc>
          <w:tcPr>
            <w:tcW w:w="1901"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eastAsia="宋体"/>
                <w:lang w:val="en-US" w:eastAsia="zh-CN"/>
              </w:rPr>
            </w:pPr>
            <w:r>
              <w:rPr>
                <w:rFonts w:hint="eastAsia"/>
                <w:lang w:val="en-US" w:eastAsia="zh-CN"/>
              </w:rPr>
              <w:t>0</w:t>
            </w:r>
          </w:p>
        </w:tc>
        <w:tc>
          <w:tcPr>
            <w:tcW w:w="167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lang w:val="en-US" w:eastAsia="zh-CN"/>
              </w:rPr>
              <w:t>0</w:t>
            </w:r>
          </w:p>
        </w:tc>
        <w:tc>
          <w:tcPr>
            <w:tcW w:w="2043"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lang w:val="en-US" w:eastAsia="zh-CN"/>
              </w:rPr>
              <w:t>0</w:t>
            </w:r>
          </w:p>
        </w:tc>
      </w:tr>
      <w:tr>
        <w:tblPrEx>
          <w:tblCellMar>
            <w:top w:w="0" w:type="dxa"/>
            <w:left w:w="0" w:type="dxa"/>
            <w:bottom w:w="0" w:type="dxa"/>
            <w:right w:w="0" w:type="dxa"/>
          </w:tblCellMar>
        </w:tblPrEx>
        <w:trPr>
          <w:trHeight w:val="624" w:hRule="exact"/>
          <w:jc w:val="center"/>
        </w:trPr>
        <w:tc>
          <w:tcPr>
            <w:tcW w:w="3225"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规范性文件</w:t>
            </w:r>
          </w:p>
        </w:tc>
        <w:tc>
          <w:tcPr>
            <w:tcW w:w="1901"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lang w:val="en-US" w:eastAsia="zh-CN"/>
              </w:rPr>
              <w:t>0</w:t>
            </w:r>
          </w:p>
        </w:tc>
        <w:tc>
          <w:tcPr>
            <w:tcW w:w="167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lang w:val="en-US" w:eastAsia="zh-CN"/>
              </w:rPr>
              <w:t>0</w:t>
            </w:r>
          </w:p>
        </w:tc>
        <w:tc>
          <w:tcPr>
            <w:tcW w:w="2043"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lang w:val="en-US" w:eastAsia="zh-CN"/>
              </w:rPr>
              <w:t>0</w:t>
            </w:r>
          </w:p>
        </w:tc>
      </w:tr>
      <w:tr>
        <w:tblPrEx>
          <w:tblCellMar>
            <w:top w:w="0" w:type="dxa"/>
            <w:left w:w="0" w:type="dxa"/>
            <w:bottom w:w="0" w:type="dxa"/>
            <w:right w:w="0" w:type="dxa"/>
          </w:tblCellMar>
        </w:tblPrEx>
        <w:trPr>
          <w:trHeight w:val="624" w:hRule="exact"/>
          <w:jc w:val="center"/>
        </w:trPr>
        <w:tc>
          <w:tcPr>
            <w:tcW w:w="8840"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第二十条</w:t>
            </w:r>
            <w:r>
              <w:rPr>
                <w:rFonts w:hint="eastAsia" w:ascii="宋体" w:hAnsi="宋体" w:cs="宋体"/>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第（五）项</w:t>
            </w:r>
          </w:p>
        </w:tc>
      </w:tr>
      <w:tr>
        <w:tblPrEx>
          <w:tblCellMar>
            <w:top w:w="0" w:type="dxa"/>
            <w:left w:w="0" w:type="dxa"/>
            <w:bottom w:w="0" w:type="dxa"/>
            <w:right w:w="0" w:type="dxa"/>
          </w:tblCellMar>
        </w:tblPrEx>
        <w:trPr>
          <w:trHeight w:val="624" w:hRule="exact"/>
          <w:jc w:val="center"/>
        </w:trPr>
        <w:tc>
          <w:tcPr>
            <w:tcW w:w="3225"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5615" w:type="dxa"/>
            <w:gridSpan w:val="3"/>
            <w:tcBorders>
              <w:top w:val="single" w:color="auto" w:sz="8" w:space="0"/>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eastAsia="宋体"/>
                <w:lang w:eastAsia="zh-CN"/>
              </w:rPr>
            </w:pPr>
            <w:r>
              <w:rPr>
                <w:rFonts w:hint="eastAsia"/>
                <w:lang w:eastAsia="zh-CN"/>
              </w:rPr>
              <w:t>本年处理决定数</w:t>
            </w:r>
            <w:r>
              <w:rPr>
                <w:rFonts w:hint="eastAsia"/>
                <w:lang w:val="en-US" w:eastAsia="zh-CN"/>
              </w:rPr>
              <w:t>量</w:t>
            </w:r>
          </w:p>
        </w:tc>
      </w:tr>
      <w:tr>
        <w:tblPrEx>
          <w:tblCellMar>
            <w:top w:w="0" w:type="dxa"/>
            <w:left w:w="0" w:type="dxa"/>
            <w:bottom w:w="0" w:type="dxa"/>
            <w:right w:w="0" w:type="dxa"/>
          </w:tblCellMar>
        </w:tblPrEx>
        <w:trPr>
          <w:trHeight w:val="624" w:hRule="exact"/>
          <w:jc w:val="center"/>
        </w:trPr>
        <w:tc>
          <w:tcPr>
            <w:tcW w:w="3225"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行政许可</w:t>
            </w:r>
          </w:p>
        </w:tc>
        <w:tc>
          <w:tcPr>
            <w:tcW w:w="5615" w:type="dxa"/>
            <w:gridSpan w:val="3"/>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lang w:val="en-US" w:eastAsia="zh-CN"/>
              </w:rPr>
              <w:t>0</w:t>
            </w:r>
          </w:p>
        </w:tc>
      </w:tr>
      <w:tr>
        <w:tblPrEx>
          <w:tblCellMar>
            <w:top w:w="0" w:type="dxa"/>
            <w:left w:w="0" w:type="dxa"/>
            <w:bottom w:w="0" w:type="dxa"/>
            <w:right w:w="0" w:type="dxa"/>
          </w:tblCellMar>
        </w:tblPrEx>
        <w:trPr>
          <w:trHeight w:val="624" w:hRule="exact"/>
          <w:jc w:val="center"/>
        </w:trPr>
        <w:tc>
          <w:tcPr>
            <w:tcW w:w="8840"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第二十条</w:t>
            </w:r>
            <w:r>
              <w:rPr>
                <w:rFonts w:hint="eastAsia" w:ascii="宋体" w:hAnsi="宋体" w:cs="宋体"/>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第（六）项</w:t>
            </w:r>
          </w:p>
        </w:tc>
      </w:tr>
      <w:tr>
        <w:tblPrEx>
          <w:tblCellMar>
            <w:top w:w="0" w:type="dxa"/>
            <w:left w:w="0" w:type="dxa"/>
            <w:bottom w:w="0" w:type="dxa"/>
            <w:right w:w="0" w:type="dxa"/>
          </w:tblCellMar>
        </w:tblPrEx>
        <w:trPr>
          <w:trHeight w:val="624" w:hRule="exact"/>
          <w:jc w:val="center"/>
        </w:trPr>
        <w:tc>
          <w:tcPr>
            <w:tcW w:w="3225"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5615" w:type="dxa"/>
            <w:gridSpan w:val="3"/>
            <w:tcBorders>
              <w:top w:val="single" w:color="auto" w:sz="8" w:space="0"/>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lang w:eastAsia="zh-CN"/>
              </w:rPr>
              <w:t>本年处理决定数</w:t>
            </w:r>
            <w:r>
              <w:rPr>
                <w:rFonts w:hint="eastAsia"/>
                <w:lang w:val="en-US" w:eastAsia="zh-CN"/>
              </w:rPr>
              <w:t>量</w:t>
            </w:r>
          </w:p>
        </w:tc>
      </w:tr>
      <w:tr>
        <w:tblPrEx>
          <w:tblCellMar>
            <w:top w:w="0" w:type="dxa"/>
            <w:left w:w="0" w:type="dxa"/>
            <w:bottom w:w="0" w:type="dxa"/>
            <w:right w:w="0" w:type="dxa"/>
          </w:tblCellMar>
        </w:tblPrEx>
        <w:trPr>
          <w:trHeight w:val="624" w:hRule="exact"/>
          <w:jc w:val="center"/>
        </w:trPr>
        <w:tc>
          <w:tcPr>
            <w:tcW w:w="3225"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行政处罚</w:t>
            </w:r>
          </w:p>
        </w:tc>
        <w:tc>
          <w:tcPr>
            <w:tcW w:w="5615" w:type="dxa"/>
            <w:gridSpan w:val="3"/>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lang w:val="en-US" w:eastAsia="zh-CN"/>
              </w:rPr>
              <w:t>0</w:t>
            </w:r>
          </w:p>
        </w:tc>
      </w:tr>
      <w:tr>
        <w:tblPrEx>
          <w:tblCellMar>
            <w:top w:w="0" w:type="dxa"/>
            <w:left w:w="0" w:type="dxa"/>
            <w:bottom w:w="0" w:type="dxa"/>
            <w:right w:w="0" w:type="dxa"/>
          </w:tblCellMar>
        </w:tblPrEx>
        <w:trPr>
          <w:trHeight w:val="624" w:hRule="exact"/>
          <w:jc w:val="center"/>
        </w:trPr>
        <w:tc>
          <w:tcPr>
            <w:tcW w:w="3225"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行政强制</w:t>
            </w:r>
          </w:p>
        </w:tc>
        <w:tc>
          <w:tcPr>
            <w:tcW w:w="5615" w:type="dxa"/>
            <w:gridSpan w:val="3"/>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lang w:val="en-US" w:eastAsia="zh-CN"/>
              </w:rPr>
              <w:t>0</w:t>
            </w:r>
          </w:p>
        </w:tc>
      </w:tr>
      <w:tr>
        <w:tblPrEx>
          <w:tblCellMar>
            <w:top w:w="0" w:type="dxa"/>
            <w:left w:w="0" w:type="dxa"/>
            <w:bottom w:w="0" w:type="dxa"/>
            <w:right w:w="0" w:type="dxa"/>
          </w:tblCellMar>
        </w:tblPrEx>
        <w:trPr>
          <w:trHeight w:val="624" w:hRule="exact"/>
          <w:jc w:val="center"/>
        </w:trPr>
        <w:tc>
          <w:tcPr>
            <w:tcW w:w="8840"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第二十条</w:t>
            </w:r>
            <w:r>
              <w:rPr>
                <w:rFonts w:hint="eastAsia" w:ascii="宋体" w:hAnsi="宋体" w:cs="宋体"/>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第（八）项</w:t>
            </w:r>
          </w:p>
        </w:tc>
      </w:tr>
      <w:tr>
        <w:tblPrEx>
          <w:tblCellMar>
            <w:top w:w="0" w:type="dxa"/>
            <w:left w:w="0" w:type="dxa"/>
            <w:bottom w:w="0" w:type="dxa"/>
            <w:right w:w="0" w:type="dxa"/>
          </w:tblCellMar>
        </w:tblPrEx>
        <w:trPr>
          <w:trHeight w:val="624" w:hRule="exact"/>
          <w:jc w:val="center"/>
        </w:trPr>
        <w:tc>
          <w:tcPr>
            <w:tcW w:w="3225"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5615" w:type="dxa"/>
            <w:gridSpan w:val="3"/>
            <w:tcBorders>
              <w:top w:val="nil"/>
              <w:left w:val="nil"/>
              <w:bottom w:val="single" w:color="auto" w:sz="8" w:space="0"/>
              <w:right w:val="single" w:color="000000"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eastAsia="宋体"/>
                <w:lang w:eastAsia="zh-CN"/>
              </w:rPr>
            </w:pPr>
            <w:r>
              <w:rPr>
                <w:rFonts w:hint="eastAsia"/>
                <w:lang w:eastAsia="zh-CN"/>
              </w:rPr>
              <w:t>本年收费金额（单位：万元）</w:t>
            </w:r>
          </w:p>
        </w:tc>
      </w:tr>
      <w:tr>
        <w:tblPrEx>
          <w:tblCellMar>
            <w:top w:w="0" w:type="dxa"/>
            <w:left w:w="0" w:type="dxa"/>
            <w:bottom w:w="0" w:type="dxa"/>
            <w:right w:w="0" w:type="dxa"/>
          </w:tblCellMar>
        </w:tblPrEx>
        <w:trPr>
          <w:trHeight w:val="624" w:hRule="exact"/>
          <w:jc w:val="center"/>
        </w:trPr>
        <w:tc>
          <w:tcPr>
            <w:tcW w:w="3225"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行政事业性收费</w:t>
            </w:r>
          </w:p>
        </w:tc>
        <w:tc>
          <w:tcPr>
            <w:tcW w:w="5615" w:type="dxa"/>
            <w:gridSpan w:val="3"/>
            <w:tcBorders>
              <w:top w:val="nil"/>
              <w:left w:val="nil"/>
              <w:bottom w:val="single" w:color="auto" w:sz="8" w:space="0"/>
              <w:right w:val="single" w:color="000000"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lang w:val="en-US" w:eastAsia="zh-CN"/>
              </w:rPr>
              <w:t>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40" w:afterAutospacing="0" w:line="560" w:lineRule="exact"/>
        <w:ind w:right="0" w:firstLine="320" w:firstLineChars="100"/>
        <w:jc w:val="both"/>
        <w:textAlignment w:val="auto"/>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color="auto" w:fill="FFFFFF"/>
        </w:rPr>
        <w:t>三、收到和处理政府信息公开申请情况</w:t>
      </w:r>
    </w:p>
    <w:tbl>
      <w:tblPr>
        <w:tblStyle w:val="6"/>
        <w:tblW w:w="910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8"/>
        <w:gridCol w:w="857"/>
        <w:gridCol w:w="2375"/>
        <w:gridCol w:w="713"/>
        <w:gridCol w:w="712"/>
        <w:gridCol w:w="738"/>
        <w:gridCol w:w="912"/>
        <w:gridCol w:w="875"/>
        <w:gridCol w:w="650"/>
        <w:gridCol w:w="65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exact"/>
          <w:jc w:val="center"/>
        </w:trPr>
        <w:tc>
          <w:tcPr>
            <w:tcW w:w="3850" w:type="dxa"/>
            <w:gridSpan w:val="3"/>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ascii="楷体_GB2312" w:hAnsi="楷体_GB2312" w:eastAsia="楷体_GB2312" w:cs="楷体_GB2312"/>
                <w:kern w:val="0"/>
                <w:sz w:val="20"/>
                <w:szCs w:val="20"/>
                <w:lang w:val="en-US" w:eastAsia="zh-CN" w:bidi="ar"/>
              </w:rPr>
              <w:t>（本列数据的勾稽关系为：第一项加第二项之和，等于第三项加第四项之和）</w:t>
            </w:r>
          </w:p>
        </w:tc>
        <w:tc>
          <w:tcPr>
            <w:tcW w:w="5250" w:type="dxa"/>
            <w:gridSpan w:val="7"/>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33" w:hRule="atLeast"/>
          <w:jc w:val="center"/>
        </w:trPr>
        <w:tc>
          <w:tcPr>
            <w:tcW w:w="3850" w:type="dxa"/>
            <w:gridSpan w:val="3"/>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713"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ascii="宋体" w:hAnsi="宋体" w:eastAsia="宋体" w:cs="宋体"/>
                <w:kern w:val="0"/>
                <w:sz w:val="20"/>
                <w:szCs w:val="20"/>
                <w:lang w:val="en-US" w:eastAsia="zh-CN" w:bidi="ar"/>
              </w:rPr>
              <w:t>人</w:t>
            </w:r>
          </w:p>
        </w:tc>
        <w:tc>
          <w:tcPr>
            <w:tcW w:w="3887"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ascii="宋体" w:hAnsi="宋体" w:eastAsia="宋体" w:cs="宋体"/>
                <w:kern w:val="0"/>
                <w:sz w:val="20"/>
                <w:szCs w:val="20"/>
                <w:lang w:val="en-US" w:eastAsia="zh-CN" w:bidi="ar"/>
              </w:rPr>
              <w:t>法人或其他组织</w:t>
            </w:r>
          </w:p>
        </w:tc>
        <w:tc>
          <w:tcPr>
            <w:tcW w:w="650"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30" w:hRule="atLeast"/>
          <w:jc w:val="center"/>
        </w:trPr>
        <w:tc>
          <w:tcPr>
            <w:tcW w:w="3850" w:type="dxa"/>
            <w:gridSpan w:val="3"/>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713"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7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ascii="宋体" w:hAnsi="宋体" w:eastAsia="宋体" w:cs="宋体"/>
                <w:kern w:val="0"/>
                <w:sz w:val="20"/>
                <w:szCs w:val="20"/>
                <w:lang w:val="en-US" w:eastAsia="zh-CN" w:bidi="ar"/>
              </w:rPr>
              <w:t>商业企业</w:t>
            </w:r>
          </w:p>
        </w:tc>
        <w:tc>
          <w:tcPr>
            <w:tcW w:w="73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ascii="宋体" w:hAnsi="宋体" w:eastAsia="宋体" w:cs="宋体"/>
                <w:kern w:val="0"/>
                <w:sz w:val="20"/>
                <w:szCs w:val="20"/>
                <w:lang w:val="en-US" w:eastAsia="zh-CN" w:bidi="ar"/>
              </w:rPr>
              <w:t>科研机构</w:t>
            </w:r>
          </w:p>
        </w:tc>
        <w:tc>
          <w:tcPr>
            <w:tcW w:w="912"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ascii="宋体" w:hAnsi="宋体" w:eastAsia="宋体" w:cs="宋体"/>
                <w:kern w:val="0"/>
                <w:sz w:val="20"/>
                <w:szCs w:val="20"/>
                <w:lang w:val="en-US" w:eastAsia="zh-CN" w:bidi="ar"/>
              </w:rPr>
              <w:t>社会公益组织</w:t>
            </w:r>
          </w:p>
        </w:tc>
        <w:tc>
          <w:tcPr>
            <w:tcW w:w="87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ascii="宋体" w:hAnsi="宋体" w:eastAsia="宋体" w:cs="宋体"/>
                <w:kern w:val="0"/>
                <w:sz w:val="20"/>
                <w:szCs w:val="20"/>
                <w:lang w:val="en-US" w:eastAsia="zh-CN" w:bidi="ar"/>
              </w:rPr>
              <w:t>法律服务机构</w:t>
            </w:r>
          </w:p>
        </w:tc>
        <w:tc>
          <w:tcPr>
            <w:tcW w:w="650"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ascii="宋体" w:hAnsi="宋体" w:eastAsia="宋体" w:cs="宋体"/>
                <w:kern w:val="0"/>
                <w:sz w:val="20"/>
                <w:szCs w:val="20"/>
                <w:lang w:val="en-US" w:eastAsia="zh-CN" w:bidi="ar"/>
              </w:rPr>
              <w:t>其他</w:t>
            </w:r>
          </w:p>
        </w:tc>
        <w:tc>
          <w:tcPr>
            <w:tcW w:w="650"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3850"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宋体" w:hAnsi="宋体" w:eastAsia="宋体" w:cs="宋体"/>
                <w:kern w:val="0"/>
                <w:sz w:val="20"/>
                <w:szCs w:val="20"/>
                <w:lang w:val="en-US" w:eastAsia="zh-CN" w:bidi="ar"/>
              </w:rPr>
              <w:t>一、本年新收政府信息公开申请数量</w:t>
            </w:r>
          </w:p>
        </w:tc>
        <w:tc>
          <w:tcPr>
            <w:tcW w:w="7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rPr>
                <w:rFonts w:hint="default"/>
                <w:lang w:val="en-US"/>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3850"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宋体" w:hAnsi="宋体" w:eastAsia="宋体" w:cs="宋体"/>
                <w:kern w:val="0"/>
                <w:sz w:val="20"/>
                <w:szCs w:val="20"/>
                <w:lang w:val="en-US" w:eastAsia="zh-CN" w:bidi="ar"/>
              </w:rPr>
              <w:t>二、上年结转政府信息公开申请数量</w:t>
            </w:r>
          </w:p>
        </w:tc>
        <w:tc>
          <w:tcPr>
            <w:tcW w:w="7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rPr>
                <w:rFonts w:hint="default"/>
                <w:lang w:val="en-US"/>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18"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ascii="宋体" w:hAnsi="宋体" w:eastAsia="宋体" w:cs="宋体"/>
                <w:kern w:val="0"/>
                <w:sz w:val="20"/>
                <w:szCs w:val="20"/>
                <w:lang w:val="en-US" w:eastAsia="zh-CN" w:bidi="ar"/>
              </w:rPr>
              <w:t>三、本年度办理结果</w:t>
            </w:r>
          </w:p>
        </w:tc>
        <w:tc>
          <w:tcPr>
            <w:tcW w:w="3232"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（一）予以公开</w:t>
            </w:r>
          </w:p>
        </w:tc>
        <w:tc>
          <w:tcPr>
            <w:tcW w:w="7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rPr>
                <w:rFonts w:hint="default"/>
                <w:lang w:val="en-US"/>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3232"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（二）部分公开（区分处理的，只计这一情形，不计其他情形）</w:t>
            </w:r>
          </w:p>
        </w:tc>
        <w:tc>
          <w:tcPr>
            <w:tcW w:w="7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rPr>
                <w:rFonts w:hint="default"/>
                <w:lang w:val="en-US"/>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（三）不予公开</w:t>
            </w:r>
          </w:p>
        </w:tc>
        <w:tc>
          <w:tcPr>
            <w:tcW w:w="23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1.属于国家秘密</w:t>
            </w:r>
          </w:p>
        </w:tc>
        <w:tc>
          <w:tcPr>
            <w:tcW w:w="7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rPr>
                <w:rFonts w:hint="default"/>
                <w:lang w:val="en-US"/>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23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2.其他法律行政法规禁止公开</w:t>
            </w:r>
          </w:p>
        </w:tc>
        <w:tc>
          <w:tcPr>
            <w:tcW w:w="7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rPr>
                <w:rFonts w:hint="default"/>
                <w:lang w:val="en-US"/>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23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3.危及“三安全一稳定”</w:t>
            </w:r>
          </w:p>
        </w:tc>
        <w:tc>
          <w:tcPr>
            <w:tcW w:w="7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rPr>
                <w:rFonts w:hint="default"/>
                <w:lang w:val="en-US"/>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23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4.保护第三方合法权益</w:t>
            </w:r>
          </w:p>
        </w:tc>
        <w:tc>
          <w:tcPr>
            <w:tcW w:w="7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rPr>
                <w:rFonts w:hint="default"/>
                <w:lang w:val="en-US"/>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23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5.属于三类内部事务信息</w:t>
            </w:r>
          </w:p>
        </w:tc>
        <w:tc>
          <w:tcPr>
            <w:tcW w:w="7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rPr>
                <w:rFonts w:hint="default"/>
                <w:lang w:val="en-US"/>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23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6.属于四类过程性信息</w:t>
            </w:r>
          </w:p>
        </w:tc>
        <w:tc>
          <w:tcPr>
            <w:tcW w:w="7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rPr>
                <w:rFonts w:hint="default"/>
                <w:lang w:val="en-US"/>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23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7.属于行政执法案卷</w:t>
            </w:r>
          </w:p>
        </w:tc>
        <w:tc>
          <w:tcPr>
            <w:tcW w:w="7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rPr>
                <w:rFonts w:hint="default"/>
                <w:lang w:val="en-US"/>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23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8.属于行政查询事项</w:t>
            </w:r>
          </w:p>
        </w:tc>
        <w:tc>
          <w:tcPr>
            <w:tcW w:w="7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rPr>
                <w:rFonts w:hint="default"/>
                <w:lang w:val="en-US"/>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left"/>
              <w:textAlignment w:val="auto"/>
            </w:pPr>
            <w:r>
              <w:rPr>
                <w:rFonts w:hint="eastAsia" w:ascii="楷体" w:hAnsi="楷体" w:eastAsia="楷体" w:cs="楷体"/>
                <w:kern w:val="0"/>
                <w:sz w:val="20"/>
                <w:szCs w:val="20"/>
                <w:lang w:val="en-US" w:eastAsia="zh-CN" w:bidi="ar"/>
              </w:rPr>
              <w:t>（四）无法提供</w:t>
            </w:r>
          </w:p>
        </w:tc>
        <w:tc>
          <w:tcPr>
            <w:tcW w:w="23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1.本机关不掌握相关政府信息</w:t>
            </w:r>
          </w:p>
        </w:tc>
        <w:tc>
          <w:tcPr>
            <w:tcW w:w="7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rPr>
                <w:rFonts w:hint="default"/>
                <w:lang w:val="en-US"/>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23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2.没有现成信息需要另行制作</w:t>
            </w:r>
          </w:p>
        </w:tc>
        <w:tc>
          <w:tcPr>
            <w:tcW w:w="7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rPr>
                <w:rFonts w:hint="default"/>
                <w:lang w:val="en-US"/>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23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3.补正后申请内容仍不明确</w:t>
            </w:r>
          </w:p>
        </w:tc>
        <w:tc>
          <w:tcPr>
            <w:tcW w:w="7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rPr>
                <w:rFonts w:hint="default"/>
                <w:lang w:val="en-US"/>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left"/>
              <w:textAlignment w:val="auto"/>
              <w:rPr>
                <w:rFonts w:hint="eastAsia" w:ascii="楷体" w:hAnsi="楷体" w:eastAsia="楷体" w:cs="楷体"/>
                <w:kern w:val="0"/>
                <w:sz w:val="20"/>
                <w:szCs w:val="20"/>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left"/>
              <w:textAlignment w:val="auto"/>
            </w:pPr>
            <w:r>
              <w:rPr>
                <w:rFonts w:hint="eastAsia" w:ascii="楷体" w:hAnsi="楷体" w:eastAsia="楷体" w:cs="楷体"/>
                <w:kern w:val="0"/>
                <w:sz w:val="20"/>
                <w:szCs w:val="20"/>
                <w:lang w:val="en-US" w:eastAsia="zh-CN" w:bidi="ar"/>
              </w:rPr>
              <w:t>（五）不予处理</w:t>
            </w:r>
          </w:p>
        </w:tc>
        <w:tc>
          <w:tcPr>
            <w:tcW w:w="23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1.信访举报投诉类申请</w:t>
            </w:r>
          </w:p>
        </w:tc>
        <w:tc>
          <w:tcPr>
            <w:tcW w:w="7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rPr>
                <w:rFonts w:hint="default"/>
                <w:lang w:val="en-US"/>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23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2.重复申请</w:t>
            </w:r>
          </w:p>
        </w:tc>
        <w:tc>
          <w:tcPr>
            <w:tcW w:w="7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rPr>
                <w:rFonts w:hint="default"/>
                <w:lang w:val="en-US"/>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23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3.要求提供公开出版物</w:t>
            </w:r>
          </w:p>
        </w:tc>
        <w:tc>
          <w:tcPr>
            <w:tcW w:w="7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lang w:val="en-US"/>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23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4.无正当理由大量反复申请</w:t>
            </w:r>
          </w:p>
        </w:tc>
        <w:tc>
          <w:tcPr>
            <w:tcW w:w="7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lang w:val="en-US"/>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continue"/>
            <w:tcBorders>
              <w:top w:val="nil"/>
              <w:left w:val="nil"/>
              <w:bottom w:val="single" w:color="auto" w:sz="8"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2375" w:type="dxa"/>
            <w:tcBorders>
              <w:top w:val="nil"/>
              <w:left w:val="single" w:color="auto" w:sz="4"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5.要求行政机关确认或重新出具已获取信息</w:t>
            </w:r>
          </w:p>
        </w:tc>
        <w:tc>
          <w:tcPr>
            <w:tcW w:w="7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lang w:val="en-US"/>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restart"/>
            <w:tcBorders>
              <w:top w:val="nil"/>
              <w:left w:val="nil"/>
              <w:right w:val="single" w:color="auto" w:sz="4"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（六）其他处理</w:t>
            </w:r>
          </w:p>
        </w:tc>
        <w:tc>
          <w:tcPr>
            <w:tcW w:w="2375" w:type="dxa"/>
            <w:tcBorders>
              <w:top w:val="nil"/>
              <w:left w:val="single" w:color="auto" w:sz="4"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rPr>
                <w:rFonts w:hint="eastAsia" w:ascii="楷体" w:hAnsi="楷体" w:eastAsia="楷体" w:cs="楷体"/>
                <w:kern w:val="0"/>
                <w:sz w:val="20"/>
                <w:szCs w:val="20"/>
                <w:lang w:val="en-US" w:eastAsia="zh-CN" w:bidi="ar"/>
              </w:rPr>
            </w:pPr>
            <w:r>
              <w:rPr>
                <w:rFonts w:hint="eastAsia" w:ascii="楷体" w:hAnsi="楷体" w:eastAsia="楷体" w:cs="楷体"/>
                <w:kern w:val="0"/>
                <w:sz w:val="20"/>
                <w:szCs w:val="20"/>
                <w:lang w:val="en-US" w:eastAsia="zh-CN" w:bidi="ar"/>
              </w:rPr>
              <w:t>1.申请人无正当理由逾期不补正、行政机关不再处理其政府信息公开申请</w:t>
            </w:r>
          </w:p>
        </w:tc>
        <w:tc>
          <w:tcPr>
            <w:tcW w:w="7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lang w:val="en-US"/>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continue"/>
            <w:tcBorders>
              <w:left w:val="nil"/>
              <w:right w:val="single" w:color="auto" w:sz="4"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rPr>
                <w:rFonts w:hint="eastAsia" w:ascii="楷体" w:hAnsi="楷体" w:eastAsia="楷体" w:cs="楷体"/>
                <w:kern w:val="0"/>
                <w:sz w:val="20"/>
                <w:szCs w:val="20"/>
                <w:lang w:val="en-US" w:eastAsia="zh-CN" w:bidi="ar"/>
              </w:rPr>
            </w:pPr>
          </w:p>
        </w:tc>
        <w:tc>
          <w:tcPr>
            <w:tcW w:w="2375" w:type="dxa"/>
            <w:tcBorders>
              <w:top w:val="nil"/>
              <w:left w:val="single" w:color="auto" w:sz="4"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rPr>
                <w:rFonts w:hint="default" w:ascii="楷体" w:hAnsi="楷体" w:eastAsia="楷体" w:cs="楷体"/>
                <w:kern w:val="0"/>
                <w:sz w:val="20"/>
                <w:szCs w:val="20"/>
                <w:lang w:val="en-US" w:eastAsia="zh-CN" w:bidi="ar"/>
              </w:rPr>
            </w:pPr>
            <w:r>
              <w:rPr>
                <w:rFonts w:hint="eastAsia" w:ascii="楷体" w:hAnsi="楷体" w:eastAsia="楷体" w:cs="楷体"/>
                <w:kern w:val="0"/>
                <w:sz w:val="20"/>
                <w:szCs w:val="20"/>
                <w:lang w:val="en-US" w:eastAsia="zh-CN" w:bidi="ar"/>
              </w:rPr>
              <w:t>2.申请人逾期未按收费通知要求缴纳费用、行政机关不再处理其政府信息公开申请</w:t>
            </w:r>
          </w:p>
        </w:tc>
        <w:tc>
          <w:tcPr>
            <w:tcW w:w="7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ascii="Calibri" w:hAnsi="Calibri" w:eastAsia="宋体" w:cs="Calibri"/>
                <w:kern w:val="0"/>
                <w:sz w:val="20"/>
                <w:szCs w:val="20"/>
                <w:lang w:val="en-US" w:eastAsia="zh-CN" w:bidi="ar"/>
              </w:rPr>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ascii="Calibri" w:hAnsi="Calibri" w:eastAsia="宋体" w:cs="Calibri"/>
                <w:kern w:val="0"/>
                <w:sz w:val="20"/>
                <w:szCs w:val="20"/>
                <w:lang w:val="en-US" w:eastAsia="zh-CN" w:bidi="ar"/>
              </w:rPr>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ascii="Calibri" w:hAnsi="Calibri" w:eastAsia="宋体" w:cs="Calibri"/>
                <w:kern w:val="0"/>
                <w:sz w:val="20"/>
                <w:szCs w:val="20"/>
                <w:lang w:val="en-US" w:eastAsia="zh-CN" w:bidi="ar"/>
              </w:rPr>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ascii="Calibri" w:hAnsi="Calibri" w:eastAsia="宋体" w:cs="Calibri"/>
                <w:kern w:val="0"/>
                <w:sz w:val="20"/>
                <w:szCs w:val="20"/>
                <w:lang w:val="en-US" w:eastAsia="zh-CN" w:bidi="ar"/>
              </w:rPr>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ascii="Calibri" w:hAnsi="Calibri" w:eastAsia="宋体" w:cs="Calibri"/>
                <w:kern w:val="0"/>
                <w:sz w:val="20"/>
                <w:szCs w:val="20"/>
                <w:lang w:val="en-US" w:eastAsia="zh-CN" w:bidi="ar"/>
              </w:rPr>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ascii="Calibri" w:hAnsi="Calibri" w:eastAsia="宋体" w:cs="Calibri"/>
                <w:kern w:val="0"/>
                <w:sz w:val="20"/>
                <w:szCs w:val="20"/>
                <w:lang w:val="en-US" w:eastAsia="zh-CN" w:bidi="ar"/>
              </w:rPr>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lang w:val="en-US"/>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0" w:hRule="atLeas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continue"/>
            <w:tcBorders>
              <w:left w:val="nil"/>
              <w:bottom w:val="single" w:color="auto" w:sz="8" w:space="0"/>
              <w:right w:val="single" w:color="auto" w:sz="4"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rPr>
                <w:rFonts w:hint="eastAsia" w:ascii="楷体" w:hAnsi="楷体" w:eastAsia="楷体" w:cs="楷体"/>
                <w:kern w:val="0"/>
                <w:sz w:val="20"/>
                <w:szCs w:val="20"/>
                <w:lang w:val="en-US" w:eastAsia="zh-CN" w:bidi="ar"/>
              </w:rPr>
            </w:pPr>
          </w:p>
        </w:tc>
        <w:tc>
          <w:tcPr>
            <w:tcW w:w="2375" w:type="dxa"/>
            <w:tcBorders>
              <w:top w:val="nil"/>
              <w:left w:val="single" w:color="auto" w:sz="4"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rPr>
                <w:rFonts w:hint="default" w:ascii="楷体" w:hAnsi="楷体" w:eastAsia="楷体" w:cs="楷体"/>
                <w:kern w:val="0"/>
                <w:sz w:val="20"/>
                <w:szCs w:val="20"/>
                <w:lang w:val="en-US" w:eastAsia="zh-CN" w:bidi="ar"/>
              </w:rPr>
            </w:pPr>
            <w:r>
              <w:rPr>
                <w:rFonts w:hint="eastAsia" w:ascii="楷体" w:hAnsi="楷体" w:eastAsia="楷体" w:cs="楷体"/>
                <w:kern w:val="0"/>
                <w:sz w:val="20"/>
                <w:szCs w:val="20"/>
                <w:lang w:val="en-US" w:eastAsia="zh-CN" w:bidi="ar"/>
              </w:rPr>
              <w:t>3.其他</w:t>
            </w:r>
          </w:p>
        </w:tc>
        <w:tc>
          <w:tcPr>
            <w:tcW w:w="7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ascii="Calibri" w:hAnsi="Calibri" w:eastAsia="宋体" w:cs="Calibri"/>
                <w:kern w:val="0"/>
                <w:sz w:val="20"/>
                <w:szCs w:val="20"/>
                <w:lang w:val="en-US" w:eastAsia="zh-CN" w:bidi="ar"/>
              </w:rPr>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ascii="Calibri" w:hAnsi="Calibri" w:eastAsia="宋体" w:cs="Calibri"/>
                <w:kern w:val="0"/>
                <w:sz w:val="20"/>
                <w:szCs w:val="20"/>
                <w:lang w:val="en-US" w:eastAsia="zh-CN" w:bidi="ar"/>
              </w:rPr>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ascii="Calibri" w:hAnsi="Calibri" w:eastAsia="宋体" w:cs="Calibri"/>
                <w:kern w:val="0"/>
                <w:sz w:val="20"/>
                <w:szCs w:val="20"/>
                <w:lang w:val="en-US" w:eastAsia="zh-CN" w:bidi="ar"/>
              </w:rPr>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ascii="Calibri" w:hAnsi="Calibri" w:eastAsia="宋体" w:cs="Calibri"/>
                <w:kern w:val="0"/>
                <w:sz w:val="20"/>
                <w:szCs w:val="20"/>
                <w:lang w:val="en-US" w:eastAsia="zh-CN" w:bidi="ar"/>
              </w:rPr>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ascii="Calibri" w:hAnsi="Calibri" w:eastAsia="宋体" w:cs="Calibri"/>
                <w:kern w:val="0"/>
                <w:sz w:val="20"/>
                <w:szCs w:val="20"/>
                <w:lang w:val="en-US" w:eastAsia="zh-CN" w:bidi="ar"/>
              </w:rPr>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ascii="Calibri" w:hAnsi="Calibri" w:eastAsia="宋体" w:cs="Calibri"/>
                <w:kern w:val="0"/>
                <w:sz w:val="20"/>
                <w:szCs w:val="20"/>
                <w:lang w:val="en-US" w:eastAsia="zh-CN" w:bidi="ar"/>
              </w:rPr>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lang w:val="en-US"/>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32" w:hRule="atLeas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3232"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（七）总计</w:t>
            </w:r>
          </w:p>
        </w:tc>
        <w:tc>
          <w:tcPr>
            <w:tcW w:w="7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8</w:t>
            </w:r>
            <w:r>
              <w:rPr>
                <w:rFonts w:hint="default" w:ascii="Calibri" w:hAnsi="Calibri" w:eastAsia="宋体" w:cs="Calibri"/>
                <w:kern w:val="0"/>
                <w:sz w:val="20"/>
                <w:szCs w:val="20"/>
                <w:lang w:val="en-US" w:eastAsia="zh-CN" w:bidi="ar"/>
              </w:rPr>
              <w:t> </w:t>
            </w:r>
          </w:p>
        </w:tc>
        <w:tc>
          <w:tcPr>
            <w:tcW w:w="7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lang w:val="en-US"/>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28" w:hRule="atLeast"/>
          <w:jc w:val="center"/>
        </w:trPr>
        <w:tc>
          <w:tcPr>
            <w:tcW w:w="3850"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ascii="宋体" w:hAnsi="宋体" w:eastAsia="宋体" w:cs="宋体"/>
                <w:kern w:val="0"/>
                <w:sz w:val="20"/>
                <w:szCs w:val="20"/>
                <w:lang w:val="en-US" w:eastAsia="zh-CN" w:bidi="ar"/>
              </w:rPr>
              <w:t>四、结转下年度继续办理</w:t>
            </w:r>
          </w:p>
        </w:tc>
        <w:tc>
          <w:tcPr>
            <w:tcW w:w="7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eastAsia="宋体"/>
                <w:sz w:val="24"/>
                <w:szCs w:val="24"/>
                <w:lang w:val="en-US" w:eastAsia="zh-CN"/>
              </w:rPr>
            </w:pPr>
            <w:r>
              <w:rPr>
                <w:rFonts w:hint="eastAsia"/>
                <w:lang w:val="en-US" w:eastAsia="zh-CN"/>
              </w:rPr>
              <w:t>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color="auto" w:fill="FFFFFF"/>
        </w:rPr>
        <w:t>四、政府信息公开行政复议、行政诉讼情况</w:t>
      </w:r>
    </w:p>
    <w:tbl>
      <w:tblPr>
        <w:tblStyle w:val="6"/>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行政复议</w:t>
            </w:r>
          </w:p>
        </w:tc>
        <w:tc>
          <w:tcPr>
            <w:tcW w:w="5997" w:type="dxa"/>
            <w:gridSpan w:val="10"/>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kern w:val="0"/>
                <w:sz w:val="20"/>
                <w:szCs w:val="20"/>
                <w:lang w:val="en-US" w:eastAsia="zh-CN" w:bidi="ar"/>
              </w:rPr>
              <w:t>结果维持</w:t>
            </w:r>
          </w:p>
        </w:tc>
        <w:tc>
          <w:tcPr>
            <w:tcW w:w="604"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kern w:val="0"/>
                <w:sz w:val="20"/>
                <w:szCs w:val="20"/>
                <w:lang w:val="en-US" w:eastAsia="zh-CN" w:bidi="ar"/>
              </w:rPr>
              <w:t>结果纠正</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kern w:val="0"/>
                <w:sz w:val="20"/>
                <w:szCs w:val="20"/>
                <w:lang w:val="en-US" w:eastAsia="zh-CN" w:bidi="ar"/>
              </w:rPr>
              <w:t>其他结果</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kern w:val="0"/>
                <w:sz w:val="20"/>
                <w:szCs w:val="20"/>
                <w:lang w:val="en-US" w:eastAsia="zh-CN" w:bidi="ar"/>
              </w:rPr>
              <w:t>尚未审结</w:t>
            </w:r>
          </w:p>
        </w:tc>
        <w:tc>
          <w:tcPr>
            <w:tcW w:w="658"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kern w:val="0"/>
                <w:sz w:val="20"/>
                <w:szCs w:val="20"/>
                <w:lang w:val="en-US" w:eastAsia="zh-CN" w:bidi="ar"/>
              </w:rPr>
              <w:t>总计</w:t>
            </w:r>
          </w:p>
        </w:tc>
        <w:tc>
          <w:tcPr>
            <w:tcW w:w="2970"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kern w:val="0"/>
                <w:sz w:val="20"/>
                <w:szCs w:val="20"/>
                <w:lang w:val="en-US" w:eastAsia="zh-CN" w:bidi="ar"/>
              </w:rPr>
              <w:t>未经复议直接起诉</w:t>
            </w:r>
          </w:p>
        </w:tc>
        <w:tc>
          <w:tcPr>
            <w:tcW w:w="3027"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sz w:val="24"/>
                <w:szCs w:val="24"/>
              </w:rPr>
            </w:pPr>
          </w:p>
        </w:tc>
        <w:tc>
          <w:tcPr>
            <w:tcW w:w="60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sz w:val="24"/>
                <w:szCs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sz w:val="24"/>
                <w:szCs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sz w:val="24"/>
                <w:szCs w:val="24"/>
              </w:rPr>
            </w:pPr>
          </w:p>
        </w:tc>
        <w:tc>
          <w:tcPr>
            <w:tcW w:w="658"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sz w:val="24"/>
                <w:szCs w:val="24"/>
              </w:rPr>
            </w:pPr>
          </w:p>
        </w:tc>
        <w:tc>
          <w:tcPr>
            <w:tcW w:w="5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kern w:val="0"/>
                <w:sz w:val="20"/>
                <w:szCs w:val="20"/>
                <w:lang w:val="en-US" w:eastAsia="zh-CN" w:bidi="ar"/>
              </w:rPr>
              <w:t>结果维持</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kern w:val="0"/>
                <w:sz w:val="20"/>
                <w:szCs w:val="20"/>
                <w:lang w:val="en-US" w:eastAsia="zh-CN" w:bidi="ar"/>
              </w:rPr>
              <w:t>其他结果</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kern w:val="0"/>
                <w:sz w:val="20"/>
                <w:szCs w:val="20"/>
                <w:lang w:val="en-US" w:eastAsia="zh-CN" w:bidi="ar"/>
              </w:rPr>
              <w:t>尚未审结</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color w:val="000000"/>
                <w:kern w:val="0"/>
                <w:sz w:val="20"/>
                <w:szCs w:val="20"/>
                <w:lang w:val="en-US" w:eastAsia="zh-CN" w:bidi="ar"/>
              </w:rPr>
              <w:t>总计</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kern w:val="0"/>
                <w:sz w:val="20"/>
                <w:szCs w:val="20"/>
                <w:lang w:val="en-US" w:eastAsia="zh-CN" w:bidi="ar"/>
              </w:rPr>
              <w:t>结果维持</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color w:val="000000"/>
                <w:kern w:val="0"/>
                <w:sz w:val="20"/>
                <w:szCs w:val="20"/>
                <w:lang w:val="en-US" w:eastAsia="zh-CN" w:bidi="ar"/>
              </w:rPr>
              <w:t>其他结果</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kern w:val="0"/>
                <w:sz w:val="20"/>
                <w:szCs w:val="20"/>
                <w:lang w:val="en-US" w:eastAsia="zh-CN" w:bidi="ar"/>
              </w:rPr>
              <w:t>尚未审结</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98" w:hRule="atLeast"/>
          <w:jc w:val="center"/>
        </w:trPr>
        <w:tc>
          <w:tcPr>
            <w:tcW w:w="604"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lang w:val="en-US" w:eastAsia="zh-CN"/>
              </w:rPr>
              <w:t>0</w:t>
            </w:r>
          </w:p>
        </w:tc>
        <w:tc>
          <w:tcPr>
            <w:tcW w:w="65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lang w:val="en-US" w:eastAsia="zh-CN"/>
              </w:rPr>
              <w:t>0</w:t>
            </w:r>
          </w:p>
        </w:tc>
        <w:tc>
          <w:tcPr>
            <w:tcW w:w="5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line="560" w:lineRule="exact"/>
              <w:jc w:val="center"/>
              <w:textAlignment w:val="auto"/>
              <w:rPr>
                <w:rFonts w:hint="eastAsia" w:asciiTheme="minorEastAsia" w:hAnsiTheme="minorEastAsia" w:eastAsiaTheme="minorEastAsia" w:cstheme="minorEastAsia"/>
                <w:sz w:val="24"/>
                <w:szCs w:val="24"/>
                <w:lang w:val="en-US" w:eastAsia="zh-CN"/>
              </w:rPr>
            </w:pPr>
            <w:r>
              <w:rPr>
                <w:rFonts w:hint="eastAsia"/>
                <w:lang w:val="en-US" w:eastAsia="zh-CN"/>
              </w:rPr>
              <w:t>0</w:t>
            </w:r>
          </w:p>
        </w:tc>
      </w:tr>
    </w:tbl>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i w:val="0"/>
          <w:caps w:val="0"/>
          <w:color w:val="333333"/>
          <w:spacing w:val="0"/>
          <w:sz w:val="32"/>
          <w:szCs w:val="32"/>
          <w:shd w:val="clear" w:color="auto" w:fill="FFFFFF"/>
        </w:rPr>
      </w:pPr>
      <w:r>
        <w:rPr>
          <w:rFonts w:hint="eastAsia" w:ascii="黑体" w:hAnsi="黑体" w:eastAsia="黑体" w:cs="黑体"/>
          <w:b w:val="0"/>
          <w:bCs/>
          <w:i w:val="0"/>
          <w:caps w:val="0"/>
          <w:color w:val="333333"/>
          <w:spacing w:val="0"/>
          <w:sz w:val="32"/>
          <w:szCs w:val="32"/>
          <w:shd w:val="clear" w:color="auto" w:fill="FFFFFF"/>
          <w:lang w:eastAsia="zh-CN"/>
        </w:rPr>
        <w:t>五、</w:t>
      </w:r>
      <w:r>
        <w:rPr>
          <w:rFonts w:hint="eastAsia" w:ascii="黑体" w:hAnsi="黑体" w:eastAsia="黑体" w:cs="黑体"/>
          <w:b w:val="0"/>
          <w:bCs/>
          <w:i w:val="0"/>
          <w:caps w:val="0"/>
          <w:color w:val="333333"/>
          <w:spacing w:val="0"/>
          <w:sz w:val="32"/>
          <w:szCs w:val="32"/>
          <w:shd w:val="clear" w:color="auto" w:fill="FFFFFF"/>
        </w:rPr>
        <w:t>存在的主要问题及改进情况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宋体" w:hAnsi="宋体" w:eastAsia="仿宋_GB2312" w:cs="宋体"/>
          <w:i w:val="0"/>
          <w:caps w:val="0"/>
          <w:color w:val="333333"/>
          <w:spacing w:val="0"/>
          <w:sz w:val="24"/>
          <w:szCs w:val="24"/>
          <w:lang w:eastAsia="zh-CN"/>
        </w:rPr>
      </w:pPr>
      <w:r>
        <w:rPr>
          <w:rFonts w:hint="eastAsia" w:ascii="仿宋_GB2312" w:hAnsi="微软雅黑" w:eastAsia="仿宋_GB2312" w:cs="仿宋_GB2312"/>
          <w:b w:val="0"/>
          <w:color w:val="333333"/>
          <w:sz w:val="32"/>
          <w:szCs w:val="32"/>
          <w:shd w:val="clear" w:fill="FFFFFF"/>
          <w:lang w:val="en-US" w:eastAsia="zh-CN"/>
        </w:rPr>
        <w:t>一是政务信息公开审查流程需要进一步完善，严格执行审批制度，确保政务信息公开的严谨性。二是政府信息公开工作的人员队伍需要加强，针对相关流程的培训学习不足，业务能力需要提升。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color="auto" w:fill="FFFFFF"/>
        </w:rPr>
        <w:t>六、其他需要报告的事项</w:t>
      </w:r>
    </w:p>
    <w:p>
      <w:pPr>
        <w:pStyle w:val="4"/>
        <w:keepNext w:val="0"/>
        <w:keepLines w:val="0"/>
        <w:widowControl/>
        <w:suppressLineNumbers w:val="0"/>
        <w:shd w:val="clear" w:fill="FFFFFF"/>
        <w:spacing w:before="30" w:beforeAutospacing="0" w:after="0" w:afterAutospacing="0" w:line="420" w:lineRule="atLeast"/>
        <w:ind w:left="0" w:right="0" w:firstLine="645"/>
        <w:jc w:val="both"/>
        <w:rPr>
          <w:color w:val="333333"/>
        </w:rPr>
      </w:pPr>
      <w:r>
        <w:rPr>
          <w:rFonts w:hint="eastAsia" w:ascii="仿宋_GB2312" w:hAnsi="仿宋_GB2312" w:eastAsia="仿宋_GB2312" w:cs="仿宋_GB2312"/>
          <w:sz w:val="32"/>
          <w:szCs w:val="32"/>
        </w:rPr>
        <w:t>认真贯彻执行国务院办公厅《政府信息公开信息处理费管理办法》</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《关于政府信息公开处理费管理有关事项的通知》。202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科工统计局</w:t>
      </w:r>
      <w:bookmarkStart w:id="0" w:name="_GoBack"/>
      <w:bookmarkEnd w:id="0"/>
      <w:r>
        <w:rPr>
          <w:rFonts w:hint="eastAsia" w:ascii="仿宋_GB2312" w:hAnsi="仿宋_GB2312" w:eastAsia="仿宋_GB2312" w:cs="仿宋_GB2312"/>
          <w:sz w:val="32"/>
          <w:szCs w:val="32"/>
          <w:highlight w:val="none"/>
        </w:rPr>
        <w:t>未</w:t>
      </w:r>
      <w:r>
        <w:rPr>
          <w:rFonts w:hint="eastAsia" w:ascii="仿宋_GB2312" w:hAnsi="仿宋_GB2312" w:eastAsia="仿宋_GB2312" w:cs="仿宋_GB2312"/>
          <w:sz w:val="32"/>
          <w:szCs w:val="32"/>
        </w:rPr>
        <w:t>收取信息处理费。</w:t>
      </w:r>
      <w:r>
        <w:rPr>
          <w:rFonts w:hint="eastAsia" w:ascii="微软雅黑" w:hAnsi="微软雅黑" w:eastAsia="微软雅黑" w:cs="微软雅黑"/>
          <w:b w:val="0"/>
          <w:color w:val="333333"/>
          <w:sz w:val="22"/>
          <w:szCs w:val="22"/>
          <w:shd w:val="clear" w:fill="FFFFFF"/>
        </w:rPr>
        <w:t xml:space="preserve"> </w:t>
      </w:r>
    </w:p>
    <w:p>
      <w:pPr>
        <w:pStyle w:val="4"/>
        <w:keepNext w:val="0"/>
        <w:keepLines w:val="0"/>
        <w:widowControl/>
        <w:suppressLineNumbers w:val="0"/>
        <w:shd w:val="clear" w:fill="FFFFFF"/>
        <w:spacing w:before="30" w:beforeAutospacing="0" w:after="0" w:afterAutospacing="0" w:line="420" w:lineRule="atLeast"/>
        <w:ind w:left="0" w:right="0" w:firstLine="645"/>
        <w:jc w:val="both"/>
        <w:rPr>
          <w:rFonts w:hint="eastAsia" w:ascii="仿宋_GB2312" w:hAnsi="仿宋_GB2312" w:eastAsia="仿宋_GB2312" w:cs="仿宋_GB2312"/>
          <w:sz w:val="32"/>
          <w:szCs w:val="32"/>
          <w:highlight w:val="none"/>
          <w:lang w:val="en-US" w:eastAsia="zh-CN"/>
        </w:rPr>
      </w:pPr>
    </w:p>
    <w:p>
      <w:pPr>
        <w:pStyle w:val="4"/>
        <w:keepNext w:val="0"/>
        <w:keepLines w:val="0"/>
        <w:widowControl/>
        <w:suppressLineNumbers w:val="0"/>
        <w:shd w:val="clear" w:fill="FFFFFF"/>
        <w:spacing w:before="30" w:beforeAutospacing="0" w:after="0" w:afterAutospacing="0" w:line="420" w:lineRule="atLeast"/>
        <w:ind w:left="0" w:right="0" w:firstLine="3859" w:firstLineChars="1206"/>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河北邢台高新技术产业开发区</w:t>
      </w:r>
    </w:p>
    <w:p>
      <w:pPr>
        <w:pStyle w:val="4"/>
        <w:keepNext w:val="0"/>
        <w:keepLines w:val="0"/>
        <w:widowControl/>
        <w:suppressLineNumbers w:val="0"/>
        <w:shd w:val="clear" w:fill="FFFFFF"/>
        <w:spacing w:before="30" w:beforeAutospacing="0" w:after="0" w:afterAutospacing="0" w:line="420" w:lineRule="atLeast"/>
        <w:ind w:left="0" w:right="0" w:firstLine="3859" w:firstLineChars="1206"/>
        <w:jc w:val="both"/>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（邢东新区）科工统计局</w:t>
      </w:r>
    </w:p>
    <w:p>
      <w:pPr>
        <w:pStyle w:val="4"/>
        <w:keepNext w:val="0"/>
        <w:keepLines w:val="0"/>
        <w:widowControl/>
        <w:suppressLineNumbers w:val="0"/>
        <w:shd w:val="clear" w:fill="FFFFFF"/>
        <w:spacing w:before="30" w:beforeAutospacing="0" w:after="0" w:afterAutospacing="0" w:line="420" w:lineRule="atLeast"/>
        <w:ind w:right="0" w:firstLine="4480" w:firstLineChars="1400"/>
        <w:jc w:val="both"/>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2024年1月25日</w:t>
      </w:r>
    </w:p>
    <w:p/>
    <w:sectPr>
      <w:pgSz w:w="11906" w:h="16838"/>
      <w:pgMar w:top="2154"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6EF8C1"/>
    <w:multiLevelType w:val="singleLevel"/>
    <w:tmpl w:val="EB6EF8C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zYzAyMzBiY2MxYzZhMGU4MTNjNTg5NjQ3ZTA3YmMifQ=="/>
  </w:docVars>
  <w:rsids>
    <w:rsidRoot w:val="15C578C3"/>
    <w:rsid w:val="021E1FB7"/>
    <w:rsid w:val="030B1E85"/>
    <w:rsid w:val="03636DC6"/>
    <w:rsid w:val="04380733"/>
    <w:rsid w:val="046855E1"/>
    <w:rsid w:val="076B2C00"/>
    <w:rsid w:val="077D7A80"/>
    <w:rsid w:val="0A4E0A8D"/>
    <w:rsid w:val="0A5533E9"/>
    <w:rsid w:val="100359CA"/>
    <w:rsid w:val="10844CA1"/>
    <w:rsid w:val="15C578C3"/>
    <w:rsid w:val="1BE00CEA"/>
    <w:rsid w:val="1EFB1C1A"/>
    <w:rsid w:val="21C523C7"/>
    <w:rsid w:val="24BD6225"/>
    <w:rsid w:val="25B737CE"/>
    <w:rsid w:val="281F66F4"/>
    <w:rsid w:val="29F44FA0"/>
    <w:rsid w:val="2CBE018F"/>
    <w:rsid w:val="35CF5B56"/>
    <w:rsid w:val="3A7D5C17"/>
    <w:rsid w:val="3ACB5377"/>
    <w:rsid w:val="3C884423"/>
    <w:rsid w:val="3E3D10AA"/>
    <w:rsid w:val="4D8B54B8"/>
    <w:rsid w:val="5AB752E1"/>
    <w:rsid w:val="5CD27C33"/>
    <w:rsid w:val="62A32E55"/>
    <w:rsid w:val="6506649E"/>
    <w:rsid w:val="65954057"/>
    <w:rsid w:val="65BE740A"/>
    <w:rsid w:val="668034CF"/>
    <w:rsid w:val="6B6B4C7B"/>
    <w:rsid w:val="6EB02969"/>
    <w:rsid w:val="6EF52D5E"/>
    <w:rsid w:val="72080CB8"/>
    <w:rsid w:val="746A588D"/>
    <w:rsid w:val="74C46894"/>
    <w:rsid w:val="760A0D5A"/>
    <w:rsid w:val="79CD3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Body Text"/>
    <w:basedOn w:val="1"/>
    <w:unhideWhenUsed/>
    <w:qFormat/>
    <w:uiPriority w:val="99"/>
    <w:rPr>
      <w:rFonts w:eastAsia="仿宋_GB2312"/>
      <w:sz w:val="32"/>
      <w:szCs w:val="20"/>
    </w:rPr>
  </w:style>
  <w:style w:type="paragraph" w:styleId="4">
    <w:name w:val="Normal (Web)"/>
    <w:basedOn w:val="1"/>
    <w:unhideWhenUsed/>
    <w:qFormat/>
    <w:uiPriority w:val="99"/>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SA"/>
    </w:rPr>
  </w:style>
  <w:style w:type="paragraph" w:styleId="5">
    <w:name w:val="Body Text First Indent"/>
    <w:basedOn w:val="3"/>
    <w:autoRedefine/>
    <w:unhideWhenUsed/>
    <w:qFormat/>
    <w:uiPriority w:val="99"/>
    <w:pPr>
      <w:spacing w:after="120"/>
      <w:ind w:firstLine="420" w:firstLineChars="100"/>
    </w:pPr>
    <w:rPr>
      <w:rFonts w:eastAsia="宋体"/>
      <w:sz w:val="21"/>
      <w:szCs w:val="22"/>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numbering.xml" Type="http://schemas.openxmlformats.org/officeDocument/2006/relationships/numbering"/><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2020</Words>
  <Characters>2062</Characters>
  <Lines>0</Lines>
  <Paragraphs>0</Paragraphs>
  <TotalTime>12</TotalTime>
  <ScaleCrop>false</ScaleCrop>
  <LinksUpToDate>false</LinksUpToDate>
  <CharactersWithSpaces>2078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2021-01-08T11:25:00Z</dcterms:created>
  <dc:creator>Administrator</dc:creator>
  <cp:lastModifiedBy>Lee</cp:lastModifiedBy>
  <cp:lastPrinted>2024-01-25T07:05:00Z</cp:lastPrinted>
  <dcterms:modified xsi:type="dcterms:W3CDTF">2024-01-29T08:53:37Z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66538A0046C548CA94B8D303063F2060_13</vt:lpwstr>
  </property>
</Properties>
</file>