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1404" w:beforeLines="450" w:after="312" w:afterLines="100" w:line="540" w:lineRule="exact"/>
        <w:jc w:val="center"/>
        <w:textAlignment w:val="auto"/>
        <w:rPr>
          <w:rFonts w:ascii="宋体" w:cs="Times New Roman"/>
          <w:b/>
          <w:bCs/>
          <w:color w:val="FF0000"/>
          <w:spacing w:val="40"/>
          <w:w w:val="80"/>
          <w:sz w:val="110"/>
          <w:szCs w:val="110"/>
        </w:rPr>
      </w:pPr>
      <w:r>
        <w:rPr>
          <w:rFonts w:hint="eastAsia" w:ascii="宋体" w:hAnsi="宋体" w:cs="宋体"/>
          <w:b/>
          <w:bCs/>
          <w:color w:val="FF0000"/>
          <w:spacing w:val="40"/>
          <w:w w:val="80"/>
          <w:sz w:val="110"/>
          <w:szCs w:val="110"/>
        </w:rPr>
        <w:t>邢台市财政局文件</w:t>
      </w: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640" w:firstLineChars="200"/>
        <w:jc w:val="center"/>
        <w:textAlignment w:val="auto"/>
        <w:rPr>
          <w:rFonts w:ascii="仿宋_GB2312" w:eastAsia="仿宋_GB2312" w:cs="Times New Roman"/>
          <w:sz w:val="32"/>
          <w:szCs w:val="32"/>
        </w:rPr>
      </w:pPr>
    </w:p>
    <w:p>
      <w:pPr>
        <w:keepNext w:val="0"/>
        <w:keepLines w:val="0"/>
        <w:pageBreakBefore w:val="0"/>
        <w:widowControl w:val="0"/>
        <w:kinsoku/>
        <w:wordWrap/>
        <w:overflowPunct/>
        <w:topLinePunct w:val="0"/>
        <w:autoSpaceDE/>
        <w:autoSpaceDN/>
        <w:bidi w:val="0"/>
        <w:spacing w:line="540" w:lineRule="exact"/>
        <w:ind w:firstLine="420" w:firstLineChars="200"/>
        <w:jc w:val="center"/>
        <w:textAlignment w:val="auto"/>
        <w:rPr>
          <w:rFonts w:ascii="仿宋_GB2312" w:eastAsia="仿宋_GB2312" w:cs="Times New Roman"/>
          <w:sz w:val="32"/>
          <w:szCs w:val="32"/>
        </w:rPr>
      </w:pPr>
      <w: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352425</wp:posOffset>
                </wp:positionV>
                <wp:extent cx="5706745" cy="0"/>
                <wp:effectExtent l="0" t="12700" r="8255" b="15875"/>
                <wp:wrapNone/>
                <wp:docPr id="1" name="直接箭头连接符 1"/>
                <wp:cNvGraphicFramePr/>
                <a:graphic xmlns:a="http://schemas.openxmlformats.org/drawingml/2006/main">
                  <a:graphicData uri="http://schemas.microsoft.com/office/word/2010/wordprocessingShape">
                    <wps:wsp>
                      <wps:cNvCnPr>
                        <a:cxnSpLocks noChangeShapeType="true"/>
                      </wps:cNvCnPr>
                      <wps:spPr bwMode="auto">
                        <a:xfrm>
                          <a:off x="0" y="0"/>
                          <a:ext cx="5706745" cy="0"/>
                        </a:xfrm>
                        <a:prstGeom prst="straightConnector1">
                          <a:avLst/>
                        </a:prstGeom>
                        <a:noFill/>
                        <a:ln w="25400">
                          <a:solidFill>
                            <a:srgbClr val="FF0000"/>
                          </a:solidFill>
                          <a:round/>
                        </a:ln>
                      </wps:spPr>
                      <wps:bodyPr/>
                    </wps:wsp>
                  </a:graphicData>
                </a:graphic>
              </wp:anchor>
            </w:drawing>
          </mc:Choice>
          <mc:Fallback>
            <w:pict>
              <v:shape id="_x0000_s1026" o:spid="_x0000_s1026" o:spt="32" type="#_x0000_t32" style="position:absolute;left:0pt;margin-left:3.1pt;margin-top:27.75pt;height:0pt;width:449.35pt;z-index:251659264;mso-width-relative:page;mso-height-relative:page;" filled="f" stroked="t" coordsize="21600,21600" o:gfxdata="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dzzuD1QAAAAcBAAAPAAAAAAAAAAEAIAAAADgAAABkcnMvZG93bnJldi54bWxQSwECFAAU&#10;AAAACACHTuJA+qaBn94BAAB0AwAADgAAAAAAAAABACAAAAA6AQAAZHJzL2Uyb0RvYy54bWxQSwUG&#10;AAAAAAYABgBZAQAAigUAAAAA&#10;">
                <v:fill on="f" focussize="0,0"/>
                <v:stroke weight="2pt" color="#FF0000" joinstyle="round"/>
                <v:imagedata o:title=""/>
                <o:lock v:ext="edit" aspectratio="f"/>
              </v:shape>
            </w:pict>
          </mc:Fallback>
        </mc:AlternateContent>
      </w:r>
      <w:r>
        <w:rPr>
          <w:rFonts w:hint="eastAsia" w:ascii="仿宋_GB2312" w:eastAsia="仿宋_GB2312" w:cs="仿宋_GB2312"/>
          <w:sz w:val="32"/>
          <w:szCs w:val="32"/>
        </w:rPr>
        <w:t>邢市财监〔</w:t>
      </w:r>
      <w:r>
        <w:rPr>
          <w:rFonts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540" w:lineRule="exact"/>
        <w:ind w:firstLine="880" w:firstLineChars="200"/>
        <w:textAlignment w:val="auto"/>
        <w:rPr>
          <w:rFonts w:ascii="方正小标宋简体" w:hAnsi="方正小标宋简体"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邢台市财政局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关于印发《</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年度邢台市财政局“双随机、一公开”监管工作实施方案》的通知</w:t>
      </w:r>
    </w:p>
    <w:p>
      <w:pPr>
        <w:keepNext w:val="0"/>
        <w:keepLines w:val="0"/>
        <w:pageBreakBefore w:val="0"/>
        <w:widowControl w:val="0"/>
        <w:kinsoku/>
        <w:wordWrap/>
        <w:overflowPunct/>
        <w:topLinePunct w:val="0"/>
        <w:autoSpaceDE/>
        <w:autoSpaceDN/>
        <w:bidi w:val="0"/>
        <w:adjustRightInd w:val="0"/>
        <w:snapToGrid w:val="0"/>
        <w:spacing w:line="540" w:lineRule="exact"/>
        <w:ind w:firstLine="294" w:firstLineChars="200"/>
        <w:jc w:val="center"/>
        <w:textAlignment w:val="auto"/>
        <w:rPr>
          <w:rFonts w:ascii="仿宋_GB2312" w:hAnsi="仿宋" w:eastAsia="仿宋_GB2312" w:cs="Times New Roman"/>
          <w:w w:val="70"/>
        </w:rPr>
      </w:pP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cs="Times New Roman"/>
          <w:snapToGrid w:val="0"/>
          <w:color w:val="000000"/>
        </w:rPr>
      </w:pPr>
      <w:bookmarkStart w:id="0" w:name="ZHUSONG"/>
      <w:r>
        <w:rPr>
          <w:rFonts w:hint="eastAsia" w:ascii="仿宋_GB2312" w:hAnsi="仿宋_GB2312" w:eastAsia="仿宋_GB2312" w:cs="仿宋_GB2312"/>
          <w:snapToGrid w:val="0"/>
          <w:color w:val="000000"/>
          <w:sz w:val="32"/>
          <w:szCs w:val="32"/>
        </w:rPr>
        <w:t>局内各相关科室：</w:t>
      </w:r>
      <w:bookmarkEnd w:id="0"/>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现将《2021年邢台市财政局“双随机，一公开”监管工作实施方案》印发给你们，请结合工作实际，认真组织实施。</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spacing w:line="540" w:lineRule="exact"/>
        <w:ind w:firstLine="420" w:firstLineChars="200"/>
        <w:textAlignment w:val="auto"/>
        <w:rPr>
          <w:rFonts w:ascii="仿宋_GB2312" w:eastAsia="仿宋_GB2312" w:cs="Times New Roman"/>
          <w:snapToGrid w:val="0"/>
          <w:color w:val="000000"/>
        </w:rPr>
      </w:pP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ascii="仿宋_GB2312" w:eastAsia="仿宋_GB2312" w:cs="Times New Roman"/>
          <w:snapToGrid w:val="0"/>
          <w:color w:val="000000"/>
        </w:rPr>
      </w:pPr>
    </w:p>
    <w:p>
      <w:pPr>
        <w:keepNext w:val="0"/>
        <w:keepLines w:val="0"/>
        <w:pageBreakBefore w:val="0"/>
        <w:widowControl w:val="0"/>
        <w:tabs>
          <w:tab w:val="left" w:pos="7513"/>
        </w:tabs>
        <w:kinsoku/>
        <w:wordWrap/>
        <w:overflowPunct/>
        <w:topLinePunct w:val="0"/>
        <w:autoSpaceDE/>
        <w:autoSpaceDN/>
        <w:bidi w:val="0"/>
        <w:spacing w:line="540" w:lineRule="exact"/>
        <w:ind w:left="420" w:leftChars="200" w:firstLine="640" w:firstLineChars="200"/>
        <w:jc w:val="center"/>
        <w:textAlignment w:val="auto"/>
        <w:rPr>
          <w:rFonts w:ascii="仿宋_GB2312" w:eastAsia="仿宋_GB2312" w:cs="Times New Roman"/>
          <w:color w:val="000000"/>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邢台市财政局</w:t>
      </w:r>
    </w:p>
    <w:p>
      <w:pPr>
        <w:keepNext w:val="0"/>
        <w:keepLines w:val="0"/>
        <w:pageBreakBefore w:val="0"/>
        <w:widowControl w:val="0"/>
        <w:tabs>
          <w:tab w:val="left" w:pos="7513"/>
        </w:tabs>
        <w:kinsoku/>
        <w:wordWrap/>
        <w:overflowPunct/>
        <w:topLinePunct w:val="0"/>
        <w:autoSpaceDE/>
        <w:autoSpaceDN/>
        <w:bidi w:val="0"/>
        <w:spacing w:line="540" w:lineRule="exact"/>
        <w:ind w:left="420" w:leftChars="200" w:firstLine="640" w:firstLineChars="200"/>
        <w:jc w:val="center"/>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lang w:val="en-US" w:eastAsia="zh-CN"/>
        </w:rPr>
        <w:t xml:space="preserve">                       </w:t>
      </w:r>
      <w:r>
        <w:rPr>
          <w:rFonts w:hint="eastAsia" w:ascii="仿宋_GB2312" w:hAnsi="仿宋_GB2312" w:eastAsia="仿宋_GB2312" w:cs="仿宋_GB2312"/>
          <w:snapToGrid w:val="0"/>
          <w:color w:val="000000"/>
          <w:sz w:val="32"/>
          <w:szCs w:val="32"/>
        </w:rPr>
        <w:t>2021年3月17日</w:t>
      </w:r>
    </w:p>
    <w:p>
      <w:pPr>
        <w:keepNext w:val="0"/>
        <w:keepLines w:val="0"/>
        <w:pageBreakBefore w:val="0"/>
        <w:widowControl w:val="0"/>
        <w:tabs>
          <w:tab w:val="left" w:pos="7513"/>
        </w:tabs>
        <w:kinsoku/>
        <w:wordWrap/>
        <w:overflowPunct/>
        <w:topLinePunct w:val="0"/>
        <w:autoSpaceDE/>
        <w:autoSpaceDN/>
        <w:bidi w:val="0"/>
        <w:spacing w:line="540" w:lineRule="exact"/>
        <w:ind w:firstLine="640" w:firstLineChars="200"/>
        <w:textAlignment w:val="auto"/>
        <w:rPr>
          <w:rFonts w:hint="default" w:ascii="仿宋_GB2312" w:hAnsi="仿宋_GB2312" w:eastAsia="仿宋_GB2312" w:cs="仿宋_GB2312"/>
          <w:snapToGrid w:val="0"/>
          <w:color w:val="000000"/>
          <w:sz w:val="32"/>
          <w:szCs w:val="32"/>
          <w:lang w:val="en-US" w:eastAsia="zh-CN"/>
        </w:rPr>
      </w:pPr>
      <w:r>
        <w:rPr>
          <w:rFonts w:hint="eastAsia" w:ascii="仿宋_GB2312" w:hAnsi="仿宋_GB2312" w:eastAsia="仿宋_GB2312" w:cs="仿宋_GB2312"/>
          <w:snapToGrid w:val="0"/>
          <w:color w:val="000000"/>
          <w:sz w:val="32"/>
          <w:szCs w:val="32"/>
          <w:lang w:val="en-US" w:eastAsia="zh-CN"/>
        </w:rPr>
        <w:t>(信息公开类型：主动公开)</w:t>
      </w:r>
    </w:p>
    <w:p>
      <w:pPr>
        <w:keepNext w:val="0"/>
        <w:keepLines w:val="0"/>
        <w:pageBreakBefore w:val="0"/>
        <w:widowControl w:val="0"/>
        <w:kinsoku/>
        <w:wordWrap/>
        <w:overflowPunct/>
        <w:topLinePunct w:val="0"/>
        <w:autoSpaceDE/>
        <w:autoSpaceDN/>
        <w:bidi w:val="0"/>
        <w:spacing w:line="540" w:lineRule="exact"/>
        <w:textAlignment w:val="auto"/>
      </w:pPr>
    </w:p>
    <w:p>
      <w:pPr>
        <w:keepNext w:val="0"/>
        <w:keepLines w:val="0"/>
        <w:pageBreakBefore w:val="0"/>
        <w:widowControl w:val="0"/>
        <w:kinsoku/>
        <w:wordWrap/>
        <w:overflowPunct/>
        <w:topLinePunct w:val="0"/>
        <w:autoSpaceDE/>
        <w:autoSpaceDN/>
        <w:bidi w:val="0"/>
        <w:spacing w:line="540" w:lineRule="exact"/>
        <w:ind w:firstLine="883" w:firstLineChars="200"/>
        <w:jc w:val="center"/>
        <w:textAlignment w:val="auto"/>
        <w:rPr>
          <w:rFonts w:hint="eastAsia" w:asciiTheme="majorEastAsia" w:hAnsiTheme="majorEastAsia" w:eastAsiaTheme="majorEastAsia" w:cstheme="majorEastAsia"/>
          <w:b/>
          <w:bCs/>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napToGrid w:val="0"/>
          <w:color w:val="000000"/>
          <w:sz w:val="44"/>
          <w:szCs w:val="44"/>
        </w:rPr>
      </w:pPr>
      <w:r>
        <w:rPr>
          <w:rFonts w:hint="eastAsia" w:ascii="方正小标宋简体" w:hAnsi="方正小标宋简体" w:eastAsia="方正小标宋简体" w:cs="方正小标宋简体"/>
          <w:b w:val="0"/>
          <w:bCs w:val="0"/>
          <w:snapToGrid w:val="0"/>
          <w:color w:val="000000"/>
          <w:sz w:val="44"/>
          <w:szCs w:val="44"/>
        </w:rPr>
        <w:t>202</w:t>
      </w:r>
      <w:r>
        <w:rPr>
          <w:rFonts w:hint="eastAsia" w:ascii="方正小标宋简体" w:hAnsi="方正小标宋简体" w:eastAsia="方正小标宋简体" w:cs="方正小标宋简体"/>
          <w:b w:val="0"/>
          <w:bCs w:val="0"/>
          <w:snapToGrid w:val="0"/>
          <w:color w:val="000000"/>
          <w:sz w:val="44"/>
          <w:szCs w:val="44"/>
          <w:lang w:val="en-US" w:eastAsia="zh-CN"/>
        </w:rPr>
        <w:t>1</w:t>
      </w:r>
      <w:r>
        <w:rPr>
          <w:rFonts w:hint="eastAsia" w:ascii="方正小标宋简体" w:hAnsi="方正小标宋简体" w:eastAsia="方正小标宋简体" w:cs="方正小标宋简体"/>
          <w:b w:val="0"/>
          <w:bCs w:val="0"/>
          <w:snapToGrid w:val="0"/>
          <w:color w:val="000000"/>
          <w:sz w:val="44"/>
          <w:szCs w:val="44"/>
        </w:rPr>
        <w:t>年邢台市财政局“双随机、一公开”</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b w:val="0"/>
          <w:bCs w:val="0"/>
          <w:snapToGrid w:val="0"/>
          <w:color w:val="000000"/>
          <w:sz w:val="44"/>
          <w:szCs w:val="44"/>
        </w:rPr>
      </w:pPr>
      <w:r>
        <w:rPr>
          <w:rFonts w:hint="eastAsia" w:ascii="方正小标宋简体" w:hAnsi="方正小标宋简体" w:eastAsia="方正小标宋简体" w:cs="方正小标宋简体"/>
          <w:b w:val="0"/>
          <w:bCs w:val="0"/>
          <w:snapToGrid w:val="0"/>
          <w:color w:val="000000"/>
          <w:sz w:val="44"/>
          <w:szCs w:val="44"/>
        </w:rPr>
        <w:t>监管工作实施方案</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Theme="majorEastAsia" w:hAnsiTheme="majorEastAsia" w:eastAsiaTheme="majorEastAsia" w:cstheme="majorEastAsia"/>
          <w:b/>
          <w:bCs/>
          <w:snapToGrid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为认真贯彻落实国务院、省政府和市政府关于深化“放管服”改革、优化营商环境部署要求，深入推进“双随机、一公开”监管工作。按照既“无事不扰”又“无处不在”的要求，减少对企业（单位）正常生产经营的干扰，震慑违法违规行为，助力全市经济高质量发展。根据省财政厅和市政府相关文件要求，结合我局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一、工作思路及目标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（一）以机制建设为基础。不断完善组织领导、随机抽查等工作机制，确保“双随机、一公开”监管全覆盖、常态化。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（二）以规范化、标准化建设为牵引。加大河北省双随机监管工作平合应用，加强“双随机、一公开”监管业务培训和</w:t>
      </w:r>
      <w:r>
        <w:rPr>
          <w:rFonts w:hint="eastAsia" w:ascii="仿宋_GB2312" w:hAnsi="仿宋_GB2312" w:eastAsia="仿宋_GB2312" w:cs="仿宋_GB2312"/>
          <w:snapToGrid w:val="0"/>
          <w:color w:val="000000"/>
          <w:sz w:val="32"/>
          <w:szCs w:val="32"/>
          <w:lang w:eastAsia="zh-CN"/>
        </w:rPr>
        <w:t>舆论</w:t>
      </w:r>
      <w:r>
        <w:rPr>
          <w:rFonts w:hint="eastAsia" w:ascii="仿宋_GB2312" w:hAnsi="仿宋_GB2312" w:eastAsia="仿宋_GB2312" w:cs="仿宋_GB2312"/>
          <w:snapToGrid w:val="0"/>
          <w:color w:val="000000"/>
          <w:sz w:val="32"/>
          <w:szCs w:val="32"/>
        </w:rPr>
        <w:t>宣传力度，规范工作流程，确保监管执法公平、公正、公开。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三）以提升监管效能为根本。大力推进科室联合、重点领域和基于信用风险分级的随机抽查模式，不断提高双随机抽查的精准性和靶向性。加大在相关监管领域非现场检查方式的探索，不断提升监管资源的利用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（四）以抽查结果运用和共治共享为突破口。在年度随机抽查占比不低于3%（国家对口部委有明确要求的除外）、抽查检查结果100%公示的前提下，确保抽查检查发现问题的</w:t>
      </w:r>
      <w:r>
        <w:rPr>
          <w:rFonts w:hint="eastAsia" w:ascii="仿宋_GB2312" w:hAnsi="仿宋_GB2312" w:eastAsia="仿宋_GB2312" w:cs="仿宋_GB2312"/>
          <w:snapToGrid w:val="0"/>
          <w:color w:val="000000"/>
          <w:sz w:val="32"/>
          <w:szCs w:val="32"/>
          <w:lang w:eastAsia="zh-CN"/>
        </w:rPr>
        <w:t>后续监管</w:t>
      </w:r>
      <w:r>
        <w:rPr>
          <w:rFonts w:hint="eastAsia" w:ascii="仿宋_GB2312" w:hAnsi="仿宋_GB2312" w:eastAsia="仿宋_GB2312" w:cs="仿宋_GB2312"/>
          <w:snapToGrid w:val="0"/>
          <w:color w:val="000000"/>
          <w:sz w:val="32"/>
          <w:szCs w:val="32"/>
        </w:rPr>
        <w:t>和处理</w:t>
      </w:r>
      <w:r>
        <w:rPr>
          <w:rFonts w:hint="eastAsia" w:ascii="仿宋_GB2312" w:hAnsi="仿宋_GB2312" w:eastAsia="仿宋_GB2312" w:cs="仿宋_GB2312"/>
          <w:snapToGrid w:val="0"/>
          <w:color w:val="000000"/>
          <w:sz w:val="32"/>
          <w:szCs w:val="32"/>
          <w:lang w:eastAsia="zh-CN"/>
        </w:rPr>
        <w:t>到位</w:t>
      </w:r>
      <w:r>
        <w:rPr>
          <w:rFonts w:hint="eastAsia" w:ascii="仿宋_GB2312" w:hAnsi="仿宋_GB2312" w:eastAsia="仿宋_GB2312" w:cs="仿宋_GB2312"/>
          <w:snapToGrid w:val="0"/>
          <w:color w:val="000000"/>
          <w:sz w:val="32"/>
          <w:szCs w:val="32"/>
        </w:rPr>
        <w:t>，</w:t>
      </w:r>
      <w:r>
        <w:rPr>
          <w:rFonts w:hint="eastAsia" w:ascii="仿宋_GB2312" w:hAnsi="仿宋_GB2312" w:eastAsia="仿宋_GB2312" w:cs="仿宋_GB2312"/>
          <w:snapToGrid w:val="0"/>
          <w:color w:val="000000"/>
          <w:sz w:val="32"/>
          <w:szCs w:val="32"/>
          <w:lang w:eastAsia="zh-CN"/>
        </w:rPr>
        <w:t>联合惩戒到位，不</w:t>
      </w:r>
      <w:r>
        <w:rPr>
          <w:rFonts w:hint="eastAsia" w:ascii="仿宋_GB2312" w:hAnsi="仿宋_GB2312" w:eastAsia="仿宋_GB2312" w:cs="仿宋_GB2312"/>
          <w:snapToGrid w:val="0"/>
          <w:color w:val="000000"/>
          <w:sz w:val="32"/>
          <w:szCs w:val="32"/>
        </w:rPr>
        <w:t>断提</w:t>
      </w:r>
      <w:r>
        <w:rPr>
          <w:rFonts w:hint="eastAsia" w:ascii="仿宋_GB2312" w:hAnsi="仿宋_GB2312" w:eastAsia="仿宋_GB2312" w:cs="仿宋_GB2312"/>
          <w:snapToGrid w:val="0"/>
          <w:color w:val="000000"/>
          <w:sz w:val="32"/>
          <w:szCs w:val="32"/>
          <w:lang w:eastAsia="zh-CN"/>
        </w:rPr>
        <w:t>升</w:t>
      </w:r>
      <w:r>
        <w:rPr>
          <w:rFonts w:hint="eastAsia" w:ascii="仿宋_GB2312" w:hAnsi="仿宋_GB2312" w:eastAsia="仿宋_GB2312" w:cs="仿宋_GB2312"/>
          <w:snapToGrid w:val="0"/>
          <w:color w:val="000000"/>
          <w:sz w:val="32"/>
          <w:szCs w:val="32"/>
        </w:rPr>
        <w:t>随机抽查的震慑力。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color w:val="000000"/>
          <w:sz w:val="32"/>
          <w:szCs w:val="32"/>
          <w:lang w:eastAsia="zh-CN"/>
        </w:rPr>
      </w:pPr>
      <w:r>
        <w:rPr>
          <w:rFonts w:hint="eastAsia" w:ascii="黑体" w:hAnsi="黑体" w:eastAsia="黑体" w:cs="黑体"/>
          <w:snapToGrid w:val="0"/>
          <w:color w:val="000000"/>
          <w:sz w:val="32"/>
          <w:szCs w:val="32"/>
        </w:rPr>
        <w:t>二、主要工作</w:t>
      </w:r>
      <w:r>
        <w:rPr>
          <w:rFonts w:hint="eastAsia" w:ascii="黑体" w:hAnsi="黑体" w:eastAsia="黑体" w:cs="黑体"/>
          <w:snapToGrid w:val="0"/>
          <w:color w:val="000000"/>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（一）持续完善“一单两库”。</w:t>
      </w:r>
      <w:r>
        <w:rPr>
          <w:rFonts w:hint="eastAsia" w:ascii="仿宋_GB2312" w:hAnsi="仿宋_GB2312" w:eastAsia="仿宋_GB2312" w:cs="仿宋_GB2312"/>
          <w:snapToGrid w:val="0"/>
          <w:color w:val="000000"/>
          <w:sz w:val="32"/>
          <w:szCs w:val="32"/>
        </w:rPr>
        <w:t>局内各相关科室应根据机构改革职能调整、法律法规规章立改废释和工作实际情况，在省财政厅随机抽查事项清单的基础上，动态调整本科室随机抽查事项清单。汇总后，形成市财政局随机抽查事项清单，并及时通过相关网站向社会公布。要结合各自监管重点，合理确定一般检查事项、重点检查事项的抽查比例；动态调整检查对象名录库和执法检查人员名录库，确保本级本部门检查对象和执法人员“应纳尽纳”；持续推进对检查对象和执法检查人员的分类标注，做到分类科学、标注统一，实现对检查对象的精准抽取、对执法人员的精准匹配，提升监管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6"/>
          <w:szCs w:val="36"/>
        </w:rPr>
      </w:pPr>
      <w:r>
        <w:rPr>
          <w:rFonts w:hint="eastAsia" w:ascii="楷体" w:hAnsi="楷体" w:eastAsia="楷体" w:cs="楷体"/>
          <w:snapToGrid w:val="0"/>
          <w:color w:val="000000"/>
          <w:sz w:val="32"/>
          <w:szCs w:val="32"/>
        </w:rPr>
        <w:t>（二）深入推进联合抽查。</w:t>
      </w:r>
      <w:r>
        <w:rPr>
          <w:rFonts w:hint="eastAsia" w:ascii="仿宋_GB2312" w:hAnsi="仿宋_GB2312" w:eastAsia="仿宋_GB2312" w:cs="仿宋_GB2312"/>
          <w:snapToGrid w:val="0"/>
          <w:color w:val="000000"/>
          <w:sz w:val="32"/>
          <w:szCs w:val="32"/>
        </w:rPr>
        <w:t>局内各相关科室要进一步健全内部联合随机抽查工作机制</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以制定年度随机抽查计划为抓手，确保内部联合抽查“能联尽联、应联必联”。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（三）规范随机抽查工作程序。</w:t>
      </w:r>
      <w:r>
        <w:rPr>
          <w:rFonts w:hint="eastAsia" w:ascii="仿宋_GB2312" w:hAnsi="仿宋_GB2312" w:eastAsia="仿宋_GB2312" w:cs="仿宋_GB2312"/>
          <w:snapToGrid w:val="0"/>
          <w:color w:val="000000"/>
          <w:sz w:val="32"/>
          <w:szCs w:val="32"/>
        </w:rPr>
        <w:t>局内各相关科室要严格按照本部门年度随机抽查计划开展抽查，制定的年度计划、实施方案及抽查结果及时向社会公开。调整年度抽查计划应严格履行相关工作程序，调整后的年度抽查计划要及时向社会公开。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（四）提升监管质量和效率。</w:t>
      </w:r>
      <w:r>
        <w:rPr>
          <w:rFonts w:hint="eastAsia" w:ascii="仿宋_GB2312" w:hAnsi="仿宋_GB2312" w:eastAsia="仿宋_GB2312" w:cs="仿宋_GB2312"/>
          <w:snapToGrid w:val="0"/>
          <w:color w:val="000000"/>
          <w:sz w:val="32"/>
          <w:szCs w:val="32"/>
        </w:rPr>
        <w:t>局内各相关科室要认真落实《河北省人民政府办公厅关于印发河北省“双随机、一公开”监管与企业信用风险分级分类相结合实施方案的通知》（冀政办字〔2020</w:t>
      </w:r>
      <w:r>
        <w:rPr>
          <w:rFonts w:hint="eastAsia" w:ascii="仿宋_GB2312" w:eastAsia="仿宋_GB2312" w:cs="仿宋_GB2312"/>
          <w:sz w:val="32"/>
          <w:szCs w:val="32"/>
        </w:rPr>
        <w:t>〕</w:t>
      </w:r>
      <w:r>
        <w:rPr>
          <w:rFonts w:hint="eastAsia" w:ascii="仿宋_GB2312" w:hAnsi="仿宋_GB2312" w:eastAsia="仿宋_GB2312" w:cs="仿宋_GB2312"/>
          <w:snapToGrid w:val="0"/>
          <w:color w:val="000000"/>
          <w:sz w:val="32"/>
          <w:szCs w:val="32"/>
        </w:rPr>
        <w:t xml:space="preserve"> 144号）要求。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1、将信用风险分类管理与“双随机、一公开”监管有机结合，对不同信用风险等级的主体，实施差异化抽查，充分体现“无事不扰”、“有事必查”。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2、要充分利用信息化手段，积极探索对相关领域、检查对象、检查事项实施非现场检查的方式方法，最大程度降低对市场主体的干扰，提高执法效能。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3、对重点检查事项、重要监管领域及高风险主体要通过加大比例和频次等监管措施，守住安全底线。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4、“双随机、一公开”监管工作要实现“三无”。即“平台之外无抽查”、“清单之外无检查”、“后续处置无例外”，确保双随机抽查的公正、公平、合法、有序。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5、抓好抽查检查结果的公示与运用。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①不断完善双随机抽查后续处置机制，规范问题线索的转办、移送等工作，依法定程序及时移交有处置权限的机构和相关部门，涉嫌犯罪的及时移送司法机关，实现监管闭环。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②加大对抽查发现的违法失信行为的信用惩戒力度，将其纳入主体的信用记录，实施联合惩戒，强化信用监管的基础性地位和市场主体诚信守法经营自律意识，提升随机抽查效能和震慑力。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③要加大对抽查检查结果的统计分析，运用基于信用风险指数变化的预警功能，提升对本科室监管领域内倾向性、普遍性问题的发现能力，有针对性实施定向抽查，消除风险</w:t>
      </w:r>
      <w:r>
        <w:rPr>
          <w:rFonts w:hint="eastAsia" w:ascii="仿宋_GB2312" w:hAnsi="仿宋_GB2312" w:eastAsia="仿宋_GB2312" w:cs="仿宋_GB2312"/>
          <w:snapToGrid w:val="0"/>
          <w:color w:val="000000"/>
          <w:sz w:val="32"/>
          <w:szCs w:val="32"/>
          <w:lang w:eastAsia="zh-CN"/>
        </w:rPr>
        <w:t>隐患</w:t>
      </w:r>
      <w:r>
        <w:rPr>
          <w:rFonts w:hint="eastAsia" w:ascii="仿宋_GB2312" w:hAnsi="仿宋_GB2312" w:eastAsia="仿宋_GB2312" w:cs="仿宋_GB2312"/>
          <w:snapToGrid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（五）加大宣传培训力度。</w:t>
      </w:r>
      <w:r>
        <w:rPr>
          <w:rFonts w:hint="eastAsia" w:ascii="仿宋_GB2312" w:hAnsi="仿宋_GB2312" w:eastAsia="仿宋_GB2312" w:cs="仿宋_GB2312"/>
          <w:snapToGrid w:val="0"/>
          <w:color w:val="000000"/>
          <w:sz w:val="32"/>
          <w:szCs w:val="32"/>
        </w:rPr>
        <w:t>局内各相关科室要进一步加大对随机抽查工作的宣传报道力度。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1、通过宣讲政策、新闻媒体报道、官方网站开辟专栏等途径，扩大企业、社会对双随机抽查监管方式的认知度，增强企业、社会对双随机抽查监管工作的理解和参与，营造浓厚的社会监督氛围。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2、要积极宣传、推介各自的好经验、好做法，示范带动全局整体工作，提升我局“双随机、一公开”监管工作的影响力。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3.要持续开展随机抽查工作培训，在年度培训计划中除了要加强对执法人员的业务培训和管理人员的系统使用培训外，还要重点强化随机抽查工作标准化、规范化培训，不断提高执法能力和监管水平，确保抽查工作规范、抽查结果认定统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napToGrid w:val="0"/>
          <w:color w:val="000000"/>
          <w:sz w:val="32"/>
          <w:szCs w:val="32"/>
        </w:rPr>
      </w:pPr>
      <w:r>
        <w:rPr>
          <w:rFonts w:hint="eastAsia" w:ascii="黑体" w:hAnsi="黑体" w:eastAsia="黑体" w:cs="黑体"/>
          <w:snapToGrid w:val="0"/>
          <w:color w:val="000000"/>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（一）提高政治站位，加强组织领导。</w:t>
      </w:r>
      <w:r>
        <w:rPr>
          <w:rFonts w:hint="eastAsia" w:ascii="仿宋_GB2312" w:hAnsi="仿宋_GB2312" w:eastAsia="仿宋_GB2312" w:cs="仿宋_GB2312"/>
          <w:snapToGrid w:val="0"/>
          <w:color w:val="000000"/>
          <w:sz w:val="32"/>
          <w:szCs w:val="32"/>
        </w:rPr>
        <w:t>“双随机</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一公开”监管工作，是党中央、国务院重点关注的改革举措，是省、市深化改革的重要内容，是简政放权、放管结合、优化服务的重要抓手。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各相关科室必须提高政治站位，加强“双随机</w:t>
      </w:r>
      <w:r>
        <w:rPr>
          <w:rFonts w:hint="eastAsia" w:ascii="仿宋_GB2312" w:hAnsi="仿宋_GB2312" w:eastAsia="仿宋_GB2312" w:cs="仿宋_GB2312"/>
          <w:snapToGrid w:val="0"/>
          <w:color w:val="000000"/>
          <w:sz w:val="32"/>
          <w:szCs w:val="32"/>
          <w:lang w:eastAsia="zh-CN"/>
        </w:rPr>
        <w:t>、</w:t>
      </w:r>
      <w:r>
        <w:rPr>
          <w:rFonts w:hint="eastAsia" w:ascii="仿宋_GB2312" w:hAnsi="仿宋_GB2312" w:eastAsia="仿宋_GB2312" w:cs="仿宋_GB2312"/>
          <w:snapToGrid w:val="0"/>
          <w:color w:val="000000"/>
          <w:sz w:val="32"/>
          <w:szCs w:val="32"/>
        </w:rPr>
        <w:t>一公开”监管工作统筹协调，建立健全相应工作机制，细化目标任务和推进措施，确保工作落到实处、取得实效。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楷体" w:hAnsi="楷体" w:eastAsia="楷体" w:cs="楷体"/>
          <w:snapToGrid w:val="0"/>
          <w:color w:val="000000"/>
          <w:sz w:val="32"/>
          <w:szCs w:val="32"/>
        </w:rPr>
        <w:t>（二）认真履行职责，积极协调配合。</w:t>
      </w:r>
      <w:r>
        <w:rPr>
          <w:rFonts w:hint="eastAsia" w:ascii="仿宋_GB2312" w:hAnsi="仿宋_GB2312" w:eastAsia="仿宋_GB2312" w:cs="仿宋_GB2312"/>
          <w:snapToGrid w:val="0"/>
          <w:color w:val="000000"/>
          <w:sz w:val="32"/>
          <w:szCs w:val="32"/>
        </w:rPr>
        <w:t>局内各相关科室要根据工作实际，合理确定抽查比例和频次，提升监管的覆盖面和问题发现率，提高随机抽查的及时性和精准性；建立联系、沟通、协调机制，加强信息交换，加强沟通，主动配合，密切协作，形成工作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（三）强化跟踪问效，加大督查力度。全面推进“双随机、一公开”监管工作的跟踪问效，以查促发现问题、以查促整改落实，不断提升“双随机、一公开”监管的震慑力和社会影响力。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r>
        <w:rPr>
          <w:rFonts w:hint="eastAsia" w:ascii="仿宋_GB2312" w:hAnsi="仿宋_GB2312" w:eastAsia="仿宋_GB2312" w:cs="仿宋_GB2312"/>
          <w:snapToGrid w:val="0"/>
          <w:color w:val="000000"/>
          <w:sz w:val="32"/>
          <w:szCs w:val="32"/>
        </w:rPr>
        <w:t>联系人：李小娇，联系电话：2228712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color w:val="000000"/>
          <w:sz w:val="32"/>
          <w:szCs w:val="32"/>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560" w:lineRule="exact"/>
        <w:ind w:firstLine="5596" w:firstLineChars="1749"/>
        <w:textAlignment w:val="auto"/>
        <w:rPr>
          <w:rFonts w:ascii="仿宋_GB2312" w:hAnsi="黑体" w:eastAsia="仿宋_GB2312" w:cs="Times New Roman"/>
          <w:sz w:val="32"/>
          <w:szCs w:val="32"/>
        </w:rPr>
      </w:pPr>
    </w:p>
    <w:p>
      <w:pPr>
        <w:keepNext w:val="0"/>
        <w:keepLines w:val="0"/>
        <w:pageBreakBefore w:val="0"/>
        <w:widowControl w:val="0"/>
        <w:pBdr>
          <w:bottom w:val="single" w:color="auto" w:sz="6" w:space="1"/>
        </w:pBdr>
        <w:kinsoku/>
        <w:wordWrap/>
        <w:overflowPunct/>
        <w:topLinePunct w:val="0"/>
        <w:autoSpaceDE/>
        <w:autoSpaceDN/>
        <w:bidi w:val="0"/>
        <w:adjustRightInd/>
        <w:snapToGrid/>
        <w:spacing w:line="560" w:lineRule="exact"/>
        <w:ind w:firstLine="5596" w:firstLineChars="1749"/>
        <w:textAlignment w:val="auto"/>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bookmarkStart w:id="1" w:name="_GoBack"/>
      <w:bookmarkEnd w:id="1"/>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ind w:firstLine="5596" w:firstLineChars="1749"/>
        <w:rPr>
          <w:rFonts w:ascii="仿宋_GB2312" w:hAnsi="黑体" w:eastAsia="仿宋_GB2312" w:cs="Times New Roman"/>
          <w:sz w:val="32"/>
          <w:szCs w:val="32"/>
        </w:rPr>
      </w:pPr>
    </w:p>
    <w:p>
      <w:pPr>
        <w:pBdr>
          <w:bottom w:val="single" w:color="auto" w:sz="6" w:space="1"/>
        </w:pBdr>
        <w:spacing w:line="460" w:lineRule="exact"/>
        <w:rPr>
          <w:rFonts w:ascii="仿宋_GB2312" w:hAnsi="黑体" w:eastAsia="仿宋_GB2312" w:cs="Times New Roman"/>
          <w:sz w:val="32"/>
          <w:szCs w:val="32"/>
        </w:rPr>
      </w:pPr>
    </w:p>
    <w:p>
      <w:pPr>
        <w:spacing w:line="580" w:lineRule="exact"/>
        <w:textAlignment w:val="bottom"/>
        <w:rPr>
          <w:rFonts w:ascii="仿宋_GB2312" w:hAnsi="黑体" w:eastAsia="仿宋_GB2312" w:cs="Times New Roman"/>
          <w:b/>
          <w:bCs/>
          <w:sz w:val="28"/>
          <w:szCs w:val="28"/>
        </w:rPr>
      </w:pPr>
      <w:r>
        <w:rPr>
          <w:rFonts w:ascii="仿宋_GB2312" w:hAnsi="宋体" w:eastAsia="仿宋_GB2312" w:cs="仿宋_GB2312"/>
          <w:color w:val="000000"/>
          <w:kern w:val="0"/>
          <w:sz w:val="28"/>
          <w:szCs w:val="28"/>
        </w:rPr>
        <w:t xml:space="preserve">  </w:t>
      </w:r>
      <w:r>
        <w:rPr>
          <w:rFonts w:hint="eastAsia" w:ascii="仿宋_GB2312" w:hAnsi="宋体" w:eastAsia="仿宋_GB2312" w:cs="仿宋_GB2312"/>
          <w:color w:val="000000"/>
          <w:kern w:val="0"/>
          <w:sz w:val="28"/>
          <w:szCs w:val="28"/>
        </w:rPr>
        <w:t>抄送：邢台市</w:t>
      </w:r>
      <w:r>
        <w:rPr>
          <w:rFonts w:hint="eastAsia" w:ascii="仿宋_GB2312" w:eastAsia="仿宋_GB2312" w:cs="仿宋_GB2312"/>
          <w:sz w:val="32"/>
          <w:szCs w:val="32"/>
        </w:rPr>
        <w:t>“</w:t>
      </w:r>
      <w:r>
        <w:rPr>
          <w:rFonts w:hint="eastAsia" w:ascii="仿宋_GB2312" w:hAnsi="宋体" w:eastAsia="仿宋_GB2312" w:cs="仿宋_GB2312"/>
          <w:color w:val="000000"/>
          <w:kern w:val="0"/>
          <w:sz w:val="28"/>
          <w:szCs w:val="28"/>
        </w:rPr>
        <w:t>双随机</w:t>
      </w:r>
      <w:r>
        <w:rPr>
          <w:rFonts w:hint="eastAsia" w:ascii="仿宋_GB2312" w:hAnsi="宋体" w:eastAsia="仿宋_GB2312" w:cs="仿宋_GB2312"/>
          <w:color w:val="000000"/>
          <w:kern w:val="0"/>
          <w:sz w:val="28"/>
          <w:szCs w:val="28"/>
          <w:lang w:eastAsia="zh-CN"/>
        </w:rPr>
        <w:t>、</w:t>
      </w:r>
      <w:r>
        <w:rPr>
          <w:rFonts w:hint="eastAsia" w:ascii="仿宋_GB2312" w:hAnsi="宋体" w:eastAsia="仿宋_GB2312" w:cs="仿宋_GB2312"/>
          <w:color w:val="000000"/>
          <w:kern w:val="0"/>
          <w:sz w:val="28"/>
          <w:szCs w:val="28"/>
        </w:rPr>
        <w:t>一公开</w:t>
      </w:r>
      <w:r>
        <w:rPr>
          <w:rFonts w:hint="eastAsia" w:ascii="仿宋_GB2312" w:eastAsia="仿宋_GB2312" w:cs="仿宋_GB2312"/>
          <w:sz w:val="32"/>
          <w:szCs w:val="32"/>
        </w:rPr>
        <w:t>”</w:t>
      </w:r>
      <w:r>
        <w:rPr>
          <w:rFonts w:hint="eastAsia" w:ascii="仿宋_GB2312" w:hAnsi="宋体" w:eastAsia="仿宋_GB2312" w:cs="仿宋_GB2312"/>
          <w:color w:val="000000"/>
          <w:kern w:val="0"/>
          <w:sz w:val="28"/>
          <w:szCs w:val="28"/>
        </w:rPr>
        <w:t>领导小组办公室。</w:t>
      </w:r>
    </w:p>
    <w:p>
      <w:pPr>
        <w:pBdr>
          <w:top w:val="single" w:color="auto" w:sz="6" w:space="1"/>
          <w:bottom w:val="single" w:color="auto" w:sz="6" w:space="1"/>
        </w:pBdr>
        <w:spacing w:line="580" w:lineRule="exact"/>
        <w:rPr>
          <w:rFonts w:hint="eastAsia" w:ascii="仿宋_GB2312" w:hAnsi="仿宋_GB2312" w:eastAsia="仿宋_GB2312" w:cs="仿宋_GB2312"/>
          <w:snapToGrid w:val="0"/>
          <w:color w:val="000000"/>
          <w:sz w:val="32"/>
          <w:szCs w:val="32"/>
        </w:rPr>
      </w:pPr>
      <w:r>
        <w:rPr>
          <w:rFonts w:ascii="仿宋_GB2312" w:hAnsi="黑体" w:eastAsia="仿宋_GB2312" w:cs="仿宋_GB2312"/>
          <w:sz w:val="28"/>
          <w:szCs w:val="28"/>
        </w:rPr>
        <w:t xml:space="preserve">  </w:t>
      </w:r>
      <w:r>
        <w:rPr>
          <w:rFonts w:hint="eastAsia" w:ascii="仿宋_GB2312" w:hAnsi="黑体" w:eastAsia="仿宋_GB2312" w:cs="仿宋_GB2312"/>
          <w:sz w:val="28"/>
          <w:szCs w:val="28"/>
        </w:rPr>
        <w:t>邢台市财政局办公室</w:t>
      </w:r>
      <w:r>
        <w:rPr>
          <w:rFonts w:ascii="仿宋_GB2312" w:hAnsi="黑体" w:eastAsia="仿宋_GB2312" w:cs="仿宋_GB2312"/>
          <w:sz w:val="28"/>
          <w:szCs w:val="28"/>
        </w:rPr>
        <w:t xml:space="preserve">               </w:t>
      </w:r>
      <w:r>
        <w:rPr>
          <w:rFonts w:hint="eastAsia" w:ascii="仿宋_GB2312" w:hAnsi="黑体" w:eastAsia="仿宋_GB2312" w:cs="仿宋_GB2312"/>
          <w:sz w:val="28"/>
          <w:szCs w:val="28"/>
        </w:rPr>
        <w:t xml:space="preserve">    </w:t>
      </w:r>
      <w:r>
        <w:rPr>
          <w:rFonts w:ascii="仿宋_GB2312" w:hAnsi="黑体" w:eastAsia="仿宋_GB2312" w:cs="仿宋_GB2312"/>
          <w:sz w:val="28"/>
          <w:szCs w:val="28"/>
        </w:rPr>
        <w:t xml:space="preserve">      202</w:t>
      </w:r>
      <w:r>
        <w:rPr>
          <w:rFonts w:hint="eastAsia" w:ascii="仿宋_GB2312" w:hAnsi="黑体" w:eastAsia="仿宋_GB2312" w:cs="仿宋_GB2312"/>
          <w:sz w:val="28"/>
          <w:szCs w:val="28"/>
          <w:lang w:val="en-US" w:eastAsia="zh-CN"/>
        </w:rPr>
        <w:t>1</w:t>
      </w:r>
      <w:r>
        <w:rPr>
          <w:rFonts w:hint="eastAsia" w:ascii="仿宋_GB2312" w:hAnsi="黑体" w:eastAsia="仿宋_GB2312" w:cs="仿宋_GB2312"/>
          <w:sz w:val="28"/>
          <w:szCs w:val="28"/>
        </w:rPr>
        <w:t>年</w:t>
      </w:r>
      <w:r>
        <w:rPr>
          <w:rFonts w:hint="eastAsia" w:ascii="仿宋_GB2312" w:hAnsi="黑体" w:eastAsia="仿宋_GB2312" w:cs="仿宋_GB2312"/>
          <w:sz w:val="28"/>
          <w:szCs w:val="28"/>
          <w:lang w:val="en-US" w:eastAsia="zh-CN"/>
        </w:rPr>
        <w:t>3</w:t>
      </w:r>
      <w:r>
        <w:rPr>
          <w:rFonts w:hint="eastAsia" w:ascii="仿宋_GB2312" w:hAnsi="黑体" w:eastAsia="仿宋_GB2312" w:cs="仿宋_GB2312"/>
          <w:sz w:val="28"/>
          <w:szCs w:val="28"/>
        </w:rPr>
        <w:t>月</w:t>
      </w:r>
      <w:r>
        <w:rPr>
          <w:rFonts w:hint="eastAsia" w:ascii="仿宋_GB2312" w:hAnsi="黑体" w:eastAsia="仿宋_GB2312" w:cs="仿宋_GB2312"/>
          <w:sz w:val="28"/>
          <w:szCs w:val="28"/>
          <w:lang w:val="en-US" w:eastAsia="zh-CN"/>
        </w:rPr>
        <w:t>1</w:t>
      </w:r>
      <w:r>
        <w:rPr>
          <w:rFonts w:ascii="仿宋_GB2312" w:hAnsi="黑体" w:eastAsia="仿宋_GB2312" w:cs="仿宋_GB2312"/>
          <w:sz w:val="28"/>
          <w:szCs w:val="28"/>
        </w:rPr>
        <w:t>7</w:t>
      </w:r>
      <w:r>
        <w:rPr>
          <w:rFonts w:hint="eastAsia" w:ascii="仿宋_GB2312" w:hAnsi="黑体" w:eastAsia="仿宋_GB2312" w:cs="仿宋_GB2312"/>
          <w:sz w:val="28"/>
          <w:szCs w:val="28"/>
        </w:rPr>
        <w:t>日印发</w:t>
      </w:r>
    </w:p>
    <w:sectPr>
      <w:footerReference r:id="rId3" w:type="default"/>
      <w:pgSz w:w="11906" w:h="16838"/>
      <w:pgMar w:top="1984"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BYAAABkcnMv&#10;UEsBAhQAFAAAAAgAh07iQMxKcLPZAAAADAEAAA8AAAAAAAAAAQAgAAAAOAAAAGRycy9kb3ducmV2&#10;LnhtbFBLAQIUABQAAAAIAIdO4kAHFBrmyQIAAOwFAAAOAAAAAAAAAAEAIAAAAD4BAABkcnMvZTJv&#10;RG9jLnhtbFBLBQYAAAAABgAGAFkBAAB5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C7BE1"/>
    <w:rsid w:val="046B468C"/>
    <w:rsid w:val="04BF379F"/>
    <w:rsid w:val="08383BC8"/>
    <w:rsid w:val="0BFA0333"/>
    <w:rsid w:val="0C922E30"/>
    <w:rsid w:val="11891052"/>
    <w:rsid w:val="188005C2"/>
    <w:rsid w:val="18AC4F64"/>
    <w:rsid w:val="195A5D27"/>
    <w:rsid w:val="1B152B8D"/>
    <w:rsid w:val="217C7BE1"/>
    <w:rsid w:val="228965D3"/>
    <w:rsid w:val="34F54AEF"/>
    <w:rsid w:val="39F727BE"/>
    <w:rsid w:val="3CE02616"/>
    <w:rsid w:val="3EBD4718"/>
    <w:rsid w:val="4CF77C53"/>
    <w:rsid w:val="4DF7391F"/>
    <w:rsid w:val="51776DE6"/>
    <w:rsid w:val="6C20136A"/>
    <w:rsid w:val="6EDC4EC2"/>
    <w:rsid w:val="74A1465D"/>
    <w:rsid w:val="772C162A"/>
    <w:rsid w:val="7751784F"/>
    <w:rsid w:val="77E95CE9"/>
    <w:rsid w:val="7C517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semiHidden/>
    <w:unhideWhenUsed/>
    <w:qFormat/>
    <w:uiPriority w:val="99"/>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2024-04-28T16:54:00Z</dcterms:created>
  <dc:creator>user</dc:creator>
  <cp:lastModifiedBy>xtsczj</cp:lastModifiedBy>
  <dcterms:modified xsi:type="dcterms:W3CDTF">2024-04-30T09:24:29Z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9841D33AF28548D29F083F43A697FD68</vt:lpwstr>
  </property>
</Properties>
</file>