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color w:val="000000"/>
          <w:sz w:val="44"/>
        </w:rPr>
      </w:pPr>
    </w:p>
    <w:p>
      <w:pPr>
        <w:jc w:val="center"/>
        <w:rPr>
          <w:rFonts w:ascii="宋体" w:hAnsi="宋体"/>
          <w:b/>
          <w:color w:val="000000"/>
          <w:sz w:val="44"/>
        </w:rPr>
      </w:pPr>
      <w:r>
        <w:rPr>
          <w:rFonts w:hint="eastAsia" w:ascii="宋体" w:hAnsi="宋体"/>
          <w:b/>
          <w:color w:val="000000"/>
          <w:sz w:val="44"/>
        </w:rPr>
        <w:t>邢台市文化广电新闻出版局2017年部门预算信息公开说明</w:t>
      </w:r>
    </w:p>
    <w:p>
      <w:pPr>
        <w:jc w:val="center"/>
        <w:rPr>
          <w:rFonts w:ascii="宋体" w:hAnsi="宋体"/>
          <w:b/>
          <w:color w:val="000000"/>
          <w:sz w:val="44"/>
        </w:rPr>
      </w:pPr>
    </w:p>
    <w:p>
      <w:pPr>
        <w:jc w:val="left"/>
        <w:rPr>
          <w:rFonts w:ascii="仿宋_GB2312" w:hAnsi="仿宋_GB2312" w:eastAsia="仿宋_GB2312"/>
          <w:sz w:val="32"/>
        </w:rPr>
      </w:pPr>
      <w:r>
        <w:rPr>
          <w:rFonts w:hint="eastAsia" w:ascii="仿宋_GB2312" w:hAnsi="仿宋_GB2312" w:eastAsia="仿宋_GB2312"/>
          <w:color w:val="000000"/>
          <w:sz w:val="32"/>
        </w:rPr>
        <w:t>按照《预算法》、《地方预决算公开操作规程》和《河北省省级预算公开办法》规定，现将邢台市文化广电新闻出版局2017年部门预算公开如下：</w:t>
      </w:r>
    </w:p>
    <w:p>
      <w:pPr>
        <w:autoSpaceDE w:val="0"/>
        <w:autoSpaceDN w:val="0"/>
        <w:rPr>
          <w:rFonts w:ascii="黑体" w:hAnsi="黑体" w:eastAsia="黑体"/>
          <w:bCs/>
          <w:color w:val="000000"/>
          <w:sz w:val="32"/>
        </w:rPr>
      </w:pPr>
      <w:r>
        <w:rPr>
          <w:rFonts w:hint="eastAsia" w:ascii="黑体" w:hAnsi="黑体" w:eastAsia="黑体"/>
          <w:bCs/>
          <w:color w:val="000000"/>
          <w:sz w:val="32"/>
        </w:rPr>
        <w:t>一、部门职责及机构设置情况</w:t>
      </w:r>
    </w:p>
    <w:p>
      <w:pPr>
        <w:spacing w:line="600" w:lineRule="exact"/>
        <w:rPr>
          <w:rFonts w:ascii="仿宋_GB2312" w:hAnsi="仿宋_GB2312" w:eastAsia="仿宋_GB2312"/>
          <w:color w:val="000000"/>
          <w:sz w:val="32"/>
        </w:rPr>
      </w:pPr>
      <w:r>
        <w:rPr>
          <w:rFonts w:hint="eastAsia" w:ascii="仿宋_GB2312" w:hAnsi="仿宋_GB2312" w:eastAsia="仿宋_GB2312"/>
          <w:b/>
          <w:bCs/>
          <w:color w:val="000000"/>
          <w:sz w:val="32"/>
        </w:rPr>
        <w:t>1、部门职责</w:t>
      </w:r>
      <w:r>
        <w:rPr>
          <w:rFonts w:hint="eastAsia" w:ascii="仿宋_GB2312" w:hAnsi="仿宋_GB2312" w:eastAsia="仿宋_GB2312"/>
          <w:color w:val="000000"/>
          <w:sz w:val="32"/>
        </w:rPr>
        <w:t>：</w:t>
      </w:r>
    </w:p>
    <w:p>
      <w:pPr>
        <w:spacing w:line="60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（一）贯彻执行国家和省关于文化艺术、广播电影电视、新闻出版、著作权和文物工作的方针政策和法律法规，拟订有关政策措施和管理办法，经市政府批准后组织实施。</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（二）拟订全市文化艺术、广播电影电视、新闻出版、文物事业发展规划并组织实施，推进文化领域、广播电影电视领域和新闻出版业的体制机制改革。</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（三）指导、管理全市文学艺术事业，指导艺术创作与生产，推动各门类艺术的发展，管理全市性重大文化活动。</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（四）负责推动全市文化艺术领域的公共文化服务，规划、引导公共文化产品生产，指导市重点文化设施建设和基层文化设施建设。</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（五）管理、指导全市社会文化事业，指导图书馆、文化馆（站）事业和基层文化建设。</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（六）拟订全市非物质文化遗产保护规划，起草有关管理办法，组织实施非物质文化遗产保护和优秀民族文化的传承普及工作。</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（七）拟订全市文化市场发展规划，负责并指导全市文化市场综合执法工作；负责对文化艺术经营活动进行行业监管；负责对从事演艺活动的民办机构的监管工作。</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（八）拟订全市文化艺术产业发展规划，指导、协调文化艺术产业发展。</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（九）负责全市文艺类产品网上传播的监管工作，负责对网吧等上网服务营业场所实行经营许可证管理，对网络游戏服务进行监管。</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(十)拟订全市动漫、游戏产业发展规划并组织实施，管理和指导协调动漫、游戏产业发展。</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（十一）拟订全市文化科技发展规划并组织实施，推进文化科技信息建设。</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（十二）负责监督管理全市出版活动，组织查处违规出版物和违法违规出版活动，对从事出版活动的民办机构进行监管。</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（十三）负责对全市新闻出版单位进行行业监管。</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（十四）负责全市出版物内容监管工作。</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（十五）负责对全市互联网出版活动和开办手机书刊、手机文学业务的监管。</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（十六）拟订全市出版市场和互联网“扫黄打非”计划并组织实施，负责组织查处非法出版物和非法出版活动。</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（十七）拟订全市出版物市场的调控政策、措施，经批准后组织实施，负责并指导对出版物市场经营活动的监管工作。</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（十八）负责全市新闻单位记者证的管理工作，负责市内报刊社、通讯社分支机构、记者站的监管工作，组织查处新闻违法活动。</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（十九）负责全市印刷业的监督管理。</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（二十）负责全市著作权管理工作，组织查处著作权侵权案件和涉外侵权案件。</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（二十一）负责世界文化遗产保护和管理的监督工作，组织世界文化遗产申报，协同建设等部门组织世界文化和自然双重遗产申报，协同建设等部门负责历史文化名城（镇、村）保护和监督管理工作。</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（二十二）负责管理和指导全市考古工作，组织、协调重大文物保护和考古项目的实施，承担确定市级文物保护单位的有关工作。</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（二十三）负责推动完善文物和博物馆公共服务体系建设，拟订全市文物和博物馆公共资源共享规划并推动实施，指导全市文物和博物馆的业务工作，协调博物馆间的交流与协作。负责文物鉴定有关工作。</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（二十四）负责文物和博物馆有关审核、审批事务；监督文物商店的购销活动。</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（二十五）编制文物和博物馆科技、信息化、标准化的规划并推动落实，组织开展重大文物保护科技创新工程、促进文物保护科技成果的转化和推广。</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（二十六）负责文物保护经费的管理，拟订全市文物利用及相关产业规划。</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（二十七）负责协调和指导文物保护工作，履行文物行政执法督查职责，依法组织查处文物违法的重大案件，协同有关部门查处文物犯罪的重大案件。</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（二十八）组织推进全市广播电影电视领域的公共服务，组织实施全市广播电影电视重大工程，扶助山区和贫困县广播电影电视建设和发展，指导和监管全市广播电影电视重点基础设施建设。</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（二十九）负责全市广播电影电视、信息网络视听节目服务机构和业务的监管并实施准入和退出管理有关工作，负责对全市从事广播电影电视节目制作民办机构的监管工作。</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（三十）监管全市广播电影电视节目、信息网络视听节目和公共视听载体播放的视听节目，审查其内容和质量。</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（三十一）指导全市广播电影电视和信息网络视听节目服务科技工作，负责监管全市广播电影电视节目传输、监测和安全播出，指导督查全市广播电影电视安全保卫工作。</w:t>
      </w:r>
    </w:p>
    <w:p>
      <w:pPr>
        <w:spacing w:line="60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（三十二）指导、协调全市广播电影电视事业、产业发展，管理全市重大广播电影电视活动。</w:t>
      </w:r>
    </w:p>
    <w:p>
      <w:pPr>
        <w:spacing w:line="62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（三十三）负责全市文化艺术、广播电影电视、新闻出版、著作权、文物的对外交流和合作工作，负责全市对外文化宣传、文物保护宣传和出版物的进口管理工作，协调推动出版物的进出口。</w:t>
      </w:r>
    </w:p>
    <w:p>
      <w:pPr>
        <w:spacing w:line="62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（三十四）拟订全市文化艺术、广播电影电视、新闻出版和著作权管理以及文物和博物馆有关人才队伍建设规划并组织实施。</w:t>
      </w:r>
    </w:p>
    <w:p>
      <w:pPr>
        <w:spacing w:line="620" w:lineRule="exact"/>
        <w:ind w:firstLine="645"/>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（三十五）承办市政府交办的其他事项。</w:t>
      </w:r>
    </w:p>
    <w:p>
      <w:pPr>
        <w:tabs>
          <w:tab w:val="left" w:pos="1395"/>
        </w:tabs>
        <w:spacing w:line="760" w:lineRule="exact"/>
        <w:rPr>
          <w:rFonts w:ascii="仿宋_GB2312" w:hAnsi="仿宋_GB2312" w:eastAsia="仿宋_GB2312" w:cs="黑体"/>
          <w:b/>
          <w:kern w:val="0"/>
          <w:sz w:val="32"/>
          <w:szCs w:val="32"/>
        </w:rPr>
      </w:pPr>
      <w:r>
        <w:rPr>
          <w:rFonts w:hint="eastAsia" w:ascii="仿宋_GB2312" w:hAnsi="仿宋_GB2312" w:eastAsia="仿宋_GB2312" w:cs="黑体"/>
          <w:b/>
          <w:kern w:val="0"/>
          <w:sz w:val="32"/>
          <w:szCs w:val="32"/>
        </w:rPr>
        <w:t xml:space="preserve">2、机构设置 </w:t>
      </w:r>
    </w:p>
    <w:p>
      <w:pPr>
        <w:autoSpaceDE w:val="0"/>
        <w:autoSpaceDN w:val="0"/>
        <w:adjustRightInd w:val="0"/>
        <w:ind w:firstLine="707" w:firstLineChars="221"/>
        <w:jc w:val="left"/>
        <w:rPr>
          <w:rFonts w:ascii="仿宋_GB2312" w:hAnsi="仿宋_GB2312" w:eastAsia="仿宋_GB2312" w:cs="黑体"/>
          <w:b/>
          <w:kern w:val="0"/>
          <w:sz w:val="32"/>
          <w:szCs w:val="32"/>
        </w:rPr>
      </w:pPr>
      <w:r>
        <w:rPr>
          <w:rFonts w:hint="eastAsia" w:ascii="仿宋_GB2312" w:hAnsi="仿宋_GB2312" w:eastAsia="仿宋_GB2312"/>
          <w:kern w:val="0"/>
          <w:sz w:val="32"/>
          <w:szCs w:val="32"/>
        </w:rPr>
        <w:t>邢台市文化广电新闻出版局部门机构设置情况：</w:t>
      </w:r>
    </w:p>
    <w:tbl>
      <w:tblPr>
        <w:tblStyle w:val="4"/>
        <w:tblW w:w="13020" w:type="dxa"/>
        <w:tblInd w:w="8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1"/>
        <w:gridCol w:w="3543"/>
        <w:gridCol w:w="2477"/>
        <w:gridCol w:w="27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Pr>
          <w:p>
            <w:pPr>
              <w:autoSpaceDE w:val="0"/>
              <w:autoSpaceDN w:val="0"/>
              <w:adjustRightInd w:val="0"/>
              <w:jc w:val="left"/>
              <w:rPr>
                <w:rFonts w:ascii="仿宋_GB2312" w:hAnsi="仿宋_GB2312" w:eastAsia="仿宋_GB2312"/>
                <w:bCs/>
                <w:kern w:val="0"/>
                <w:sz w:val="24"/>
              </w:rPr>
            </w:pPr>
            <w:r>
              <w:rPr>
                <w:rFonts w:ascii="Times New Roman" w:hAnsi="Times New Roman" w:eastAsia="方正书宋_GBK"/>
                <w:bCs/>
                <w:sz w:val="24"/>
              </w:rPr>
              <w:t>单位名称</w:t>
            </w:r>
          </w:p>
        </w:tc>
        <w:tc>
          <w:tcPr>
            <w:tcW w:w="3543" w:type="dxa"/>
          </w:tcPr>
          <w:p>
            <w:pPr>
              <w:autoSpaceDE w:val="0"/>
              <w:autoSpaceDN w:val="0"/>
              <w:adjustRightInd w:val="0"/>
              <w:jc w:val="left"/>
              <w:rPr>
                <w:rFonts w:ascii="仿宋_GB2312" w:hAnsi="仿宋_GB2312" w:eastAsia="仿宋_GB2312"/>
                <w:bCs/>
                <w:kern w:val="0"/>
                <w:sz w:val="24"/>
              </w:rPr>
            </w:pPr>
            <w:r>
              <w:rPr>
                <w:rFonts w:ascii="Times New Roman" w:hAnsi="Times New Roman" w:eastAsia="方正书宋_GBK"/>
                <w:bCs/>
                <w:sz w:val="24"/>
              </w:rPr>
              <w:t>单位性质</w:t>
            </w:r>
          </w:p>
        </w:tc>
        <w:tc>
          <w:tcPr>
            <w:tcW w:w="2477" w:type="dxa"/>
          </w:tcPr>
          <w:p>
            <w:pPr>
              <w:autoSpaceDE w:val="0"/>
              <w:autoSpaceDN w:val="0"/>
              <w:adjustRightInd w:val="0"/>
              <w:jc w:val="left"/>
              <w:rPr>
                <w:rFonts w:ascii="仿宋_GB2312" w:hAnsi="仿宋_GB2312" w:eastAsia="仿宋_GB2312"/>
                <w:bCs/>
                <w:kern w:val="0"/>
                <w:sz w:val="24"/>
              </w:rPr>
            </w:pPr>
            <w:r>
              <w:rPr>
                <w:rFonts w:ascii="Times New Roman" w:hAnsi="Times New Roman" w:eastAsia="方正书宋_GBK"/>
                <w:bCs/>
                <w:sz w:val="24"/>
              </w:rPr>
              <w:t>单位规格</w:t>
            </w:r>
          </w:p>
        </w:tc>
        <w:tc>
          <w:tcPr>
            <w:tcW w:w="2769" w:type="dxa"/>
          </w:tcPr>
          <w:p>
            <w:pPr>
              <w:autoSpaceDE w:val="0"/>
              <w:autoSpaceDN w:val="0"/>
              <w:adjustRightInd w:val="0"/>
              <w:jc w:val="left"/>
              <w:rPr>
                <w:rFonts w:ascii="仿宋_GB2312" w:hAnsi="仿宋_GB2312" w:eastAsia="仿宋_GB2312"/>
                <w:bCs/>
                <w:kern w:val="0"/>
                <w:sz w:val="24"/>
              </w:rPr>
            </w:pPr>
            <w:r>
              <w:rPr>
                <w:rFonts w:ascii="Times New Roman" w:hAnsi="Times New Roman" w:eastAsia="方正书宋_GBK"/>
                <w:bCs/>
                <w:sz w:val="24"/>
              </w:rPr>
              <w:t>经费保障形式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邢台市文化广电新闻出版局（机关）</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正处级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邢台市图书馆</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邢台市群众艺术馆</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邢台市文物管理处</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邢台市开元寺文物管理所</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邢台市艺术研究所</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邢台市郭守敬纪念馆</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财政补助事业单位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财政拨款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河北省邢台市河北梆子剧团</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定额补助事业单位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定额补助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邢台市豫剧团</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定额补助事业单位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定额补助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河北省邢台市杂技团</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定额补助事业单位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定额补助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邢台市邢台剧场</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邢台市电影发行放映公司</w:t>
            </w:r>
          </w:p>
        </w:tc>
        <w:tc>
          <w:tcPr>
            <w:tcW w:w="3543"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经费自理事业单位</w:t>
            </w:r>
          </w:p>
        </w:tc>
        <w:tc>
          <w:tcPr>
            <w:tcW w:w="2477"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邢台市青年影院</w:t>
            </w:r>
          </w:p>
        </w:tc>
        <w:tc>
          <w:tcPr>
            <w:tcW w:w="354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经费自理事业单位</w:t>
            </w:r>
          </w:p>
        </w:tc>
        <w:tc>
          <w:tcPr>
            <w:tcW w:w="247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邢台市人民影剧院</w:t>
            </w:r>
          </w:p>
        </w:tc>
        <w:tc>
          <w:tcPr>
            <w:tcW w:w="354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经费自理事业单位</w:t>
            </w:r>
          </w:p>
        </w:tc>
        <w:tc>
          <w:tcPr>
            <w:tcW w:w="247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河北省邢台市邢台影剧院</w:t>
            </w:r>
          </w:p>
        </w:tc>
        <w:tc>
          <w:tcPr>
            <w:tcW w:w="354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经费自理事业单位</w:t>
            </w:r>
          </w:p>
        </w:tc>
        <w:tc>
          <w:tcPr>
            <w:tcW w:w="247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4231"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邢台市清风影院</w:t>
            </w:r>
          </w:p>
        </w:tc>
        <w:tc>
          <w:tcPr>
            <w:tcW w:w="354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经费自理事业单位</w:t>
            </w:r>
          </w:p>
        </w:tc>
        <w:tc>
          <w:tcPr>
            <w:tcW w:w="247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正科级</w:t>
            </w:r>
          </w:p>
        </w:tc>
        <w:tc>
          <w:tcPr>
            <w:tcW w:w="276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仿宋_GB2312" w:hAnsi="仿宋_GB2312" w:eastAsia="仿宋_GB2312"/>
                <w:bCs/>
                <w:kern w:val="0"/>
                <w:sz w:val="24"/>
              </w:rPr>
            </w:pPr>
            <w:r>
              <w:rPr>
                <w:rFonts w:hint="eastAsia" w:ascii="仿宋_GB2312" w:hAnsi="仿宋_GB2312" w:eastAsia="仿宋_GB2312"/>
                <w:bCs/>
                <w:kern w:val="0"/>
                <w:sz w:val="24"/>
              </w:rPr>
              <w:t>经费自理</w:t>
            </w:r>
          </w:p>
        </w:tc>
      </w:tr>
    </w:tbl>
    <w:p>
      <w:pPr>
        <w:autoSpaceDE w:val="0"/>
        <w:autoSpaceDN w:val="0"/>
        <w:rPr>
          <w:rFonts w:ascii="黑体" w:hAnsi="黑体" w:eastAsia="黑体"/>
          <w:color w:val="000000"/>
          <w:sz w:val="32"/>
        </w:rPr>
      </w:pPr>
      <w:r>
        <w:rPr>
          <w:rFonts w:hint="eastAsia" w:ascii="黑体" w:hAnsi="黑体" w:eastAsia="黑体"/>
          <w:color w:val="000000"/>
          <w:sz w:val="32"/>
        </w:rPr>
        <w:t xml:space="preserve"> 二、部门预算安排的总体情况</w:t>
      </w:r>
    </w:p>
    <w:p>
      <w:pPr>
        <w:autoSpaceDE w:val="0"/>
        <w:autoSpaceDN w:val="0"/>
        <w:ind w:firstLine="640"/>
        <w:rPr>
          <w:rFonts w:ascii="仿宋_GB2312" w:hAnsi="仿宋_GB2312" w:eastAsia="仿宋_GB2312"/>
          <w:color w:val="000000"/>
          <w:sz w:val="32"/>
        </w:rPr>
      </w:pPr>
      <w:r>
        <w:rPr>
          <w:rFonts w:hint="eastAsia" w:ascii="仿宋_GB2312" w:hAnsi="仿宋_GB2312" w:eastAsia="仿宋_GB2312"/>
          <w:color w:val="000000"/>
          <w:sz w:val="32"/>
        </w:rPr>
        <w:t>按照预算管理有关规定，目前我局部门预算的编制实行综合预算制度，即全部收入和支出都反映预算中。邢台市文化广电新闻出版局机关及所属事业单位的收支包含在部门预算中。</w:t>
      </w:r>
    </w:p>
    <w:p>
      <w:pPr>
        <w:autoSpaceDE w:val="0"/>
        <w:autoSpaceDN w:val="0"/>
        <w:ind w:left="643" w:hanging="643" w:hangingChars="200"/>
        <w:rPr>
          <w:rFonts w:ascii="仿宋_GB2312" w:hAnsi="仿宋_GB2312" w:eastAsia="仿宋_GB2312"/>
          <w:b/>
          <w:bCs/>
          <w:color w:val="000000"/>
          <w:sz w:val="32"/>
        </w:rPr>
      </w:pPr>
      <w:r>
        <w:rPr>
          <w:rFonts w:hint="eastAsia" w:ascii="仿宋_GB2312" w:hAnsi="仿宋_GB2312" w:eastAsia="仿宋_GB2312"/>
          <w:b/>
          <w:bCs/>
          <w:color w:val="000000"/>
          <w:sz w:val="32"/>
        </w:rPr>
        <w:t>1、收入说明</w:t>
      </w:r>
    </w:p>
    <w:p>
      <w:pPr>
        <w:autoSpaceDE w:val="0"/>
        <w:autoSpaceDN w:val="0"/>
        <w:ind w:firstLine="640"/>
        <w:rPr>
          <w:rFonts w:ascii="仿宋_GB2312" w:hAnsi="仿宋_GB2312" w:eastAsia="仿宋_GB2312"/>
          <w:color w:val="000000"/>
          <w:sz w:val="32"/>
        </w:rPr>
      </w:pPr>
      <w:r>
        <w:rPr>
          <w:rFonts w:hint="eastAsia" w:ascii="仿宋_GB2312" w:hAnsi="仿宋_GB2312" w:eastAsia="仿宋_GB2312"/>
          <w:color w:val="000000"/>
          <w:sz w:val="32"/>
        </w:rPr>
        <w:t>反映本部门当年全部收入。2017年财政拨款预算收入5138.44万元。</w:t>
      </w:r>
    </w:p>
    <w:p>
      <w:pPr>
        <w:autoSpaceDE w:val="0"/>
        <w:autoSpaceDN w:val="0"/>
        <w:rPr>
          <w:rFonts w:ascii="仿宋_GB2312" w:hAnsi="仿宋_GB2312" w:eastAsia="仿宋_GB2312"/>
          <w:b/>
          <w:bCs/>
          <w:color w:val="000000"/>
          <w:sz w:val="32"/>
        </w:rPr>
      </w:pPr>
      <w:r>
        <w:rPr>
          <w:rFonts w:hint="eastAsia" w:ascii="仿宋_GB2312" w:hAnsi="仿宋_GB2312" w:eastAsia="仿宋_GB2312"/>
          <w:b/>
          <w:bCs/>
          <w:color w:val="000000"/>
          <w:sz w:val="32"/>
        </w:rPr>
        <w:t>2、支出说明</w:t>
      </w:r>
    </w:p>
    <w:p>
      <w:pPr>
        <w:spacing w:line="620" w:lineRule="exact"/>
        <w:ind w:firstLine="640"/>
        <w:rPr>
          <w:rFonts w:ascii="仿宋_GB2312" w:hAnsi="仿宋_GB2312" w:eastAsia="仿宋_GB2312"/>
          <w:color w:val="000000"/>
          <w:sz w:val="32"/>
        </w:rPr>
      </w:pPr>
      <w:r>
        <w:rPr>
          <w:rFonts w:hint="eastAsia" w:ascii="仿宋_GB2312" w:hAnsi="仿宋_GB2312" w:eastAsia="仿宋_GB2312"/>
          <w:color w:val="000000"/>
          <w:sz w:val="32"/>
        </w:rPr>
        <w:t>收支预算总表支出栏、基本支出表、项目支出表按经济分类和支出功能分类科目编制，反映市文广新局2017年度部门预算中支出预算的总体情况。2017年支出预算5138.44万元，其中文化体育与传媒支出5138.44万元，包括人员经费和日常公用经费。</w:t>
      </w:r>
    </w:p>
    <w:p>
      <w:pPr>
        <w:autoSpaceDE w:val="0"/>
        <w:autoSpaceDN w:val="0"/>
        <w:rPr>
          <w:rFonts w:ascii="仿宋_GB2312" w:hAnsi="仿宋_GB2312" w:eastAsia="仿宋_GB2312"/>
          <w:color w:val="000000"/>
          <w:sz w:val="32"/>
        </w:rPr>
      </w:pPr>
      <w:r>
        <w:rPr>
          <w:rFonts w:hint="eastAsia" w:ascii="仿宋_GB2312" w:hAnsi="仿宋_GB2312" w:eastAsia="仿宋_GB2312"/>
          <w:b/>
          <w:bCs/>
          <w:color w:val="000000"/>
          <w:sz w:val="32"/>
        </w:rPr>
        <w:t>3、比上年增减情况</w:t>
      </w:r>
    </w:p>
    <w:p>
      <w:pPr>
        <w:autoSpaceDE w:val="0"/>
        <w:autoSpaceDN w:val="0"/>
        <w:ind w:firstLine="480" w:firstLineChars="150"/>
        <w:rPr>
          <w:rFonts w:ascii="仿宋_GB2312" w:hAnsi="仿宋_GB2312" w:eastAsia="仿宋_GB2312"/>
          <w:color w:val="000000"/>
          <w:sz w:val="32"/>
        </w:rPr>
      </w:pPr>
      <w:r>
        <w:rPr>
          <w:rFonts w:hint="eastAsia" w:ascii="仿宋_GB2312" w:hAnsi="仿宋_GB2312" w:eastAsia="仿宋_GB2312"/>
          <w:color w:val="000000"/>
          <w:sz w:val="32"/>
        </w:rPr>
        <w:t>2017年预算收支安排5138.44万元，较2016年预算增加 554.44万元，其中：基本支出增加147.34万元，主要为增加人员经费支出；项目支出增加407.1万元，主要增加项目：图书馆迁建建设项目到期政府债券利息170万元，市梆子团[2015年国家艺术基金资助项目《吕玉兰》补助经费]100万元，非税安排增加230万元。</w:t>
      </w:r>
    </w:p>
    <w:p>
      <w:pPr>
        <w:autoSpaceDE w:val="0"/>
        <w:autoSpaceDN w:val="0"/>
        <w:rPr>
          <w:rFonts w:ascii="黑体" w:hAnsi="黑体" w:eastAsia="黑体"/>
          <w:color w:val="000000"/>
          <w:sz w:val="32"/>
        </w:rPr>
      </w:pPr>
      <w:r>
        <w:rPr>
          <w:rFonts w:hint="eastAsia" w:ascii="黑体" w:hAnsi="黑体" w:eastAsia="黑体"/>
          <w:color w:val="000000"/>
          <w:sz w:val="32"/>
        </w:rPr>
        <w:t xml:space="preserve"> 三、机关运行经费安排情况 </w:t>
      </w:r>
    </w:p>
    <w:p>
      <w:pPr>
        <w:autoSpaceDE w:val="0"/>
        <w:autoSpaceDN w:val="0"/>
        <w:ind w:firstLine="640" w:firstLineChars="200"/>
        <w:rPr>
          <w:rFonts w:ascii="仿宋_GB2312" w:hAnsi="仿宋_GB2312" w:eastAsia="仿宋_GB2312"/>
          <w:color w:val="000000"/>
          <w:sz w:val="32"/>
        </w:rPr>
      </w:pPr>
      <w:r>
        <w:rPr>
          <w:rFonts w:hint="eastAsia" w:ascii="仿宋_GB2312" w:hAnsi="仿宋_GB2312" w:eastAsia="仿宋_GB2312"/>
          <w:color w:val="000000"/>
          <w:sz w:val="32"/>
        </w:rPr>
        <w:t>机关运行经费共计安排209.1万元，主要用于办公用房水电费、办公用房取暖费、办公用房物业管理费等日常运行支出。</w:t>
      </w:r>
    </w:p>
    <w:p>
      <w:pPr>
        <w:autoSpaceDE w:val="0"/>
        <w:autoSpaceDN w:val="0"/>
        <w:rPr>
          <w:rFonts w:ascii="黑体" w:hAnsi="黑体" w:eastAsia="黑体"/>
          <w:color w:val="000000"/>
          <w:sz w:val="32"/>
        </w:rPr>
      </w:pPr>
      <w:r>
        <w:rPr>
          <w:rFonts w:hint="eastAsia" w:ascii="黑体" w:hAnsi="黑体" w:eastAsia="黑体"/>
          <w:color w:val="000000"/>
          <w:sz w:val="32"/>
        </w:rPr>
        <w:t xml:space="preserve"> 四、财政拨款“三公”经费预算情况及增减变化原因</w:t>
      </w:r>
    </w:p>
    <w:p>
      <w:pPr>
        <w:autoSpaceDE w:val="0"/>
        <w:autoSpaceDN w:val="0"/>
        <w:ind w:firstLine="640" w:firstLineChars="200"/>
        <w:rPr>
          <w:rFonts w:ascii="仿宋_GB2312" w:hAnsi="仿宋_GB2312" w:eastAsia="仿宋_GB2312"/>
          <w:color w:val="000000"/>
          <w:sz w:val="32"/>
        </w:rPr>
      </w:pPr>
      <w:r>
        <w:rPr>
          <w:rFonts w:hint="eastAsia" w:ascii="仿宋_GB2312" w:hAnsi="仿宋_GB2312" w:eastAsia="仿宋_GB2312"/>
          <w:color w:val="000000"/>
          <w:sz w:val="32"/>
        </w:rPr>
        <w:t>2017年，我局财政拨款“三公”经费预算安排39万元，其中：</w:t>
      </w:r>
      <w:r>
        <w:rPr>
          <w:rFonts w:hint="eastAsia" w:ascii="仿宋_GB2312" w:hAnsi="仿宋_GB2312" w:eastAsia="仿宋_GB2312"/>
          <w:sz w:val="32"/>
        </w:rPr>
        <w:t>因公临时出国经费12.5万元，</w:t>
      </w:r>
      <w:r>
        <w:rPr>
          <w:rFonts w:hint="eastAsia" w:ascii="仿宋_GB2312" w:hAnsi="仿宋_GB2312" w:eastAsia="仿宋_GB2312"/>
          <w:color w:val="000000"/>
          <w:sz w:val="32"/>
        </w:rPr>
        <w:t>公务用车购置及运维费21万元（公务用车购置费为0，公务用车运行费21万元)，公务接待费5.5万元，因公出国比2016年增加12.5万元，增加原因2人出国对外交流（1人出访泰国、巴西、阿根廷；1人出访南非），公务用车运行费比2016年减少12万元,减少主要原因是公车改革后公务用车运行经费减少。</w:t>
      </w:r>
    </w:p>
    <w:p>
      <w:pPr>
        <w:numPr>
          <w:ilvl w:val="0"/>
          <w:numId w:val="1"/>
        </w:numPr>
        <w:autoSpaceDE w:val="0"/>
        <w:autoSpaceDN w:val="0"/>
        <w:rPr>
          <w:rFonts w:ascii="黑体" w:hAnsi="黑体" w:eastAsia="黑体"/>
          <w:color w:val="000000"/>
          <w:sz w:val="32"/>
        </w:rPr>
      </w:pPr>
      <w:r>
        <w:rPr>
          <w:rFonts w:hint="eastAsia" w:ascii="黑体" w:hAnsi="黑体" w:eastAsia="黑体"/>
          <w:color w:val="000000"/>
          <w:sz w:val="32"/>
        </w:rPr>
        <w:t>绩效预算信息</w:t>
      </w:r>
    </w:p>
    <w:p>
      <w:pPr>
        <w:autoSpaceDE w:val="0"/>
        <w:autoSpaceDN w:val="0"/>
        <w:ind w:firstLine="640" w:firstLineChars="200"/>
        <w:rPr>
          <w:rFonts w:ascii="仿宋_GB2312" w:hAnsi="仿宋_GB2312" w:eastAsia="仿宋_GB2312"/>
          <w:sz w:val="32"/>
        </w:rPr>
      </w:pPr>
      <w:r>
        <w:rPr>
          <w:rFonts w:hint="eastAsia" w:ascii="仿宋_GB2312" w:hAnsi="仿宋_GB2312" w:eastAsia="仿宋_GB2312"/>
          <w:color w:val="000000"/>
          <w:sz w:val="32"/>
        </w:rPr>
        <w:t>总体绩效目标：</w:t>
      </w:r>
    </w:p>
    <w:p>
      <w:pPr>
        <w:autoSpaceDE w:val="0"/>
        <w:autoSpaceDN w:val="0"/>
        <w:ind w:firstLine="640"/>
        <w:rPr>
          <w:rFonts w:ascii="仿宋_GB2312" w:eastAsia="仿宋_GB2312"/>
          <w:sz w:val="32"/>
          <w:szCs w:val="32"/>
        </w:rPr>
      </w:pPr>
      <w:r>
        <w:rPr>
          <w:rFonts w:hint="eastAsia" w:ascii="仿宋_GB2312" w:eastAsia="仿宋_GB2312"/>
          <w:sz w:val="32"/>
          <w:szCs w:val="32"/>
        </w:rPr>
        <w:t>2017年全市文广新工作的总体要求是：全面贯彻党的十八大和十八届三中、四中、五中、六中全会精神，深入学习习近平总书记系列重要讲话精神，全面落实省第九次党代会战略部署，坚定文化自信，坚持以人民为中心的工作导向，着力繁荣发展文艺创作，着力构建优秀传统文化传承体系，着力完善现代公共文化服务体系、文化市场体系、文化产业体系，以优异成绩迎接党的十九大胜利召开。</w:t>
      </w:r>
    </w:p>
    <w:p>
      <w:pPr>
        <w:spacing w:line="580" w:lineRule="exact"/>
        <w:ind w:firstLine="640" w:firstLineChars="200"/>
        <w:rPr>
          <w:rFonts w:ascii="仿宋_GB2312" w:hAnsi="仿宋_GB2312" w:eastAsia="仿宋_GB2312"/>
          <w:bCs/>
          <w:sz w:val="32"/>
        </w:rPr>
      </w:pPr>
      <w:r>
        <w:rPr>
          <w:rFonts w:hint="eastAsia" w:ascii="仿宋_GB2312" w:hAnsi="仿宋_GB2312" w:eastAsia="仿宋_GB2312"/>
          <w:bCs/>
          <w:sz w:val="32"/>
        </w:rPr>
        <w:t>职责分类绩效目标：</w:t>
      </w:r>
    </w:p>
    <w:p>
      <w:pPr>
        <w:numPr>
          <w:ilvl w:val="0"/>
          <w:numId w:val="2"/>
        </w:numPr>
        <w:autoSpaceDE w:val="0"/>
        <w:autoSpaceDN w:val="0"/>
        <w:ind w:firstLine="640"/>
        <w:rPr>
          <w:rFonts w:ascii="楷体_GB2312" w:hAnsi="楷体" w:eastAsia="楷体_GB2312" w:cs="楷体"/>
          <w:sz w:val="32"/>
          <w:szCs w:val="32"/>
        </w:rPr>
      </w:pPr>
      <w:r>
        <w:rPr>
          <w:rFonts w:hint="eastAsia" w:ascii="仿宋_GB2312" w:hAnsi="仿宋" w:eastAsia="仿宋_GB2312"/>
          <w:sz w:val="32"/>
          <w:szCs w:val="32"/>
        </w:rPr>
        <w:t>举办迎接党的十九大召开暨庆祝中国人民解放军建军90周年书画展。2、</w:t>
      </w:r>
      <w:r>
        <w:rPr>
          <w:rFonts w:hint="eastAsia" w:ascii="仿宋_GB2312" w:eastAsia="仿宋_GB2312"/>
          <w:sz w:val="32"/>
          <w:szCs w:val="32"/>
        </w:rPr>
        <w:t>落实好《关于加快构建现代公共文化服务体系的意见》，整合市县两级文艺队伍，积极推进文艺精品下乡工程，确保全市送戏下乡场次不低于500场，让更多的基层群众从中受益。3、组织“邢襄大舞台”百场文化惠民演出活动，持续实施文化惠民工程，为全市人民提供更加丰富的文化服务。4、实施农村电影放映工程，提升农村电影放映质量，探索、引导、发展一批农村室内放映典型。5、要扎实做好重大文物保护工程项目，按照国家和省文物部门统一安排，适时启动东先贤遗址—邢国墓地的考古发掘工作、继续推进唐祖陵保护利用、柏人城址二期考古勘探工作，加快隆尧李氏文化园建设，着手准备宋城遗址一区勘探发掘工作。6、</w:t>
      </w:r>
      <w:r>
        <w:rPr>
          <w:rFonts w:hint="eastAsia" w:ascii="楷体_GB2312" w:hAnsi="楷体" w:eastAsia="楷体_GB2312" w:cs="楷体"/>
          <w:sz w:val="32"/>
          <w:szCs w:val="32"/>
        </w:rPr>
        <w:t>积极推进“扫黄打非”进基层工作。</w:t>
      </w:r>
    </w:p>
    <w:p>
      <w:pPr>
        <w:autoSpaceDE w:val="0"/>
        <w:autoSpaceDN w:val="0"/>
        <w:rPr>
          <w:rFonts w:ascii="仿宋_GB2312" w:hAnsi="仿宋_GB2312" w:eastAsia="仿宋_GB2312"/>
          <w:sz w:val="32"/>
        </w:rPr>
      </w:pPr>
      <w:r>
        <w:rPr>
          <w:rFonts w:hint="eastAsia" w:ascii="仿宋_GB2312" w:hAnsi="仿宋_GB2312" w:eastAsia="仿宋_GB2312"/>
          <w:sz w:val="32"/>
        </w:rPr>
        <w:t>实现年度发展规划目标的保障措施</w:t>
      </w:r>
    </w:p>
    <w:p>
      <w:pPr>
        <w:spacing w:line="580" w:lineRule="exact"/>
        <w:ind w:firstLine="555"/>
        <w:jc w:val="left"/>
        <w:rPr>
          <w:rFonts w:ascii="仿宋_GB2312" w:hAnsi="仿宋_GB2312" w:eastAsia="仿宋_GB2312"/>
          <w:color w:val="000000"/>
          <w:sz w:val="32"/>
          <w:szCs w:val="32"/>
        </w:rPr>
      </w:pPr>
      <w:r>
        <w:rPr>
          <w:rFonts w:hint="eastAsia" w:ascii="仿宋_GB2312" w:hAnsi="仿宋_GB2312" w:eastAsia="仿宋_GB2312"/>
          <w:color w:val="000000"/>
          <w:sz w:val="32"/>
          <w:szCs w:val="32"/>
        </w:rPr>
        <w:t>2017年是我市新旧动能转换最为紧要的时期，是发展跨越提升最为有利的时期，是冲刺全面建成小康社会最为关键的时期，全年将做好以下重点工作：</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（一）繁荣艺术精品创作生产。</w:t>
      </w:r>
      <w:r>
        <w:rPr>
          <w:rFonts w:hint="eastAsia" w:ascii="仿宋_GB2312" w:eastAsia="仿宋_GB2312"/>
          <w:sz w:val="32"/>
          <w:szCs w:val="32"/>
        </w:rPr>
        <w:t>要深入学习贯彻习近平总书记在中国文联十大、中国作协九大开幕式上的重要讲话精神，把创作生产优秀作品作为文艺工作的中心环节，紧紧围绕“中国梦”主题，围绕学习、弘扬吕玉兰、李保国先进事迹，以及开展解放思想大讨论和深化机关作风整顿等活动，抓好艺术精品创作，鼓励广大文艺工作者深入生活、扎根人民，讲好邢台故事，传播好邢台声音。紧紧围绕迎接党的十九大胜利召开、中国人民解放军建军90周年、香港回归20周年等重要时间节点，谋划开展各类文艺活动。</w:t>
      </w:r>
      <w:r>
        <w:rPr>
          <w:rFonts w:hint="eastAsia" w:ascii="仿宋_GB2312" w:hAnsi="仿宋" w:eastAsia="仿宋_GB2312"/>
          <w:sz w:val="32"/>
          <w:szCs w:val="32"/>
        </w:rPr>
        <w:t>举办迎接党的十九大召开暨庆祝中国人民解放军建军90周年书画展。精心打磨《邢襄文化》，不断提升其知名度和影响力。</w:t>
      </w:r>
      <w:r>
        <w:rPr>
          <w:rFonts w:hint="eastAsia" w:ascii="仿宋_GB2312" w:eastAsia="仿宋_GB2312"/>
          <w:sz w:val="32"/>
          <w:szCs w:val="32"/>
        </w:rPr>
        <w:t>打造提升《吕玉兰》剧目，力争适当时机进京汇报演出。创排大型历史话剧《郭守敬》和河北梆子现代戏《大孝村官》，力争年内与观众见面。组织好国家艺术基金2017年项目申报工作，力争取得新突破。</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（二）构建现代公共文化服务体系。</w:t>
      </w:r>
      <w:r>
        <w:rPr>
          <w:rFonts w:hint="eastAsia" w:ascii="仿宋_GB2312" w:eastAsia="仿宋_GB2312"/>
          <w:sz w:val="32"/>
          <w:szCs w:val="32"/>
        </w:rPr>
        <w:t>加快构建现代公共文化服务体系，是提升现代公共文化服务能力的关键环节，必须把健全现代公共文化服务体系摆在更加突出的位置。研究制定我市公共文化服务体系建设绩效考核办法，对各县市区工作进行考核，将考核结果上报省文化厅，并与绩效奖励资金挂钩。市局要积极推动市博物馆工程建设，加快博物馆展陈设计，完善展陈大纲，尽早启动市艺术中心立项工作；要做好市图书馆、市群艺馆、市郭守敬纪念馆、市开元寺文保所免费开放工作，加强内部管理，提升服务质量，优化场所环境，为群众提供更优质的文化服务。继续组织“邢襄大舞台”百场文化惠民演出活动，持续实施文化惠民工程，为全市人民提供更加丰富的文化服务。继续实施农村电影放映工程，提升农村电影放映质量，探索、引导、发展一批农村室内放映典型。</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（三）加大文化遗产保护利用力度。</w:t>
      </w:r>
      <w:r>
        <w:rPr>
          <w:rFonts w:hint="eastAsia" w:ascii="仿宋_GB2312" w:eastAsia="仿宋_GB2312"/>
          <w:sz w:val="32"/>
          <w:szCs w:val="32"/>
        </w:rPr>
        <w:t>要扎实做好重大文物保护工程项目，按照国家和省文物部门统一安排，适时启动东先贤遗址—邢国墓地的考古发掘工作、继续推进唐祖陵保护利用、柏人城址二期考古勘探工作，加快隆尧李氏文化园建设，着手准备宋城遗址一区勘探发掘工作；全面启动文物安全防范技术设施建设，建立文物保护责任终身追究制，始终保持对盗卖、倒卖、走私等文物违法犯罪的高压态势。大力加强非物质文化遗产保护，组织开展第四批市级非物质文化遗产代表性传承人和第六批市级非物质文化遗产代表性项目名录申报工作，完善市级非遗保护工作专家队伍体系，组织申报2017年省级和国家级非遗项目资金。</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（四）促进现代文化产业发展。</w:t>
      </w:r>
      <w:r>
        <w:rPr>
          <w:rFonts w:hint="eastAsia" w:ascii="仿宋_GB2312" w:eastAsia="仿宋_GB2312"/>
          <w:sz w:val="32"/>
          <w:szCs w:val="32"/>
        </w:rPr>
        <w:t>当前，文化产业在转型升级、绿色发展中的重要地位日益凸显，采取有力措施推动文化产业快速发展，是摆在文化部门面前的重大任务。要继续深化文化产业供给侧改革，大力发展数字文化、文化创意、创意农业等新兴文化产业、文化业态，利用高新科技加快提升工艺美术、文化旅游、演艺娱乐等传统特色文化产业，积极推动文化文物单位文化创意产品开发，推动文化产业与科技、旅游、农业等相关产业融合发展，促进文化产业结构优化和转型升级。做好国家级、省级文化产业示范园区申报创建、第五批河北省文化产业示范基地申报命名等工作，开展全市文化产业示范基地园区巡检。组织好申报文化产业资金有关工作。不断拓展文化产业服务平台，积极组织参加深圳、北京、天津、义乌文博会，促进文化产业与市场、资本、智力等要素对接。组织开展文化产业发展系列调研，加强文化产业人才培训，强化文化产业的智力支持。</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（五）完善现代文化市场体系。</w:t>
      </w:r>
      <w:r>
        <w:rPr>
          <w:rFonts w:hint="eastAsia" w:ascii="仿宋_GB2312" w:eastAsia="仿宋_GB2312"/>
          <w:sz w:val="32"/>
          <w:szCs w:val="32"/>
        </w:rPr>
        <w:t>建设公平、开放、竞争、有序的文化市场，必须坚持以规范促发展、以管理促繁荣的原则，建立健全与之相适应的长效管理机制，这是确保文化市场繁荣有序的根本保障。要认真贯彻落实中办国办和省委省政府“两办”《关于进一步深化文化市场综合执法改革的实施意见》，争取各项政策措施在我市尽快落实。协调督促各县市区加快综合执法改革进度，落实综合执法改革各项要求，强化综合执法队伍建设，提升综合执法业务能力。着力优化市场环境，按照“规范行政审批、强化市场管理、引导转型升级、提升执法能力、规范市场秩序”的思路，抓监管、促繁荣，营造健康向上、繁荣有序的文化市场环境。深化开展全市文化市场行政审批大检查，促进各地行政审批管理规范化。积极引导网吧、娱乐场所等文化经营企业转型升级，以打击含有禁止内容的文化产品及服务为重点，按照“双随机</w:t>
      </w:r>
      <w:r>
        <w:rPr>
          <w:rFonts w:hint="eastAsia" w:ascii="仿宋_GB2312" w:eastAsia="仿宋_GB2312"/>
          <w:sz w:val="32"/>
          <w:szCs w:val="32"/>
          <w:lang w:eastAsia="zh-CN"/>
        </w:rPr>
        <w:t>、</w:t>
      </w:r>
      <w:r>
        <w:rPr>
          <w:rFonts w:hint="eastAsia" w:ascii="仿宋_GB2312" w:eastAsia="仿宋_GB2312"/>
          <w:sz w:val="32"/>
          <w:szCs w:val="32"/>
        </w:rPr>
        <w:t>一公开”的要求，依法查处违法经营行为。推动各地网络信息化能力建设，全面实现运用文化市场技术监管与服务平台，办理行政审批和综合执法业务。进一步提升文化</w:t>
      </w:r>
      <w:bookmarkStart w:id="2" w:name="_GoBack"/>
      <w:bookmarkEnd w:id="2"/>
      <w:r>
        <w:rPr>
          <w:rFonts w:hint="eastAsia" w:ascii="仿宋_GB2312" w:eastAsia="仿宋_GB2312"/>
          <w:sz w:val="32"/>
          <w:szCs w:val="32"/>
        </w:rPr>
        <w:t>市场监管效能，结合“扫黄打非”进基层工作，推动县市区依法委托乡镇政府依托乡镇综合文化站设立文化市场监管员和乡村文化市场信息员，构筑农村“扫黄打非”和文化市场监管网络。推动文化市场信用体系建设，探索实施“警示名单”、“黑名单”等警示和退出机制，规范市场秩序，净化文化市场。增强红线意识，不断强化与公安、消防等职能部门对文化市场的联合检查，督导企业落实安全生产责任制，确保安全发展。</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（六）加强行业监管力度。</w:t>
      </w:r>
      <w:r>
        <w:rPr>
          <w:rFonts w:hint="eastAsia" w:ascii="仿宋_GB2312" w:eastAsia="仿宋_GB2312"/>
          <w:sz w:val="32"/>
          <w:szCs w:val="32"/>
        </w:rPr>
        <w:t>习近平总书记强调，宣传思想部门承担着十分重要的职责，必须守土有责、守土负责、守土尽责。加强对广播电视的监听监看，切实发挥好监测站的作用，确保广播电视导向正确和安全优质播出。坚持传统媒体和新兴媒体管理一个标准、一把尺子，加强对视听节目网站、网络文学网站的监督管理。保持打击新闻敲诈和假新闻高压态势，加大报刊和广播电视违法广告整治力度。加强印刷复制发行市场监管，加大对内部资料性出版物、书店等重点领域治理力度。加强版权治理与工作体系建设，综合运用法律规范、行政监管、行业管理等手段，加大新闻作品与影视作品版权保护力度。</w:t>
      </w:r>
    </w:p>
    <w:p>
      <w:pPr>
        <w:autoSpaceDE w:val="0"/>
        <w:autoSpaceDN w:val="0"/>
        <w:rPr>
          <w:rFonts w:ascii="仿宋_GB2312" w:hAnsi="仿宋_GB2312" w:eastAsia="仿宋_GB2312"/>
          <w:sz w:val="32"/>
        </w:rPr>
      </w:pPr>
      <w:r>
        <w:rPr>
          <w:rFonts w:hint="eastAsia" w:ascii="楷体_GB2312" w:hAnsi="楷体" w:eastAsia="楷体_GB2312" w:cs="楷体"/>
          <w:sz w:val="32"/>
          <w:szCs w:val="32"/>
        </w:rPr>
        <w:t>（七）积极推进“扫黄打非”进基层工作。</w:t>
      </w:r>
      <w:r>
        <w:rPr>
          <w:rFonts w:hint="eastAsia" w:ascii="仿宋_GB2312" w:eastAsia="仿宋_GB2312"/>
          <w:sz w:val="32"/>
          <w:szCs w:val="32"/>
        </w:rPr>
        <w:t>按照中央宣传部、全国扫黄办等10部门联合印发的《关于深入推进“扫黄打非”进基层的指导意见》和河北省10部门的《实施方案》，落实省扫黄办提出的“五有”（即有人抓、有人管、有保障、有考核、有成效）、“五进”（即进乡村、进社区、进企业、进学校、进景区）、“五统一”（即统一工作机构、统一办公场所、统一工作标准、统一工作制度、统一业务培训）的要求，发挥扫黄办的组织、协调、督导作用，从组织建设入手，加大推进力度。</w:t>
      </w:r>
    </w:p>
    <w:p>
      <w:pPr>
        <w:jc w:val="center"/>
        <w:outlineLvl w:val="0"/>
        <w:rPr>
          <w:rFonts w:ascii="方正小标宋_GBK" w:eastAsia="方正小标宋_GBK"/>
          <w:sz w:val="32"/>
        </w:rPr>
      </w:pPr>
      <w:bookmarkStart w:id="0" w:name="_Toc481743159"/>
      <w:r>
        <w:rPr>
          <w:rFonts w:hint="eastAsia" w:ascii="方正小标宋_GBK" w:eastAsia="方正小标宋_GBK"/>
          <w:sz w:val="32"/>
        </w:rPr>
        <w:t>部门职责-工作活动绩效目标</w:t>
      </w:r>
      <w:bookmarkEnd w:id="0"/>
    </w:p>
    <w:tbl>
      <w:tblPr>
        <w:tblStyle w:val="4"/>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pPr>
              <w:spacing w:line="300" w:lineRule="exact"/>
              <w:jc w:val="left"/>
              <w:rPr>
                <w:rFonts w:ascii="方正小标宋_GBK" w:eastAsia="方正小标宋_GBK"/>
                <w:sz w:val="24"/>
              </w:rPr>
            </w:pPr>
            <w:r>
              <w:rPr>
                <w:rFonts w:ascii="方正小标宋_GBK" w:eastAsia="方正小标宋_GBK"/>
                <w:sz w:val="24"/>
              </w:rPr>
              <w:t>106</w:t>
            </w:r>
            <w:r>
              <w:rPr>
                <w:rFonts w:hint="eastAsia" w:ascii="方正小标宋_GBK" w:eastAsia="方正小标宋_GBK"/>
                <w:sz w:val="24"/>
              </w:rPr>
              <w:t>邢台市文化广播新闻出版局</w:t>
            </w:r>
          </w:p>
        </w:tc>
        <w:tc>
          <w:tcPr>
            <w:tcW w:w="2948" w:type="dxa"/>
            <w:gridSpan w:val="4"/>
            <w:tcBorders>
              <w:top w:val="single" w:color="FFFFFF" w:sz="6" w:space="0"/>
              <w:left w:val="single" w:color="FFFFFF" w:sz="6" w:space="0"/>
              <w:right w:val="single" w:color="FFFFFF" w:sz="6" w:space="0"/>
            </w:tcBorders>
            <w:shd w:val="clear" w:color="auto" w:fill="auto"/>
            <w:vAlign w:val="center"/>
          </w:tcPr>
          <w:p>
            <w:pPr>
              <w:spacing w:line="300" w:lineRule="exact"/>
              <w:jc w:val="right"/>
              <w:rPr>
                <w:rFonts w:ascii="方正书宋_GBK" w:eastAsia="方正书宋_GBK"/>
                <w:sz w:val="24"/>
              </w:rPr>
            </w:pPr>
            <w:r>
              <w:rPr>
                <w:rFonts w:hint="eastAsia" w:ascii="方正书宋_GBK" w:eastAsia="方正书宋_GBK"/>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pPr>
              <w:spacing w:line="300" w:lineRule="exact"/>
              <w:jc w:val="left"/>
              <w:outlineLvl w:val="0"/>
            </w:pPr>
          </w:p>
        </w:tc>
        <w:tc>
          <w:tcPr>
            <w:tcW w:w="1276" w:type="dxa"/>
            <w:vMerge w:val="continue"/>
            <w:shd w:val="clear" w:color="auto" w:fill="auto"/>
            <w:vAlign w:val="center"/>
          </w:tcPr>
          <w:p>
            <w:pPr>
              <w:spacing w:line="300" w:lineRule="exact"/>
              <w:jc w:val="left"/>
              <w:outlineLvl w:val="0"/>
            </w:pPr>
          </w:p>
        </w:tc>
        <w:tc>
          <w:tcPr>
            <w:tcW w:w="2976" w:type="dxa"/>
            <w:vMerge w:val="continue"/>
            <w:shd w:val="clear" w:color="auto" w:fill="auto"/>
            <w:vAlign w:val="center"/>
          </w:tcPr>
          <w:p>
            <w:pPr>
              <w:spacing w:line="300" w:lineRule="exact"/>
              <w:jc w:val="left"/>
              <w:outlineLvl w:val="0"/>
            </w:pPr>
          </w:p>
        </w:tc>
        <w:tc>
          <w:tcPr>
            <w:tcW w:w="2976" w:type="dxa"/>
            <w:vMerge w:val="continue"/>
            <w:shd w:val="clear" w:color="auto" w:fill="auto"/>
            <w:vAlign w:val="center"/>
          </w:tcPr>
          <w:p>
            <w:pPr>
              <w:spacing w:line="300" w:lineRule="exact"/>
              <w:jc w:val="left"/>
              <w:outlineLvl w:val="0"/>
            </w:pPr>
          </w:p>
        </w:tc>
        <w:tc>
          <w:tcPr>
            <w:tcW w:w="1417" w:type="dxa"/>
            <w:vMerge w:val="continue"/>
            <w:shd w:val="clear" w:color="auto" w:fill="auto"/>
            <w:vAlign w:val="center"/>
          </w:tcPr>
          <w:p>
            <w:pPr>
              <w:spacing w:line="300" w:lineRule="exact"/>
              <w:jc w:val="left"/>
              <w:outlineLvl w:val="0"/>
            </w:pP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文化保护</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529.00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拟订全市非物质文化遗产保护规划，起草有关管理办法，组织实施非物质文化遗产保护和优秀民族文化的传承普及工作。</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拟定</w:t>
            </w:r>
            <w:r>
              <w:rPr>
                <w:rFonts w:ascii="方正书宋_GBK" w:eastAsia="方正书宋_GBK"/>
              </w:rPr>
              <w:t>2016</w:t>
            </w:r>
            <w:r>
              <w:rPr>
                <w:rFonts w:hint="eastAsia" w:ascii="方正书宋_GBK" w:eastAsia="方正书宋_GBK"/>
              </w:rPr>
              <w:t>年重点开展对全市市级非物质文化遗产名录项目尤其是戏曲类项目的传承保护展示工作。</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非物质文化遗产保护</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15.00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组织开展非物质文化保护工作；组织实施优秀民族文化的传承普及工作。</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珍贵、濒危的非物质文化遗产得到有效抢救和保护，优秀特色文化得到传承和发扬。</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sz w:val="20"/>
                <w:szCs w:val="22"/>
              </w:rPr>
              <w:t>健全各级非遗保护名录数量、濒危和重点项目有效保护覆盖率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60%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文物保护管理</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514.00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协调和指导文物保护工作，履行文物行政执法督查职责，依法组织查处文物违法的重大案件，协同有关部门查处文物犯罪的重大案件。</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管理和指导全市考古工作，组织、协调重大文物保护和考古项目的实施，承担确定市级文物保护单位的有关工作。</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收藏及保管物品完好率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60%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文化艺术管理</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915.00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负责推动全市文化艺术领域的公共文化服务，规划、引导公共文化产品生产，指导市重点文化设施建设和基层文化设施建设。</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指导、管理全市文学艺术事业，指导艺术创作与生产，推动各门类艺术的发展，管理全市性重大文化活动。</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文化艺术资源建设</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180.00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管理、指导公共图书馆、美术馆等文化机构开展收藏、收集和保存工作；收藏、整理保管各类型资源文献、文化艺术作品和档案资料等；推广数字化建设和资源共享</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收藏工作有序开展，收藏设施设备和物品等国有资产安全完整、高效利用。</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收集品入藏完整率，仓储设施设备及环境完好率，收藏及保管物品完好率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70%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公共文化服务</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735.00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推动全市各级文化服务机构，建立公共文化资源共享机制，健全公共文化服务网络。</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公共文化设施达标，机构和队伍健全，实现公共文化资源共享，形成城乡一体公共文化服务网络；公共文化产品生产和服务能力提高，基本公共文化服务标准化、均等化水平不断提高。</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文化设施、机构、队伍健全率。公共文化场馆免费率。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65%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文化政务管理</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负责系统综合业务管理和机关综合事务管理。</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确保各项业务工作谋划到位、顺利开展。保障机关工作正常高效运转</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综合业务管理</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拟定全市文化艺术方面有关发展规划、政策制度，开展调查研究，履行文化市场监管职责，开展文化宣传、保护等业务管理工作。</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确保各项业务工作谋划到位、顺利开展。</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专项业务工作组织管理目标达标率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55%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综合事务管理</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改善文化管理和发展硬件、软件水平；加强文化队伍和艺术教育建设；加快文化科研和信息化建设，保障机关运转。</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保障机关工作正常高效运转。</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行政管理工作目标达标率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65%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公共文化服务和新闻出版</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1245.10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负责全市文化艺术、广播电影电视、新闻出版、著作权、文物的对外交流和合作工作，负责全市对外文化宣传、文物保护宣传和出版物的进口管理工作，协调推动出版物的进出口。负责全市印刷业的监督管理</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负责全市印刷业的监督管理。负责全市文艺类产品网上传播的监管工作，负责对网吧等上网服务营业场所实行经营许可证管理，对网络游戏服务进行监管。</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公共服务工程推广</w:t>
            </w:r>
          </w:p>
        </w:tc>
        <w:tc>
          <w:tcPr>
            <w:tcW w:w="1276" w:type="dxa"/>
            <w:vMerge w:val="restart"/>
            <w:shd w:val="clear" w:color="auto" w:fill="auto"/>
            <w:vAlign w:val="center"/>
          </w:tcPr>
          <w:p>
            <w:pPr>
              <w:spacing w:line="300" w:lineRule="exact"/>
              <w:jc w:val="left"/>
              <w:rPr>
                <w:rFonts w:ascii="方正书宋_GBK" w:eastAsia="方正书宋_GBK"/>
              </w:rPr>
            </w:pPr>
            <w:r>
              <w:rPr>
                <w:rFonts w:ascii="方正书宋_GBK" w:eastAsia="方正书宋_GBK"/>
              </w:rPr>
              <w:t>1245.10</w:t>
            </w:r>
          </w:p>
        </w:tc>
        <w:tc>
          <w:tcPr>
            <w:tcW w:w="2976" w:type="dxa"/>
            <w:vMerge w:val="restart"/>
            <w:shd w:val="clear" w:color="auto" w:fill="auto"/>
            <w:vAlign w:val="center"/>
          </w:tcPr>
          <w:p>
            <w:pPr>
              <w:spacing w:line="300" w:lineRule="exact"/>
              <w:jc w:val="left"/>
              <w:rPr>
                <w:rFonts w:ascii="方正书宋_GBK" w:eastAsia="方正书宋_GBK"/>
              </w:rPr>
            </w:pPr>
            <w:r>
              <w:rPr>
                <w:rFonts w:hint="eastAsia" w:ascii="方正书宋_GBK" w:eastAsia="方正书宋_GBK"/>
              </w:rPr>
              <w:t>根据国家下达的任务目标，完成全市广播电视直播卫星户户通工程、农村电影工作、县城数字影院升级改造、农家书屋建设、全民阅读活动、老放映员生活补助以及应急广播体系建设。</w:t>
            </w:r>
          </w:p>
        </w:tc>
        <w:tc>
          <w:tcPr>
            <w:tcW w:w="2976" w:type="dxa"/>
            <w:vMerge w:val="restart"/>
            <w:shd w:val="clear" w:color="auto" w:fill="auto"/>
            <w:vAlign w:val="center"/>
          </w:tcPr>
          <w:p>
            <w:pPr>
              <w:spacing w:line="300" w:lineRule="exact"/>
              <w:jc w:val="left"/>
              <w:rPr>
                <w:rFonts w:ascii="方正书宋_GBK" w:eastAsia="方正书宋_GBK"/>
              </w:rPr>
            </w:pPr>
            <w:r>
              <w:rPr>
                <w:rFonts w:hint="eastAsia" w:ascii="方正书宋_GBK" w:eastAsia="方正书宋_GBK"/>
              </w:rPr>
              <w:t>完成国家下达的广播电视直播卫星户户通工程、农村电影工作、县城数字影院升级改造、农家书屋建设、全民阅读活动、老放映员生活补助以及应急广播体系建设等任务目标。</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全民阅读活动任务完成率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65%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老放映员补助到位情况</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70%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60%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农村公益电影放映场次</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70%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农家书屋更新完成率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65%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文化市场监管和扫黄打非</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15.00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根据授权，按照有关法律、法规和相关文件规定，对文化市场实行统一执法，对县（市、区）文化市场综合执法进行业务指导。负责部署、协调、检查、调度、指导</w:t>
            </w:r>
            <w:r>
              <w:rPr>
                <w:rFonts w:hint="cs" w:ascii="方正书宋_GBK" w:eastAsia="方正书宋_GBK"/>
              </w:rPr>
              <w:t>“</w:t>
            </w:r>
            <w:r>
              <w:rPr>
                <w:rFonts w:hint="eastAsia" w:ascii="方正书宋_GBK" w:eastAsia="方正书宋_GBK"/>
              </w:rPr>
              <w:t>扫黄打非</w:t>
            </w:r>
            <w:r>
              <w:rPr>
                <w:rFonts w:hint="cs" w:ascii="方正书宋_GBK" w:eastAsia="方正书宋_GBK"/>
              </w:rPr>
              <w:t>”</w:t>
            </w:r>
            <w:r>
              <w:rPr>
                <w:rFonts w:hint="eastAsia" w:ascii="方正书宋_GBK" w:eastAsia="方正书宋_GBK"/>
              </w:rPr>
              <w:t>工作的落实。</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加强对文化市场守法经营的宣传，鼓励人民群众举报文化市场违法违规经营线索，及时发现和查处文化经营单位违法违规经营案件，做到</w:t>
            </w:r>
            <w:r>
              <w:rPr>
                <w:rFonts w:ascii="方正书宋_GBK" w:eastAsia="方正书宋_GBK"/>
              </w:rPr>
              <w:t>100%</w:t>
            </w:r>
            <w:r>
              <w:rPr>
                <w:rFonts w:hint="eastAsia" w:ascii="方正书宋_GBK" w:eastAsia="方正书宋_GBK"/>
              </w:rPr>
              <w:t>查处，始终保持对文化市场高压态势，确保我市不出现重大责任事故。负责全市</w:t>
            </w:r>
            <w:r>
              <w:rPr>
                <w:rFonts w:hint="cs" w:ascii="方正书宋_GBK" w:eastAsia="方正书宋_GBK"/>
              </w:rPr>
              <w:t>“</w:t>
            </w:r>
            <w:r>
              <w:rPr>
                <w:rFonts w:hint="eastAsia" w:ascii="方正书宋_GBK" w:eastAsia="方正书宋_GBK"/>
              </w:rPr>
              <w:t>扫黄打非</w:t>
            </w:r>
            <w:r>
              <w:rPr>
                <w:rFonts w:hint="cs" w:ascii="方正书宋_GBK" w:eastAsia="方正书宋_GBK"/>
              </w:rPr>
              <w:t>”</w:t>
            </w:r>
            <w:r>
              <w:rPr>
                <w:rFonts w:hint="eastAsia" w:ascii="方正书宋_GBK" w:eastAsia="方正书宋_GBK"/>
              </w:rPr>
              <w:t>协调工作，组织会议、起草文件，进行宣传。</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对文化市场实行统一执法和扫黄打非。</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15.00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市场检查、案件处理</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加强对文化市场守法经营的宣传，鼓励人民群众举报文化市场违法违规经营线索，及时发现和查处文化经营单位违法违规经营案件，做到</w:t>
            </w:r>
            <w:r>
              <w:rPr>
                <w:rFonts w:ascii="方正书宋_GBK" w:eastAsia="方正书宋_GBK"/>
              </w:rPr>
              <w:t>100%</w:t>
            </w:r>
            <w:r>
              <w:rPr>
                <w:rFonts w:hint="eastAsia" w:ascii="方正书宋_GBK" w:eastAsia="方正书宋_GBK"/>
              </w:rPr>
              <w:t>查处，始终保持对文化市场高压态势，确保我市不出现重大责任事故。负责全市</w:t>
            </w:r>
            <w:r>
              <w:rPr>
                <w:rFonts w:hint="cs" w:ascii="方正书宋_GBK" w:eastAsia="方正书宋_GBK"/>
              </w:rPr>
              <w:t>“</w:t>
            </w:r>
            <w:r>
              <w:rPr>
                <w:rFonts w:hint="eastAsia" w:ascii="方正书宋_GBK" w:eastAsia="方正书宋_GBK"/>
              </w:rPr>
              <w:t>扫黄打非</w:t>
            </w:r>
            <w:r>
              <w:rPr>
                <w:rFonts w:hint="cs" w:ascii="方正书宋_GBK" w:eastAsia="方正书宋_GBK"/>
              </w:rPr>
              <w:t>”</w:t>
            </w:r>
            <w:r>
              <w:rPr>
                <w:rFonts w:hint="eastAsia" w:ascii="方正书宋_GBK" w:eastAsia="方正书宋_GBK"/>
              </w:rPr>
              <w:t>协调工作，组织会议、起草文件，进行宣传。</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开展网络文化市场、娱乐市场、出版物市场、印刷市场、演出市场新闻出版市场违法违规案件的稽查工作，并对违法违规经营行为的案件进行查处，维持正常文化市场经营秩序。开展专项行动，协调联动完成</w:t>
            </w:r>
            <w:r>
              <w:rPr>
                <w:rFonts w:hint="cs" w:ascii="方正书宋_GBK" w:eastAsia="方正书宋_GBK"/>
              </w:rPr>
              <w:t>“</w:t>
            </w:r>
            <w:r>
              <w:rPr>
                <w:rFonts w:hint="eastAsia" w:ascii="方正书宋_GBK" w:eastAsia="方正书宋_GBK"/>
              </w:rPr>
              <w:t>扫黄打非</w:t>
            </w:r>
            <w:r>
              <w:rPr>
                <w:rFonts w:hint="cs" w:ascii="方正书宋_GBK" w:eastAsia="方正书宋_GBK"/>
              </w:rPr>
              <w:t>”</w:t>
            </w:r>
            <w:r>
              <w:rPr>
                <w:rFonts w:hint="eastAsia" w:ascii="方正书宋_GBK" w:eastAsia="方正书宋_GBK"/>
              </w:rPr>
              <w:t>交办、自办案件</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70%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60%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广播电视监测</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负责监测广播电视节目播出状况和传输覆盖效果、监听播出内容</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监测广播电视节目播出状况、指挥调度安全播出</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广播电视监测</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负责监测广播电视节目播出状况和传输覆盖效果、监听播出内容</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监测广播电视节目播出状况、指挥调度安全播出</w:t>
            </w:r>
          </w:p>
        </w:tc>
        <w:tc>
          <w:tcPr>
            <w:tcW w:w="1417" w:type="dxa"/>
            <w:shd w:val="clear" w:color="auto" w:fill="auto"/>
            <w:vAlign w:val="center"/>
          </w:tcPr>
          <w:p>
            <w:pPr>
              <w:spacing w:line="300" w:lineRule="exact"/>
              <w:jc w:val="left"/>
              <w:rPr>
                <w:rFonts w:ascii="方正书宋_GBK" w:eastAsia="方正书宋_GBK"/>
                <w:sz w:val="18"/>
                <w:szCs w:val="21"/>
              </w:rPr>
            </w:pPr>
            <w:r>
              <w:rPr>
                <w:rFonts w:hint="eastAsia" w:ascii="方正书宋_GBK" w:eastAsia="方正书宋_GBK"/>
                <w:sz w:val="16"/>
                <w:szCs w:val="20"/>
              </w:rPr>
              <w:t>监听监看广播电视节目内容频道设置和信息网络与新媒体视听节目内容</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70%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60%</w:t>
            </w:r>
          </w:p>
        </w:tc>
      </w:tr>
    </w:tbl>
    <w:p>
      <w:pPr>
        <w:autoSpaceDE w:val="0"/>
        <w:autoSpaceDN w:val="0"/>
        <w:rPr>
          <w:rFonts w:ascii="黑体" w:hAnsi="黑体" w:eastAsia="黑体"/>
          <w:color w:val="000000"/>
          <w:sz w:val="32"/>
        </w:rPr>
      </w:pPr>
      <w:r>
        <w:rPr>
          <w:rFonts w:hint="eastAsia" w:ascii="黑体" w:hAnsi="黑体" w:eastAsia="黑体"/>
          <w:color w:val="000000"/>
          <w:sz w:val="32"/>
        </w:rPr>
        <w:t>六、政府采购预算情况</w:t>
      </w:r>
    </w:p>
    <w:p>
      <w:pPr>
        <w:autoSpaceDE w:val="0"/>
        <w:autoSpaceDN w:val="0"/>
        <w:ind w:firstLine="640"/>
        <w:rPr>
          <w:rFonts w:ascii="仿宋_GB2312" w:hAnsi="仿宋_GB2312" w:eastAsia="仿宋_GB2312"/>
          <w:color w:val="000000"/>
          <w:sz w:val="32"/>
        </w:rPr>
      </w:pPr>
      <w:r>
        <w:rPr>
          <w:rFonts w:hint="eastAsia" w:ascii="仿宋_GB2312" w:hAnsi="仿宋_GB2312" w:eastAsia="仿宋_GB2312"/>
          <w:color w:val="000000"/>
          <w:sz w:val="32"/>
        </w:rPr>
        <w:t>2017年，我局安排政府采购预算800万元,具体内容见下表。</w:t>
      </w:r>
    </w:p>
    <w:p>
      <w:pPr>
        <w:jc w:val="center"/>
        <w:outlineLvl w:val="0"/>
        <w:rPr>
          <w:rFonts w:ascii="方正小标宋_GBK" w:eastAsia="方正小标宋_GBK"/>
          <w:sz w:val="32"/>
        </w:rPr>
      </w:pPr>
      <w:bookmarkStart w:id="1" w:name="_Toc481743163"/>
      <w:r>
        <w:rPr>
          <w:rFonts w:hint="eastAsia" w:ascii="方正小标宋_GBK" w:eastAsia="方正小标宋_GBK"/>
          <w:sz w:val="32"/>
        </w:rPr>
        <w:t>部门政府采购预算</w:t>
      </w:r>
      <w:bookmarkEnd w:id="1"/>
    </w:p>
    <w:tbl>
      <w:tblPr>
        <w:tblStyle w:val="4"/>
        <w:tblW w:w="1535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69"/>
        <w:gridCol w:w="1162"/>
        <w:gridCol w:w="965"/>
        <w:gridCol w:w="1054"/>
        <w:gridCol w:w="964"/>
        <w:gridCol w:w="964"/>
        <w:gridCol w:w="986"/>
        <w:gridCol w:w="964"/>
        <w:gridCol w:w="964"/>
        <w:gridCol w:w="964"/>
        <w:gridCol w:w="964"/>
        <w:gridCol w:w="964"/>
        <w:gridCol w:w="964"/>
        <w:gridCol w:w="9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664" w:type="dxa"/>
            <w:gridSpan w:val="7"/>
            <w:tcBorders>
              <w:top w:val="single" w:color="FFFFFF" w:sz="6" w:space="0"/>
              <w:left w:val="single" w:color="FFFFFF" w:sz="6" w:space="0"/>
              <w:right w:val="single" w:color="FFFFFF" w:sz="6" w:space="0"/>
            </w:tcBorders>
            <w:shd w:val="clear" w:color="auto" w:fill="auto"/>
            <w:vAlign w:val="center"/>
          </w:tcPr>
          <w:p>
            <w:pPr>
              <w:spacing w:line="300" w:lineRule="exact"/>
              <w:jc w:val="left"/>
              <w:rPr>
                <w:rFonts w:ascii="方正小标宋_GBK" w:eastAsia="方正小标宋_GBK"/>
                <w:sz w:val="24"/>
              </w:rPr>
            </w:pPr>
            <w:r>
              <w:rPr>
                <w:rFonts w:ascii="方正小标宋_GBK" w:eastAsia="方正小标宋_GBK"/>
                <w:sz w:val="24"/>
              </w:rPr>
              <w:t>106</w:t>
            </w:r>
            <w:r>
              <w:rPr>
                <w:rFonts w:hint="eastAsia" w:ascii="方正小标宋_GBK" w:eastAsia="方正小标宋_GBK"/>
                <w:sz w:val="24"/>
              </w:rPr>
              <w:t>邢台市文化广播新闻出版局</w:t>
            </w:r>
          </w:p>
        </w:tc>
        <w:tc>
          <w:tcPr>
            <w:tcW w:w="6693" w:type="dxa"/>
            <w:gridSpan w:val="7"/>
            <w:tcBorders>
              <w:top w:val="single" w:color="FFFFFF" w:sz="6" w:space="0"/>
              <w:left w:val="single" w:color="FFFFFF" w:sz="6" w:space="0"/>
              <w:right w:val="single" w:color="FFFFFF" w:sz="6" w:space="0"/>
            </w:tcBorders>
            <w:shd w:val="clear" w:color="auto" w:fill="auto"/>
            <w:vAlign w:val="center"/>
          </w:tcPr>
          <w:p>
            <w:pPr>
              <w:spacing w:line="300" w:lineRule="exact"/>
              <w:jc w:val="right"/>
              <w:rPr>
                <w:rFonts w:ascii="方正书宋_GBK" w:eastAsia="方正书宋_GBK"/>
                <w:sz w:val="24"/>
              </w:rPr>
            </w:pPr>
            <w:r>
              <w:rPr>
                <w:rFonts w:hint="eastAsia" w:ascii="方正书宋_GBK" w:eastAsia="方正书宋_GBK"/>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731" w:type="dxa"/>
            <w:gridSpan w:val="2"/>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政府采购项目来源</w:t>
            </w:r>
          </w:p>
        </w:tc>
        <w:tc>
          <w:tcPr>
            <w:tcW w:w="965"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采购物品名称</w:t>
            </w:r>
          </w:p>
        </w:tc>
        <w:tc>
          <w:tcPr>
            <w:tcW w:w="1054"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政府采购目录序号</w:t>
            </w:r>
          </w:p>
        </w:tc>
        <w:tc>
          <w:tcPr>
            <w:tcW w:w="964"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数量单位</w:t>
            </w:r>
          </w:p>
        </w:tc>
        <w:tc>
          <w:tcPr>
            <w:tcW w:w="964"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数量</w:t>
            </w:r>
          </w:p>
        </w:tc>
        <w:tc>
          <w:tcPr>
            <w:tcW w:w="98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单价</w:t>
            </w:r>
          </w:p>
        </w:tc>
        <w:tc>
          <w:tcPr>
            <w:tcW w:w="6693" w:type="dxa"/>
            <w:gridSpan w:val="7"/>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政府采购金额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569"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项目名称</w:t>
            </w:r>
          </w:p>
        </w:tc>
        <w:tc>
          <w:tcPr>
            <w:tcW w:w="1162"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预算资金</w:t>
            </w:r>
          </w:p>
        </w:tc>
        <w:tc>
          <w:tcPr>
            <w:tcW w:w="965" w:type="dxa"/>
            <w:vMerge w:val="continue"/>
            <w:shd w:val="clear" w:color="auto" w:fill="auto"/>
            <w:vAlign w:val="center"/>
          </w:tcPr>
          <w:p>
            <w:pPr>
              <w:spacing w:line="300" w:lineRule="exact"/>
              <w:jc w:val="left"/>
              <w:outlineLvl w:val="0"/>
            </w:pPr>
          </w:p>
        </w:tc>
        <w:tc>
          <w:tcPr>
            <w:tcW w:w="1054" w:type="dxa"/>
            <w:vMerge w:val="continue"/>
            <w:shd w:val="clear" w:color="auto" w:fill="auto"/>
            <w:vAlign w:val="center"/>
          </w:tcPr>
          <w:p>
            <w:pPr>
              <w:spacing w:line="300" w:lineRule="exact"/>
              <w:jc w:val="left"/>
              <w:outlineLvl w:val="0"/>
            </w:pPr>
          </w:p>
        </w:tc>
        <w:tc>
          <w:tcPr>
            <w:tcW w:w="964" w:type="dxa"/>
            <w:vMerge w:val="continue"/>
            <w:shd w:val="clear" w:color="auto" w:fill="auto"/>
            <w:vAlign w:val="center"/>
          </w:tcPr>
          <w:p>
            <w:pPr>
              <w:spacing w:line="300" w:lineRule="exact"/>
              <w:jc w:val="left"/>
              <w:outlineLvl w:val="0"/>
            </w:pPr>
          </w:p>
        </w:tc>
        <w:tc>
          <w:tcPr>
            <w:tcW w:w="964" w:type="dxa"/>
            <w:vMerge w:val="continue"/>
            <w:shd w:val="clear" w:color="auto" w:fill="auto"/>
            <w:vAlign w:val="center"/>
          </w:tcPr>
          <w:p>
            <w:pPr>
              <w:spacing w:line="300" w:lineRule="exact"/>
              <w:jc w:val="left"/>
              <w:outlineLvl w:val="0"/>
            </w:pPr>
          </w:p>
        </w:tc>
        <w:tc>
          <w:tcPr>
            <w:tcW w:w="986" w:type="dxa"/>
            <w:vMerge w:val="continue"/>
            <w:shd w:val="clear" w:color="auto" w:fill="auto"/>
            <w:vAlign w:val="center"/>
          </w:tcPr>
          <w:p>
            <w:pPr>
              <w:spacing w:line="300" w:lineRule="exact"/>
              <w:jc w:val="left"/>
              <w:outlineLvl w:val="0"/>
            </w:pPr>
          </w:p>
        </w:tc>
        <w:tc>
          <w:tcPr>
            <w:tcW w:w="964"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总计</w:t>
            </w:r>
          </w:p>
        </w:tc>
        <w:tc>
          <w:tcPr>
            <w:tcW w:w="4820" w:type="dxa"/>
            <w:gridSpan w:val="5"/>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当年部门预算安排资金</w:t>
            </w:r>
          </w:p>
        </w:tc>
        <w:tc>
          <w:tcPr>
            <w:tcW w:w="909"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其他渠道资金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569" w:type="dxa"/>
            <w:vMerge w:val="continue"/>
            <w:shd w:val="clear" w:color="auto" w:fill="auto"/>
            <w:vAlign w:val="center"/>
          </w:tcPr>
          <w:p>
            <w:pPr>
              <w:spacing w:line="300" w:lineRule="exact"/>
              <w:jc w:val="left"/>
              <w:outlineLvl w:val="0"/>
            </w:pPr>
          </w:p>
        </w:tc>
        <w:tc>
          <w:tcPr>
            <w:tcW w:w="1162" w:type="dxa"/>
            <w:vMerge w:val="continue"/>
            <w:shd w:val="clear" w:color="auto" w:fill="auto"/>
            <w:vAlign w:val="center"/>
          </w:tcPr>
          <w:p>
            <w:pPr>
              <w:spacing w:line="300" w:lineRule="exact"/>
              <w:jc w:val="left"/>
              <w:outlineLvl w:val="0"/>
            </w:pPr>
          </w:p>
        </w:tc>
        <w:tc>
          <w:tcPr>
            <w:tcW w:w="965" w:type="dxa"/>
            <w:vMerge w:val="continue"/>
            <w:shd w:val="clear" w:color="auto" w:fill="auto"/>
            <w:vAlign w:val="center"/>
          </w:tcPr>
          <w:p>
            <w:pPr>
              <w:spacing w:line="300" w:lineRule="exact"/>
              <w:jc w:val="left"/>
              <w:outlineLvl w:val="0"/>
            </w:pPr>
          </w:p>
        </w:tc>
        <w:tc>
          <w:tcPr>
            <w:tcW w:w="1054" w:type="dxa"/>
            <w:vMerge w:val="continue"/>
            <w:shd w:val="clear" w:color="auto" w:fill="auto"/>
            <w:vAlign w:val="center"/>
          </w:tcPr>
          <w:p>
            <w:pPr>
              <w:spacing w:line="300" w:lineRule="exact"/>
              <w:jc w:val="left"/>
              <w:outlineLvl w:val="0"/>
            </w:pPr>
          </w:p>
        </w:tc>
        <w:tc>
          <w:tcPr>
            <w:tcW w:w="964" w:type="dxa"/>
            <w:vMerge w:val="continue"/>
            <w:shd w:val="clear" w:color="auto" w:fill="auto"/>
            <w:vAlign w:val="center"/>
          </w:tcPr>
          <w:p>
            <w:pPr>
              <w:spacing w:line="300" w:lineRule="exact"/>
              <w:jc w:val="left"/>
              <w:outlineLvl w:val="0"/>
            </w:pPr>
          </w:p>
        </w:tc>
        <w:tc>
          <w:tcPr>
            <w:tcW w:w="964" w:type="dxa"/>
            <w:vMerge w:val="continue"/>
            <w:shd w:val="clear" w:color="auto" w:fill="auto"/>
            <w:vAlign w:val="center"/>
          </w:tcPr>
          <w:p>
            <w:pPr>
              <w:spacing w:line="300" w:lineRule="exact"/>
              <w:jc w:val="left"/>
              <w:outlineLvl w:val="0"/>
            </w:pPr>
          </w:p>
        </w:tc>
        <w:tc>
          <w:tcPr>
            <w:tcW w:w="986" w:type="dxa"/>
            <w:vMerge w:val="continue"/>
            <w:shd w:val="clear" w:color="auto" w:fill="auto"/>
            <w:vAlign w:val="center"/>
          </w:tcPr>
          <w:p>
            <w:pPr>
              <w:spacing w:line="300" w:lineRule="exact"/>
              <w:jc w:val="left"/>
              <w:outlineLvl w:val="0"/>
            </w:pPr>
          </w:p>
        </w:tc>
        <w:tc>
          <w:tcPr>
            <w:tcW w:w="964" w:type="dxa"/>
            <w:vMerge w:val="continue"/>
            <w:shd w:val="clear" w:color="auto" w:fill="auto"/>
            <w:vAlign w:val="center"/>
          </w:tcPr>
          <w:p>
            <w:pPr>
              <w:spacing w:line="300" w:lineRule="exact"/>
              <w:jc w:val="left"/>
              <w:outlineLvl w:val="0"/>
            </w:pPr>
          </w:p>
        </w:tc>
        <w:tc>
          <w:tcPr>
            <w:tcW w:w="964"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合计</w:t>
            </w:r>
          </w:p>
        </w:tc>
        <w:tc>
          <w:tcPr>
            <w:tcW w:w="964"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一般公共预算拨款</w:t>
            </w:r>
          </w:p>
        </w:tc>
        <w:tc>
          <w:tcPr>
            <w:tcW w:w="964"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基金预算拨款</w:t>
            </w:r>
          </w:p>
        </w:tc>
        <w:tc>
          <w:tcPr>
            <w:tcW w:w="964"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财政专户核拨</w:t>
            </w:r>
          </w:p>
        </w:tc>
        <w:tc>
          <w:tcPr>
            <w:tcW w:w="964"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其他来源收入</w:t>
            </w:r>
          </w:p>
        </w:tc>
        <w:tc>
          <w:tcPr>
            <w:tcW w:w="909" w:type="dxa"/>
            <w:vMerge w:val="continue"/>
            <w:shd w:val="clear" w:color="auto" w:fill="auto"/>
            <w:vAlign w:val="center"/>
          </w:tcPr>
          <w:p>
            <w:pPr>
              <w:spacing w:line="300" w:lineRule="exact"/>
              <w:jc w:val="left"/>
              <w:outlineLvl w:val="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合　计</w:t>
            </w:r>
          </w:p>
        </w:tc>
        <w:tc>
          <w:tcPr>
            <w:tcW w:w="1162" w:type="dxa"/>
            <w:shd w:val="clear" w:color="auto" w:fill="auto"/>
            <w:vAlign w:val="center"/>
          </w:tcPr>
          <w:p>
            <w:pPr>
              <w:spacing w:line="300" w:lineRule="exact"/>
              <w:jc w:val="right"/>
              <w:rPr>
                <w:rFonts w:ascii="方正书宋_GBK" w:eastAsia="方正书宋_GBK"/>
                <w:b/>
              </w:rPr>
            </w:pPr>
          </w:p>
        </w:tc>
        <w:tc>
          <w:tcPr>
            <w:tcW w:w="965" w:type="dxa"/>
            <w:shd w:val="clear" w:color="auto" w:fill="auto"/>
            <w:vAlign w:val="center"/>
          </w:tcPr>
          <w:p>
            <w:pPr>
              <w:spacing w:line="300" w:lineRule="exact"/>
              <w:jc w:val="left"/>
              <w:rPr>
                <w:rFonts w:ascii="方正书宋_GBK" w:eastAsia="方正书宋_GBK"/>
                <w:b/>
              </w:rPr>
            </w:pPr>
          </w:p>
        </w:tc>
        <w:tc>
          <w:tcPr>
            <w:tcW w:w="1054" w:type="dxa"/>
            <w:shd w:val="clear" w:color="auto" w:fill="auto"/>
            <w:vAlign w:val="center"/>
          </w:tcPr>
          <w:p>
            <w:pPr>
              <w:spacing w:line="300" w:lineRule="exact"/>
              <w:jc w:val="left"/>
              <w:rPr>
                <w:rFonts w:ascii="方正书宋_GBK" w:eastAsia="方正书宋_GBK"/>
                <w:b/>
              </w:rPr>
            </w:pPr>
          </w:p>
        </w:tc>
        <w:tc>
          <w:tcPr>
            <w:tcW w:w="964" w:type="dxa"/>
            <w:shd w:val="clear" w:color="auto" w:fill="auto"/>
            <w:vAlign w:val="center"/>
          </w:tcPr>
          <w:p>
            <w:pPr>
              <w:spacing w:line="300" w:lineRule="exact"/>
              <w:jc w:val="left"/>
              <w:rPr>
                <w:rFonts w:ascii="方正书宋_GBK" w:eastAsia="方正书宋_GBK"/>
                <w:b/>
              </w:rPr>
            </w:pPr>
          </w:p>
        </w:tc>
        <w:tc>
          <w:tcPr>
            <w:tcW w:w="964" w:type="dxa"/>
            <w:shd w:val="clear" w:color="auto" w:fill="auto"/>
            <w:vAlign w:val="center"/>
          </w:tcPr>
          <w:p>
            <w:pPr>
              <w:spacing w:line="300" w:lineRule="exact"/>
              <w:jc w:val="right"/>
              <w:rPr>
                <w:rFonts w:ascii="方正书宋_GBK" w:eastAsia="方正书宋_GBK"/>
                <w:b/>
              </w:rPr>
            </w:pPr>
          </w:p>
        </w:tc>
        <w:tc>
          <w:tcPr>
            <w:tcW w:w="986" w:type="dxa"/>
            <w:shd w:val="clear" w:color="auto" w:fill="auto"/>
            <w:vAlign w:val="center"/>
          </w:tcPr>
          <w:p>
            <w:pPr>
              <w:spacing w:line="300" w:lineRule="exact"/>
              <w:jc w:val="right"/>
              <w:rPr>
                <w:rFonts w:ascii="方正书宋_GBK" w:eastAsia="方正书宋_GBK"/>
                <w:b/>
              </w:rPr>
            </w:pPr>
          </w:p>
        </w:tc>
        <w:tc>
          <w:tcPr>
            <w:tcW w:w="964" w:type="dxa"/>
            <w:shd w:val="clear" w:color="auto" w:fill="auto"/>
            <w:vAlign w:val="center"/>
          </w:tcPr>
          <w:p>
            <w:pPr>
              <w:spacing w:line="300" w:lineRule="exact"/>
              <w:jc w:val="right"/>
              <w:rPr>
                <w:rFonts w:ascii="方正书宋_GBK" w:eastAsia="方正书宋_GBK"/>
                <w:b/>
              </w:rPr>
            </w:pPr>
            <w:r>
              <w:rPr>
                <w:rFonts w:ascii="方正书宋_GBK" w:eastAsia="方正书宋_GBK"/>
                <w:b/>
              </w:rPr>
              <w:t>800.00</w:t>
            </w:r>
          </w:p>
        </w:tc>
        <w:tc>
          <w:tcPr>
            <w:tcW w:w="964" w:type="dxa"/>
            <w:shd w:val="clear" w:color="auto" w:fill="auto"/>
            <w:vAlign w:val="center"/>
          </w:tcPr>
          <w:p>
            <w:pPr>
              <w:spacing w:line="300" w:lineRule="exact"/>
              <w:jc w:val="right"/>
              <w:rPr>
                <w:rFonts w:ascii="方正书宋_GBK" w:eastAsia="方正书宋_GBK"/>
                <w:b/>
              </w:rPr>
            </w:pPr>
            <w:r>
              <w:rPr>
                <w:rFonts w:ascii="方正书宋_GBK" w:eastAsia="方正书宋_GBK"/>
                <w:b/>
              </w:rPr>
              <w:t>800.00</w:t>
            </w:r>
          </w:p>
        </w:tc>
        <w:tc>
          <w:tcPr>
            <w:tcW w:w="964" w:type="dxa"/>
            <w:shd w:val="clear" w:color="auto" w:fill="auto"/>
            <w:vAlign w:val="center"/>
          </w:tcPr>
          <w:p>
            <w:pPr>
              <w:spacing w:line="300" w:lineRule="exact"/>
              <w:jc w:val="right"/>
              <w:rPr>
                <w:rFonts w:ascii="方正书宋_GBK" w:eastAsia="方正书宋_GBK"/>
                <w:b/>
              </w:rPr>
            </w:pPr>
            <w:r>
              <w:rPr>
                <w:rFonts w:ascii="方正书宋_GBK" w:eastAsia="方正书宋_GBK"/>
                <w:b/>
              </w:rPr>
              <w:t>800.00</w:t>
            </w:r>
          </w:p>
        </w:tc>
        <w:tc>
          <w:tcPr>
            <w:tcW w:w="964" w:type="dxa"/>
            <w:shd w:val="clear" w:color="auto" w:fill="auto"/>
            <w:vAlign w:val="center"/>
          </w:tcPr>
          <w:p>
            <w:pPr>
              <w:spacing w:line="300" w:lineRule="exact"/>
              <w:jc w:val="right"/>
              <w:rPr>
                <w:rFonts w:ascii="方正书宋_GBK" w:eastAsia="方正书宋_GBK"/>
                <w:b/>
              </w:rPr>
            </w:pPr>
          </w:p>
        </w:tc>
        <w:tc>
          <w:tcPr>
            <w:tcW w:w="964" w:type="dxa"/>
            <w:shd w:val="clear" w:color="auto" w:fill="auto"/>
            <w:vAlign w:val="center"/>
          </w:tcPr>
          <w:p>
            <w:pPr>
              <w:spacing w:line="300" w:lineRule="exact"/>
              <w:jc w:val="right"/>
              <w:rPr>
                <w:rFonts w:ascii="方正书宋_GBK" w:eastAsia="方正书宋_GBK"/>
                <w:b/>
              </w:rPr>
            </w:pPr>
          </w:p>
        </w:tc>
        <w:tc>
          <w:tcPr>
            <w:tcW w:w="964" w:type="dxa"/>
            <w:shd w:val="clear" w:color="auto" w:fill="auto"/>
            <w:vAlign w:val="center"/>
          </w:tcPr>
          <w:p>
            <w:pPr>
              <w:spacing w:line="300" w:lineRule="exact"/>
              <w:jc w:val="right"/>
              <w:rPr>
                <w:rFonts w:ascii="方正书宋_GBK" w:eastAsia="方正书宋_GBK"/>
                <w:b/>
              </w:rPr>
            </w:pPr>
          </w:p>
        </w:tc>
        <w:tc>
          <w:tcPr>
            <w:tcW w:w="909" w:type="dxa"/>
            <w:shd w:val="clear" w:color="auto" w:fill="auto"/>
            <w:vAlign w:val="center"/>
          </w:tcPr>
          <w:p>
            <w:pPr>
              <w:spacing w:line="300" w:lineRule="exact"/>
              <w:jc w:val="right"/>
              <w:rPr>
                <w:rFonts w:ascii="方正书宋_GBK" w:eastAsia="方正书宋_GBK"/>
                <w: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邢台市文化广播新闻出版局小计</w:t>
            </w:r>
          </w:p>
        </w:tc>
        <w:tc>
          <w:tcPr>
            <w:tcW w:w="1162" w:type="dxa"/>
            <w:shd w:val="clear" w:color="auto" w:fill="auto"/>
            <w:vAlign w:val="center"/>
          </w:tcPr>
          <w:p>
            <w:pPr>
              <w:spacing w:line="300" w:lineRule="exact"/>
              <w:jc w:val="right"/>
              <w:rPr>
                <w:rFonts w:ascii="方正书宋_GBK" w:eastAsia="方正书宋_GBK"/>
                <w:b/>
              </w:rPr>
            </w:pPr>
          </w:p>
        </w:tc>
        <w:tc>
          <w:tcPr>
            <w:tcW w:w="965" w:type="dxa"/>
            <w:shd w:val="clear" w:color="auto" w:fill="auto"/>
            <w:vAlign w:val="center"/>
          </w:tcPr>
          <w:p>
            <w:pPr>
              <w:spacing w:line="300" w:lineRule="exact"/>
              <w:jc w:val="left"/>
              <w:rPr>
                <w:rFonts w:ascii="方正书宋_GBK" w:eastAsia="方正书宋_GBK"/>
                <w:b/>
              </w:rPr>
            </w:pPr>
          </w:p>
        </w:tc>
        <w:tc>
          <w:tcPr>
            <w:tcW w:w="1054" w:type="dxa"/>
            <w:shd w:val="clear" w:color="auto" w:fill="auto"/>
            <w:vAlign w:val="center"/>
          </w:tcPr>
          <w:p>
            <w:pPr>
              <w:spacing w:line="300" w:lineRule="exact"/>
              <w:jc w:val="left"/>
              <w:rPr>
                <w:rFonts w:ascii="方正书宋_GBK" w:eastAsia="方正书宋_GBK"/>
                <w:b/>
              </w:rPr>
            </w:pPr>
          </w:p>
        </w:tc>
        <w:tc>
          <w:tcPr>
            <w:tcW w:w="964" w:type="dxa"/>
            <w:shd w:val="clear" w:color="auto" w:fill="auto"/>
            <w:vAlign w:val="center"/>
          </w:tcPr>
          <w:p>
            <w:pPr>
              <w:spacing w:line="300" w:lineRule="exact"/>
              <w:jc w:val="left"/>
              <w:rPr>
                <w:rFonts w:ascii="方正书宋_GBK" w:eastAsia="方正书宋_GBK"/>
                <w:b/>
              </w:rPr>
            </w:pPr>
          </w:p>
        </w:tc>
        <w:tc>
          <w:tcPr>
            <w:tcW w:w="964" w:type="dxa"/>
            <w:shd w:val="clear" w:color="auto" w:fill="auto"/>
            <w:vAlign w:val="center"/>
          </w:tcPr>
          <w:p>
            <w:pPr>
              <w:spacing w:line="300" w:lineRule="exact"/>
              <w:jc w:val="right"/>
              <w:rPr>
                <w:rFonts w:ascii="方正书宋_GBK" w:eastAsia="方正书宋_GBK"/>
                <w:b/>
              </w:rPr>
            </w:pPr>
          </w:p>
        </w:tc>
        <w:tc>
          <w:tcPr>
            <w:tcW w:w="986" w:type="dxa"/>
            <w:shd w:val="clear" w:color="auto" w:fill="auto"/>
            <w:vAlign w:val="center"/>
          </w:tcPr>
          <w:p>
            <w:pPr>
              <w:spacing w:line="300" w:lineRule="exact"/>
              <w:jc w:val="right"/>
              <w:rPr>
                <w:rFonts w:ascii="方正书宋_GBK" w:eastAsia="方正书宋_GBK"/>
                <w:b/>
              </w:rPr>
            </w:pPr>
          </w:p>
        </w:tc>
        <w:tc>
          <w:tcPr>
            <w:tcW w:w="964" w:type="dxa"/>
            <w:shd w:val="clear" w:color="auto" w:fill="auto"/>
            <w:vAlign w:val="center"/>
          </w:tcPr>
          <w:p>
            <w:pPr>
              <w:spacing w:line="300" w:lineRule="exact"/>
              <w:jc w:val="right"/>
              <w:rPr>
                <w:rFonts w:ascii="方正书宋_GBK" w:eastAsia="方正书宋_GBK"/>
                <w:b/>
              </w:rPr>
            </w:pPr>
            <w:r>
              <w:rPr>
                <w:rFonts w:ascii="方正书宋_GBK" w:eastAsia="方正书宋_GBK"/>
                <w:b/>
              </w:rPr>
              <w:t>800.00</w:t>
            </w:r>
          </w:p>
        </w:tc>
        <w:tc>
          <w:tcPr>
            <w:tcW w:w="964" w:type="dxa"/>
            <w:shd w:val="clear" w:color="auto" w:fill="auto"/>
            <w:vAlign w:val="center"/>
          </w:tcPr>
          <w:p>
            <w:pPr>
              <w:spacing w:line="300" w:lineRule="exact"/>
              <w:jc w:val="right"/>
              <w:rPr>
                <w:rFonts w:ascii="方正书宋_GBK" w:eastAsia="方正书宋_GBK"/>
                <w:b/>
              </w:rPr>
            </w:pPr>
            <w:r>
              <w:rPr>
                <w:rFonts w:ascii="方正书宋_GBK" w:eastAsia="方正书宋_GBK"/>
                <w:b/>
              </w:rPr>
              <w:t>800.00</w:t>
            </w:r>
          </w:p>
        </w:tc>
        <w:tc>
          <w:tcPr>
            <w:tcW w:w="964" w:type="dxa"/>
            <w:shd w:val="clear" w:color="auto" w:fill="auto"/>
            <w:vAlign w:val="center"/>
          </w:tcPr>
          <w:p>
            <w:pPr>
              <w:spacing w:line="300" w:lineRule="exact"/>
              <w:jc w:val="right"/>
              <w:rPr>
                <w:rFonts w:ascii="方正书宋_GBK" w:eastAsia="方正书宋_GBK"/>
                <w:b/>
              </w:rPr>
            </w:pPr>
            <w:r>
              <w:rPr>
                <w:rFonts w:ascii="方正书宋_GBK" w:eastAsia="方正书宋_GBK"/>
                <w:b/>
              </w:rPr>
              <w:t>800.00</w:t>
            </w:r>
          </w:p>
        </w:tc>
        <w:tc>
          <w:tcPr>
            <w:tcW w:w="964" w:type="dxa"/>
            <w:shd w:val="clear" w:color="auto" w:fill="auto"/>
            <w:vAlign w:val="center"/>
          </w:tcPr>
          <w:p>
            <w:pPr>
              <w:spacing w:line="300" w:lineRule="exact"/>
              <w:jc w:val="right"/>
              <w:rPr>
                <w:rFonts w:ascii="方正书宋_GBK" w:eastAsia="方正书宋_GBK"/>
                <w:b/>
              </w:rPr>
            </w:pPr>
          </w:p>
        </w:tc>
        <w:tc>
          <w:tcPr>
            <w:tcW w:w="964" w:type="dxa"/>
            <w:shd w:val="clear" w:color="auto" w:fill="auto"/>
            <w:vAlign w:val="center"/>
          </w:tcPr>
          <w:p>
            <w:pPr>
              <w:spacing w:line="300" w:lineRule="exact"/>
              <w:jc w:val="right"/>
              <w:rPr>
                <w:rFonts w:ascii="方正书宋_GBK" w:eastAsia="方正书宋_GBK"/>
                <w:b/>
              </w:rPr>
            </w:pPr>
          </w:p>
        </w:tc>
        <w:tc>
          <w:tcPr>
            <w:tcW w:w="964" w:type="dxa"/>
            <w:shd w:val="clear" w:color="auto" w:fill="auto"/>
            <w:vAlign w:val="center"/>
          </w:tcPr>
          <w:p>
            <w:pPr>
              <w:spacing w:line="300" w:lineRule="exact"/>
              <w:jc w:val="right"/>
              <w:rPr>
                <w:rFonts w:ascii="方正书宋_GBK" w:eastAsia="方正书宋_GBK"/>
                <w:b/>
              </w:rPr>
            </w:pPr>
          </w:p>
        </w:tc>
        <w:tc>
          <w:tcPr>
            <w:tcW w:w="909" w:type="dxa"/>
            <w:shd w:val="clear" w:color="auto" w:fill="auto"/>
            <w:vAlign w:val="center"/>
          </w:tcPr>
          <w:p>
            <w:pPr>
              <w:spacing w:line="300" w:lineRule="exact"/>
              <w:jc w:val="right"/>
              <w:rPr>
                <w:rFonts w:ascii="方正书宋_GBK" w:eastAsia="方正书宋_GBK"/>
                <w: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开元寺围墙碑廊建设</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40.00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修缮工程</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B08</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40.00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40.00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40.00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40.00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sz w:val="16"/>
                <w:szCs w:val="20"/>
              </w:rPr>
              <w:t>开元寺文物保护管理日常经费</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sz w:val="16"/>
                <w:szCs w:val="20"/>
              </w:rPr>
              <w:t>其他服</w:t>
            </w:r>
            <w:r>
              <w:rPr>
                <w:rFonts w:hint="eastAsia" w:ascii="方正书宋_GBK" w:eastAsia="方正书宋_GBK"/>
                <w:sz w:val="18"/>
                <w:szCs w:val="21"/>
              </w:rPr>
              <w:t>务</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C99</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开元寺文物安全保护安保人员费用</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其他服务</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C99</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文物管理处文物勘探考古发掘费</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230.00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其他服务</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C99</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230.00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230.00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230.00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230.00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文物管理处天宁寺大雄宝殿主要梁架制作安装项目</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50.00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修缮工程</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B08</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50.00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50.00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50.00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50.00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文物管理处省存邢窑遗址、邢国墓地、南宫后底阁遗址出土文物回调修复整理</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80.00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其他服务</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C99</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80.00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80.00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80.00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80.00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文物管理处大成殿运行维护祭孔费</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10.00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其他服务</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C99</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10.00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文物管理处商王祖乙和西周邢国都城探源工程遥感经费</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30.00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其他服务</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C99</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30.00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30.00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30.00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30.00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文物管理处文物中心库房搬迁及安防</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消防工程和安防工程</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B0510</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邢台市图书馆购书经费</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80.00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图书</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A0501</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70.00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70.00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70.00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70.00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邢台市图书馆运行费</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120.00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物业管理服务</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C1204</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58.00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58.00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58.00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58.00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政府购买服务戏曲团体送戏下乡工作</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100.00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文化、体育、娱乐服务</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C20</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100</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1.00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100.00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100.00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100.00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艺术研究《邢襄文化》杂志编辑</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30.00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印刷品</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A0802</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30</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1.00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30.00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30.00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30.00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艺术研究美术、剧本精品创作</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印刷品</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A0802</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1.00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20.00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56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守敬馆简仪浑仪复制</w:t>
            </w:r>
          </w:p>
        </w:tc>
        <w:tc>
          <w:tcPr>
            <w:tcW w:w="1162" w:type="dxa"/>
            <w:shd w:val="clear" w:color="auto" w:fill="auto"/>
            <w:vAlign w:val="center"/>
          </w:tcPr>
          <w:p>
            <w:pPr>
              <w:spacing w:line="300" w:lineRule="exact"/>
              <w:jc w:val="right"/>
              <w:rPr>
                <w:rFonts w:ascii="方正书宋_GBK" w:eastAsia="方正书宋_GBK"/>
              </w:rPr>
            </w:pPr>
            <w:r>
              <w:rPr>
                <w:rFonts w:ascii="方正书宋_GBK" w:eastAsia="方正书宋_GBK"/>
              </w:rPr>
              <w:t>22.00</w:t>
            </w:r>
          </w:p>
        </w:tc>
        <w:tc>
          <w:tcPr>
            <w:tcW w:w="965"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修缮工程</w:t>
            </w:r>
          </w:p>
        </w:tc>
        <w:tc>
          <w:tcPr>
            <w:tcW w:w="1054" w:type="dxa"/>
            <w:shd w:val="clear" w:color="auto" w:fill="auto"/>
            <w:vAlign w:val="center"/>
          </w:tcPr>
          <w:p>
            <w:pPr>
              <w:spacing w:line="300" w:lineRule="exact"/>
              <w:jc w:val="left"/>
              <w:rPr>
                <w:rFonts w:ascii="方正书宋_GBK" w:eastAsia="方正书宋_GBK"/>
              </w:rPr>
            </w:pPr>
            <w:r>
              <w:rPr>
                <w:rFonts w:ascii="方正书宋_GBK" w:eastAsia="方正书宋_GBK"/>
              </w:rPr>
              <w:t>B08</w:t>
            </w:r>
          </w:p>
        </w:tc>
        <w:tc>
          <w:tcPr>
            <w:tcW w:w="964" w:type="dxa"/>
            <w:shd w:val="clear" w:color="auto" w:fill="auto"/>
            <w:vAlign w:val="center"/>
          </w:tcPr>
          <w:p>
            <w:pPr>
              <w:spacing w:line="300" w:lineRule="exact"/>
              <w:jc w:val="lef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1</w:t>
            </w:r>
          </w:p>
        </w:tc>
        <w:tc>
          <w:tcPr>
            <w:tcW w:w="986" w:type="dxa"/>
            <w:shd w:val="clear" w:color="auto" w:fill="auto"/>
            <w:vAlign w:val="center"/>
          </w:tcPr>
          <w:p>
            <w:pPr>
              <w:spacing w:line="300" w:lineRule="exact"/>
              <w:jc w:val="right"/>
              <w:rPr>
                <w:rFonts w:ascii="方正书宋_GBK" w:eastAsia="方正书宋_GBK"/>
              </w:rPr>
            </w:pPr>
            <w:r>
              <w:rPr>
                <w:rFonts w:ascii="方正书宋_GBK" w:eastAsia="方正书宋_GBK"/>
              </w:rPr>
              <w:t>22.00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22.00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22.00</w:t>
            </w:r>
          </w:p>
        </w:tc>
        <w:tc>
          <w:tcPr>
            <w:tcW w:w="964" w:type="dxa"/>
            <w:shd w:val="clear" w:color="auto" w:fill="auto"/>
            <w:vAlign w:val="center"/>
          </w:tcPr>
          <w:p>
            <w:pPr>
              <w:spacing w:line="300" w:lineRule="exact"/>
              <w:jc w:val="right"/>
              <w:rPr>
                <w:rFonts w:ascii="方正书宋_GBK" w:eastAsia="方正书宋_GBK"/>
              </w:rPr>
            </w:pPr>
            <w:r>
              <w:rPr>
                <w:rFonts w:ascii="方正书宋_GBK" w:eastAsia="方正书宋_GBK"/>
              </w:rPr>
              <w:t>22.00</w:t>
            </w: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64" w:type="dxa"/>
            <w:shd w:val="clear" w:color="auto" w:fill="auto"/>
            <w:vAlign w:val="center"/>
          </w:tcPr>
          <w:p>
            <w:pPr>
              <w:spacing w:line="300" w:lineRule="exact"/>
              <w:jc w:val="right"/>
              <w:rPr>
                <w:rFonts w:ascii="方正书宋_GBK" w:eastAsia="方正书宋_GBK"/>
              </w:rPr>
            </w:pPr>
          </w:p>
        </w:tc>
        <w:tc>
          <w:tcPr>
            <w:tcW w:w="909" w:type="dxa"/>
            <w:shd w:val="clear" w:color="auto" w:fill="auto"/>
            <w:vAlign w:val="center"/>
          </w:tcPr>
          <w:p>
            <w:pPr>
              <w:spacing w:line="300" w:lineRule="exact"/>
              <w:jc w:val="right"/>
              <w:rPr>
                <w:rFonts w:ascii="方正书宋_GBK" w:eastAsia="方正书宋_GBK"/>
              </w:rPr>
            </w:pPr>
          </w:p>
        </w:tc>
      </w:tr>
    </w:tbl>
    <w:p>
      <w:pPr>
        <w:autoSpaceDE w:val="0"/>
        <w:autoSpaceDN w:val="0"/>
        <w:rPr>
          <w:rFonts w:ascii="黑体" w:hAnsi="黑体" w:eastAsia="黑体"/>
          <w:bCs/>
          <w:color w:val="000000"/>
          <w:sz w:val="32"/>
        </w:rPr>
      </w:pPr>
      <w:r>
        <w:rPr>
          <w:rFonts w:hint="eastAsia" w:ascii="黑体" w:hAnsi="黑体" w:eastAsia="黑体"/>
          <w:bCs/>
          <w:color w:val="000000"/>
          <w:sz w:val="32"/>
        </w:rPr>
        <w:t>七、国有资产信息</w:t>
      </w:r>
    </w:p>
    <w:p>
      <w:pPr>
        <w:rPr>
          <w:rFonts w:ascii="仿宋_GB2312" w:hAnsi="仿宋_GB2312" w:eastAsia="仿宋_GB2312"/>
          <w:color w:val="000000"/>
          <w:sz w:val="32"/>
        </w:rPr>
      </w:pPr>
      <w:r>
        <w:rPr>
          <w:rFonts w:hint="eastAsia" w:ascii="仿宋_GB2312" w:hAnsi="仿宋_GB2312" w:eastAsia="仿宋_GB2312"/>
          <w:color w:val="000000"/>
          <w:sz w:val="32"/>
        </w:rPr>
        <w:t>市文广新局上年末固定资产金额为4140.99万元，具体内容见下表。</w:t>
      </w:r>
    </w:p>
    <w:tbl>
      <w:tblPr>
        <w:tblStyle w:val="4"/>
        <w:tblW w:w="13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3"/>
        <w:gridCol w:w="2256"/>
        <w:gridCol w:w="2257"/>
        <w:gridCol w:w="4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3540" w:type="dxa"/>
            <w:gridSpan w:val="4"/>
          </w:tcPr>
          <w:p>
            <w:pPr>
              <w:autoSpaceDE w:val="0"/>
              <w:autoSpaceDN w:val="0"/>
              <w:jc w:val="center"/>
              <w:rPr>
                <w:rFonts w:ascii="仿宋_GB2312" w:hAnsi="仿宋_GB2312" w:eastAsia="仿宋_GB2312"/>
                <w:color w:val="000000"/>
                <w:sz w:val="24"/>
              </w:rPr>
            </w:pPr>
            <w:r>
              <w:rPr>
                <w:rFonts w:hint="eastAsia" w:ascii="仿宋_GB2312" w:hAnsi="仿宋_GB2312" w:eastAsia="仿宋_GB2312"/>
                <w:color w:val="000000"/>
                <w:sz w:val="24"/>
              </w:rPr>
              <w:t>邢台市文化广电新闻出版局固定资产占用情况表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6769" w:type="dxa"/>
            <w:gridSpan w:val="2"/>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编制部门：邢台市文化广电新闻出版局</w:t>
            </w:r>
          </w:p>
        </w:tc>
        <w:tc>
          <w:tcPr>
            <w:tcW w:w="6771" w:type="dxa"/>
            <w:gridSpan w:val="2"/>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截止时间：2016年12月31日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4513"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项 目 </w:t>
            </w:r>
          </w:p>
        </w:tc>
        <w:tc>
          <w:tcPr>
            <w:tcW w:w="4513" w:type="dxa"/>
            <w:gridSpan w:val="2"/>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数量 </w:t>
            </w:r>
          </w:p>
        </w:tc>
        <w:tc>
          <w:tcPr>
            <w:tcW w:w="4514"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价值（金额单位：万元）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4513"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资产总额 </w:t>
            </w:r>
          </w:p>
        </w:tc>
        <w:tc>
          <w:tcPr>
            <w:tcW w:w="4513" w:type="dxa"/>
            <w:gridSpan w:val="2"/>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 </w:t>
            </w:r>
          </w:p>
        </w:tc>
        <w:tc>
          <w:tcPr>
            <w:tcW w:w="4514"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4140.99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4513"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1、房屋（平方米） </w:t>
            </w:r>
          </w:p>
        </w:tc>
        <w:tc>
          <w:tcPr>
            <w:tcW w:w="4513" w:type="dxa"/>
            <w:gridSpan w:val="2"/>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30390.24</w:t>
            </w:r>
          </w:p>
        </w:tc>
        <w:tc>
          <w:tcPr>
            <w:tcW w:w="4514"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1142.99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4513"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其中：办公用房</w:t>
            </w:r>
          </w:p>
        </w:tc>
        <w:tc>
          <w:tcPr>
            <w:tcW w:w="4513" w:type="dxa"/>
            <w:gridSpan w:val="2"/>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24605</w:t>
            </w:r>
          </w:p>
        </w:tc>
        <w:tc>
          <w:tcPr>
            <w:tcW w:w="4514"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899.26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4513"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      业务用房</w:t>
            </w:r>
          </w:p>
        </w:tc>
        <w:tc>
          <w:tcPr>
            <w:tcW w:w="4513" w:type="dxa"/>
            <w:gridSpan w:val="2"/>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1968</w:t>
            </w:r>
          </w:p>
        </w:tc>
        <w:tc>
          <w:tcPr>
            <w:tcW w:w="4514"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216.25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4513"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      其他</w:t>
            </w:r>
          </w:p>
        </w:tc>
        <w:tc>
          <w:tcPr>
            <w:tcW w:w="4513" w:type="dxa"/>
            <w:gridSpan w:val="2"/>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3817.24</w:t>
            </w:r>
          </w:p>
        </w:tc>
        <w:tc>
          <w:tcPr>
            <w:tcW w:w="4514"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27.48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4513"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2、车辆（台、辆） </w:t>
            </w:r>
          </w:p>
        </w:tc>
        <w:tc>
          <w:tcPr>
            <w:tcW w:w="4513" w:type="dxa"/>
            <w:gridSpan w:val="2"/>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18</w:t>
            </w:r>
          </w:p>
        </w:tc>
        <w:tc>
          <w:tcPr>
            <w:tcW w:w="4514"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332.57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4513"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3、其他设备 </w:t>
            </w:r>
          </w:p>
        </w:tc>
        <w:tc>
          <w:tcPr>
            <w:tcW w:w="4513" w:type="dxa"/>
            <w:gridSpan w:val="2"/>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 </w:t>
            </w:r>
          </w:p>
        </w:tc>
        <w:tc>
          <w:tcPr>
            <w:tcW w:w="4514" w:type="dxa"/>
          </w:tcPr>
          <w:p>
            <w:pPr>
              <w:autoSpaceDE w:val="0"/>
              <w:autoSpaceDN w:val="0"/>
              <w:rPr>
                <w:rFonts w:ascii="仿宋_GB2312" w:hAnsi="仿宋_GB2312"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4513"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4、其他固定资产 </w:t>
            </w:r>
          </w:p>
        </w:tc>
        <w:tc>
          <w:tcPr>
            <w:tcW w:w="4513" w:type="dxa"/>
            <w:gridSpan w:val="2"/>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 xml:space="preserve">—— </w:t>
            </w:r>
          </w:p>
        </w:tc>
        <w:tc>
          <w:tcPr>
            <w:tcW w:w="4514" w:type="dxa"/>
          </w:tcPr>
          <w:p>
            <w:pPr>
              <w:autoSpaceDE w:val="0"/>
              <w:autoSpaceDN w:val="0"/>
              <w:rPr>
                <w:rFonts w:ascii="仿宋_GB2312" w:hAnsi="仿宋_GB2312" w:eastAsia="仿宋_GB2312"/>
                <w:color w:val="000000"/>
                <w:sz w:val="24"/>
              </w:rPr>
            </w:pPr>
            <w:r>
              <w:rPr>
                <w:rFonts w:hint="eastAsia" w:ascii="仿宋_GB2312" w:hAnsi="仿宋_GB2312" w:eastAsia="仿宋_GB2312"/>
                <w:color w:val="000000"/>
                <w:sz w:val="24"/>
              </w:rPr>
              <w:t>2665.43</w:t>
            </w:r>
          </w:p>
        </w:tc>
      </w:tr>
    </w:tbl>
    <w:p>
      <w:pPr>
        <w:spacing w:line="300" w:lineRule="exact"/>
        <w:jc w:val="left"/>
        <w:outlineLvl w:val="0"/>
        <w:sectPr>
          <w:footerReference r:id="rId3" w:type="default"/>
          <w:pgSz w:w="16839" w:h="11907" w:orient="landscape"/>
          <w:pgMar w:top="1361" w:right="1020" w:bottom="1361" w:left="1020" w:header="851" w:footer="992" w:gutter="0"/>
          <w:cols w:space="425" w:num="1"/>
          <w:docGrid w:type="lines" w:linePitch="312" w:charSpace="0"/>
        </w:sectPr>
      </w:pPr>
    </w:p>
    <w:p>
      <w:pPr>
        <w:autoSpaceDE w:val="0"/>
        <w:autoSpaceDN w:val="0"/>
        <w:rPr>
          <w:rFonts w:ascii="黑体" w:hAnsi="黑体" w:eastAsia="黑体"/>
          <w:bCs/>
          <w:color w:val="000000"/>
          <w:sz w:val="32"/>
        </w:rPr>
      </w:pPr>
      <w:r>
        <w:rPr>
          <w:rFonts w:hint="eastAsia" w:ascii="黑体" w:hAnsi="黑体" w:eastAsia="黑体"/>
          <w:bCs/>
          <w:color w:val="000000"/>
          <w:sz w:val="32"/>
        </w:rPr>
        <w:t>八、名词解释</w:t>
      </w:r>
    </w:p>
    <w:p>
      <w:pPr>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1</w:t>
      </w:r>
      <w:r>
        <w:rPr>
          <w:rFonts w:hint="eastAsia" w:ascii="仿宋_GB2312" w:hAnsi="仿宋_GB2312" w:eastAsia="仿宋_GB2312"/>
          <w:color w:val="000000"/>
          <w:sz w:val="32"/>
        </w:rPr>
        <w:t>、一般共预算拨款收入：指省级财政当年拨付的资金。</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2</w:t>
      </w:r>
      <w:r>
        <w:rPr>
          <w:rFonts w:hint="eastAsia" w:ascii="仿宋_GB2312" w:hAnsi="仿宋_GB2312" w:eastAsia="仿宋_GB2312"/>
          <w:color w:val="000000"/>
          <w:sz w:val="32"/>
        </w:rPr>
        <w:t>、事业收入：指事业单位开展专业业务活动及辅助活动所取得的收入。</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3</w:t>
      </w:r>
      <w:r>
        <w:rPr>
          <w:rFonts w:hint="eastAsia" w:ascii="仿宋_GB2312" w:hAnsi="仿宋_GB2312" w:eastAsia="仿宋_GB2312"/>
          <w:color w:val="000000"/>
          <w:sz w:val="32"/>
        </w:rPr>
        <w:t>、其他收入：指除上述“财政拨款收入”、“事业收入”等以外的收入。</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4</w:t>
      </w:r>
      <w:r>
        <w:rPr>
          <w:rFonts w:hint="eastAsia" w:ascii="仿宋_GB2312" w:hAnsi="仿宋_GB2312" w:eastAsia="仿宋_GB2312"/>
          <w:color w:val="000000"/>
          <w:sz w:val="32"/>
        </w:rPr>
        <w:t>、基本支出：指为保障机构正常运转、完成日常工作任务而发生的人员支出和公用支出。</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5</w:t>
      </w:r>
      <w:r>
        <w:rPr>
          <w:rFonts w:hint="eastAsia" w:ascii="仿宋_GB2312" w:hAnsi="仿宋_GB2312" w:eastAsia="仿宋_GB2312"/>
          <w:color w:val="000000"/>
          <w:sz w:val="32"/>
        </w:rPr>
        <w:t>、项目支出：指在基本支出之外为完成特定行政任务和事业发展目标所发生的支出。</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6</w:t>
      </w:r>
      <w:r>
        <w:rPr>
          <w:rFonts w:hint="eastAsia" w:ascii="仿宋_GB2312" w:hAnsi="仿宋_GB2312" w:eastAsia="仿宋_GB2312"/>
          <w:color w:val="000000"/>
          <w:sz w:val="32"/>
        </w:rPr>
        <w:t>、上缴上级支出：指所属单位上缴上级的支出。</w:t>
      </w:r>
    </w:p>
    <w:p>
      <w:pPr>
        <w:autoSpaceDE w:val="0"/>
        <w:autoSpaceDN w:val="0"/>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7</w:t>
      </w:r>
      <w:r>
        <w:rPr>
          <w:rFonts w:hint="eastAsia" w:ascii="仿宋_GB2312" w:hAnsi="仿宋_GB2312" w:eastAsia="仿宋_GB2312"/>
          <w:color w:val="000000"/>
          <w:sz w:val="32"/>
        </w:rPr>
        <w:t>、</w:t>
      </w:r>
      <w:r>
        <w:rPr>
          <w:rFonts w:hint="eastAsia" w:ascii="仿宋_GB2312" w:hAnsi="仿宋_GB2312" w:eastAsia="仿宋_GB2312"/>
          <w:b/>
          <w:color w:val="000000"/>
          <w:sz w:val="32"/>
        </w:rPr>
        <w:t>“</w:t>
      </w:r>
      <w:r>
        <w:rPr>
          <w:rFonts w:hint="eastAsia" w:ascii="仿宋_GB2312" w:hAnsi="仿宋_GB2312" w:eastAsia="仿宋_GB2312"/>
          <w:color w:val="000000"/>
          <w:sz w:val="32"/>
        </w:rPr>
        <w:t>三公</w:t>
      </w:r>
      <w:r>
        <w:rPr>
          <w:rFonts w:hint="eastAsia" w:ascii="仿宋_GB2312" w:hAnsi="仿宋_GB2312" w:eastAsia="仿宋_GB2312"/>
          <w:b/>
          <w:color w:val="000000"/>
          <w:sz w:val="32"/>
        </w:rPr>
        <w:t>”</w:t>
      </w:r>
      <w:r>
        <w:rPr>
          <w:rFonts w:hint="eastAsia" w:ascii="仿宋_GB2312" w:hAnsi="仿宋_GB2312" w:eastAsia="仿宋_GB2312"/>
          <w:color w:val="000000"/>
          <w:sz w:val="32"/>
        </w:rPr>
        <w:t>经费：纳入市级财政预算管理的“三公”经费，是指市级部门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支出。</w:t>
      </w:r>
    </w:p>
    <w:p>
      <w:pPr>
        <w:ind w:firstLine="707" w:firstLineChars="220"/>
        <w:rPr>
          <w:rFonts w:ascii="仿宋_GB2312" w:hAnsi="仿宋_GB2312" w:eastAsia="仿宋_GB2312"/>
          <w:color w:val="000000"/>
          <w:sz w:val="32"/>
        </w:rPr>
      </w:pPr>
      <w:r>
        <w:rPr>
          <w:rFonts w:hint="eastAsia" w:ascii="仿宋_GB2312" w:hAnsi="仿宋_GB2312" w:eastAsia="仿宋_GB2312"/>
          <w:b/>
          <w:color w:val="000000"/>
          <w:sz w:val="32"/>
        </w:rPr>
        <w:t>8</w:t>
      </w:r>
      <w:r>
        <w:rPr>
          <w:rFonts w:hint="eastAsia" w:ascii="仿宋_GB2312" w:hAnsi="仿宋_GB2312" w:eastAsia="仿宋_GB2312"/>
          <w:color w:val="000000"/>
          <w:sz w:val="32"/>
        </w:rPr>
        <w:t>、机关运行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utoSpaceDE w:val="0"/>
        <w:autoSpaceDN w:val="0"/>
        <w:ind w:firstLine="640" w:firstLineChars="200"/>
        <w:rPr>
          <w:rFonts w:ascii="黑体" w:hAnsi="黑体" w:eastAsia="黑体"/>
          <w:bCs/>
          <w:color w:val="000000"/>
          <w:sz w:val="32"/>
        </w:rPr>
      </w:pPr>
      <w:r>
        <w:rPr>
          <w:rFonts w:hint="eastAsia" w:ascii="黑体" w:hAnsi="黑体" w:eastAsia="黑体"/>
          <w:bCs/>
          <w:color w:val="000000"/>
          <w:sz w:val="32"/>
        </w:rPr>
        <w:t>九、其他需说明事项</w:t>
      </w:r>
    </w:p>
    <w:p>
      <w:pPr>
        <w:ind w:firstLine="480" w:firstLineChars="150"/>
        <w:rPr>
          <w:rFonts w:ascii="仿宋_GB2312" w:hAnsi="仿宋_GB2312" w:eastAsia="仿宋_GB2312"/>
          <w:color w:val="000000"/>
          <w:sz w:val="32"/>
        </w:rPr>
      </w:pPr>
      <w:r>
        <w:rPr>
          <w:rFonts w:hint="eastAsia" w:ascii="仿宋_GB2312" w:hAnsi="仿宋_GB2312" w:eastAsia="仿宋_GB2312"/>
          <w:color w:val="000000"/>
          <w:sz w:val="32"/>
        </w:rPr>
        <w:t>无其他需说明事项</w:t>
      </w:r>
    </w:p>
    <w:p>
      <w:pPr>
        <w:autoSpaceDE w:val="0"/>
        <w:autoSpaceDN w:val="0"/>
        <w:ind w:firstLine="640"/>
        <w:rPr>
          <w:rFonts w:ascii="仿宋_GB2312" w:hAnsi="仿宋_GB2312" w:eastAsia="仿宋_GB2312"/>
          <w:color w:val="000000"/>
          <w:sz w:val="32"/>
        </w:rPr>
      </w:pPr>
    </w:p>
    <w:p>
      <w:pPr>
        <w:autoSpaceDE w:val="0"/>
        <w:autoSpaceDN w:val="0"/>
        <w:ind w:firstLine="480" w:firstLineChars="150"/>
        <w:rPr>
          <w:rFonts w:ascii="仿宋_GB2312" w:hAnsi="仿宋_GB2312" w:eastAsia="仿宋_GB2312"/>
          <w:color w:val="000000"/>
          <w:sz w:val="32"/>
        </w:rPr>
      </w:pPr>
    </w:p>
    <w:p>
      <w:pPr>
        <w:spacing w:line="620" w:lineRule="exact"/>
        <w:ind w:firstLine="640"/>
        <w:rPr>
          <w:rFonts w:ascii="仿宋_GB2312" w:hAnsi="仿宋_GB2312" w:eastAsia="仿宋_GB2312"/>
          <w:color w:val="000000"/>
          <w:sz w:val="32"/>
        </w:rPr>
      </w:pPr>
    </w:p>
    <w:p>
      <w:pPr>
        <w:autoSpaceDE w:val="0"/>
        <w:autoSpaceDN w:val="0"/>
        <w:adjustRightInd w:val="0"/>
        <w:spacing w:line="540" w:lineRule="exact"/>
        <w:ind w:firstLine="640" w:firstLineChars="200"/>
        <w:jc w:val="left"/>
        <w:rPr>
          <w:rFonts w:ascii="仿宋_GB2312" w:hAnsi="仿宋_GB2312" w:eastAsia="仿宋_GB2312" w:cs="黑体"/>
          <w:kern w:val="0"/>
          <w:sz w:val="32"/>
          <w:szCs w:val="32"/>
        </w:rPr>
      </w:pPr>
    </w:p>
    <w:p>
      <w:pPr>
        <w:jc w:val="center"/>
        <w:rPr>
          <w:rFonts w:ascii="宋体" w:hAnsi="宋体"/>
          <w:b/>
          <w:color w:val="000000"/>
          <w:sz w:val="4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书宋_GBK">
    <w:altName w:val="宋体"/>
    <w:panose1 w:val="00000000000000000000"/>
    <w:charset w:val="86"/>
    <w:family w:val="roma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宋体"/>
    <w:panose1 w:val="00000000000000000000"/>
    <w:charset w:val="86"/>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103AFE"/>
    <w:multiLevelType w:val="singleLevel"/>
    <w:tmpl w:val="59103AFE"/>
    <w:lvl w:ilvl="0" w:tentative="0">
      <w:start w:val="5"/>
      <w:numFmt w:val="chineseCounting"/>
      <w:suff w:val="nothing"/>
      <w:lvlText w:val="%1、"/>
      <w:lvlJc w:val="left"/>
    </w:lvl>
  </w:abstractNum>
  <w:abstractNum w:abstractNumId="1">
    <w:nsid w:val="5912C284"/>
    <w:multiLevelType w:val="singleLevel"/>
    <w:tmpl w:val="5912C28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80757"/>
    <w:rsid w:val="00880757"/>
    <w:rsid w:val="009B10F7"/>
    <w:rsid w:val="00F06BDC"/>
    <w:rsid w:val="03D3657A"/>
    <w:rsid w:val="0A785773"/>
    <w:rsid w:val="0A9639DC"/>
    <w:rsid w:val="0B6E78F2"/>
    <w:rsid w:val="11241655"/>
    <w:rsid w:val="12A62F66"/>
    <w:rsid w:val="1BE42494"/>
    <w:rsid w:val="1E76409B"/>
    <w:rsid w:val="22F51E31"/>
    <w:rsid w:val="27802F31"/>
    <w:rsid w:val="2EFB4D53"/>
    <w:rsid w:val="3F65497B"/>
    <w:rsid w:val="47B8788D"/>
    <w:rsid w:val="4E986253"/>
    <w:rsid w:val="502D2699"/>
    <w:rsid w:val="69312E6F"/>
    <w:rsid w:val="6D1F6CE8"/>
    <w:rsid w:val="76DE29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1652</Words>
  <Characters>9422</Characters>
  <Lines>78</Lines>
  <Paragraphs>22</Paragraphs>
  <TotalTime>5</TotalTime>
  <ScaleCrop>false</ScaleCrop>
  <LinksUpToDate>false</LinksUpToDate>
  <CharactersWithSpaces>11052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cwk2</dc:creator>
  <cp:lastModifiedBy>Administrator</cp:lastModifiedBy>
  <dcterms:modified xsi:type="dcterms:W3CDTF">2024-08-03T07:25:07Z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D53183DE610D4366BC23C017516310B1</vt:lpwstr>
  </property>
</Properties>
</file>