
<file path=[Content_Types].xml><?xml version="1.0" encoding="utf-8"?>
<Types xmlns="http://schemas.openxmlformats.org/package/2006/content-types">
  <Default ContentType="image/bmp" Extension="bmp"/>
  <Default ContentType="image/jpeg" Extension="jpeg"/>
  <Default ContentType="image/.jpg" Extension="jp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291B00">
      <w:r>
        <mc:AlternateContent>
          <mc:Choice Requires="wps">
            <w:drawing>
              <wp:anchor distT="0" distB="0" distL="114300" distR="114300" simplePos="0" relativeHeight="251664384" behindDoc="0" locked="0" layoutInCell="1" allowOverlap="1">
                <wp:simplePos x="0" y="0"/>
                <wp:positionH relativeFrom="column">
                  <wp:posOffset>1628775</wp:posOffset>
                </wp:positionH>
                <wp:positionV relativeFrom="paragraph">
                  <wp:posOffset>7872730</wp:posOffset>
                </wp:positionV>
                <wp:extent cx="2131695" cy="517525"/>
                <wp:effectExtent l="0" t="0" r="0" b="0"/>
                <wp:wrapNone/>
                <wp:docPr id="7" name="文本框 5"/>
                <wp:cNvGraphicFramePr/>
                <a:graphic xmlns:a="http://schemas.openxmlformats.org/drawingml/2006/main">
                  <a:graphicData uri="http://schemas.microsoft.com/office/word/2010/wordprocessingShape">
                    <wps:wsp>
                      <wps:cNvSpPr txBox="1"/>
                      <wps:spPr>
                        <a:xfrm>
                          <a:off x="2600960" y="9102725"/>
                          <a:ext cx="2131695" cy="517525"/>
                        </a:xfrm>
                        <a:prstGeom prst="rect">
                          <a:avLst/>
                        </a:prstGeom>
                        <a:noFill/>
                        <a:ln w="6350">
                          <a:noFill/>
                        </a:ln>
                        <a:effectLst/>
                      </wps:spPr>
                      <wps:txbx>
                        <w:txbxContent>
                          <w:p w14:paraId="6791E144">
                            <w:pPr>
                              <w:jc w:val="center"/>
                              <w:rPr>
                                <w:rFonts w:ascii="楷体_GB2312" w:hAnsi="楷体_GB2312" w:eastAsia="楷体_GB2312" w:cs="楷体_GB2312"/>
                                <w:sz w:val="44"/>
                                <w:szCs w:val="52"/>
                              </w:rPr>
                            </w:pPr>
                            <w:r>
                              <w:rPr>
                                <w:rFonts w:hint="eastAsia" w:ascii="楷体_GB2312" w:hAnsi="楷体_GB2312" w:eastAsia="楷体_GB2312" w:cs="楷体_GB2312"/>
                                <w:sz w:val="44"/>
                                <w:szCs w:val="52"/>
                              </w:rPr>
                              <w:t>2021年</w:t>
                            </w:r>
                            <w:r>
                              <w:rPr>
                                <w:rFonts w:hint="eastAsia" w:ascii="楷体_GB2312" w:hAnsi="楷体_GB2312" w:eastAsia="楷体_GB2312" w:cs="楷体_GB2312"/>
                                <w:sz w:val="44"/>
                                <w:szCs w:val="52"/>
                                <w:lang w:val="en-US" w:eastAsia="zh-CN"/>
                              </w:rPr>
                              <w:t>11</w:t>
                            </w:r>
                            <w:r>
                              <w:rPr>
                                <w:rFonts w:hint="eastAsia" w:ascii="楷体_GB2312" w:hAnsi="楷体_GB2312" w:eastAsia="楷体_GB2312" w:cs="楷体_GB2312"/>
                                <w:sz w:val="44"/>
                                <w:szCs w:val="52"/>
                              </w:rPr>
                              <w:t>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5" o:spid="_x0000_s1026" o:spt="202" type="#_x0000_t202" style="position:absolute;left:0pt;margin-left:128.25pt;margin-top:619.9pt;height:40.75pt;width:167.85pt;z-index:251664384;mso-width-relative:page;mso-height-relative:page;" filled="f" stroked="f" coordsize="21600,21600" o:gfxdata="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5cw25dwAAAANAQAA&#10;DwAAAAAAAAABACAAAAAiAAAAZHJzL2Rvd25yZXYueG1sUEsBAhQAFAAAAAgAh07iQFIsen5OAgAA&#10;gAQAAA4AAAAAAAAAAQAgAAAAKwEAAGRycy9lMm9Eb2MueG1sUEsFBgAAAAAGAAYAWQEAAOsFAAAA&#10;AA==&#10;">
                <v:fill on="f" focussize="0,0"/>
                <v:stroke on="f" weight="0.5pt"/>
                <v:imagedata o:title=""/>
                <o:lock v:ext="edit" aspectratio="f"/>
                <v:textbox>
                  <w:txbxContent>
                    <w:p w14:paraId="6791E144">
                      <w:pPr>
                        <w:jc w:val="center"/>
                        <w:rPr>
                          <w:rFonts w:ascii="楷体_GB2312" w:hAnsi="楷体_GB2312" w:eastAsia="楷体_GB2312" w:cs="楷体_GB2312"/>
                          <w:sz w:val="44"/>
                          <w:szCs w:val="52"/>
                        </w:rPr>
                      </w:pPr>
                      <w:r>
                        <w:rPr>
                          <w:rFonts w:hint="eastAsia" w:ascii="楷体_GB2312" w:hAnsi="楷体_GB2312" w:eastAsia="楷体_GB2312" w:cs="楷体_GB2312"/>
                          <w:sz w:val="44"/>
                          <w:szCs w:val="52"/>
                        </w:rPr>
                        <w:t>2021年</w:t>
                      </w:r>
                      <w:r>
                        <w:rPr>
                          <w:rFonts w:hint="eastAsia" w:ascii="楷体_GB2312" w:hAnsi="楷体_GB2312" w:eastAsia="楷体_GB2312" w:cs="楷体_GB2312"/>
                          <w:sz w:val="44"/>
                          <w:szCs w:val="52"/>
                          <w:lang w:val="en-US" w:eastAsia="zh-CN"/>
                        </w:rPr>
                        <w:t>11</w:t>
                      </w:r>
                      <w:r>
                        <w:rPr>
                          <w:rFonts w:hint="eastAsia" w:ascii="楷体_GB2312" w:hAnsi="楷体_GB2312" w:eastAsia="楷体_GB2312" w:cs="楷体_GB2312"/>
                          <w:sz w:val="44"/>
                          <w:szCs w:val="52"/>
                        </w:rPr>
                        <w:t>月</w:t>
                      </w:r>
                    </w:p>
                  </w:txbxContent>
                </v:textbox>
              </v:shape>
            </w:pict>
          </mc:Fallback>
        </mc:AlternateContent>
      </w:r>
      <w:r>
        <w:drawing>
          <wp:anchor distT="0" distB="0" distL="114300" distR="114300" simplePos="0" relativeHeight="251665408" behindDoc="1" locked="0" layoutInCell="1" allowOverlap="1">
            <wp:simplePos x="0" y="0"/>
            <wp:positionH relativeFrom="column">
              <wp:posOffset>-997585</wp:posOffset>
            </wp:positionH>
            <wp:positionV relativeFrom="paragraph">
              <wp:posOffset>-1360170</wp:posOffset>
            </wp:positionV>
            <wp:extent cx="7592060" cy="10739755"/>
            <wp:effectExtent l="0" t="0" r="12700" b="4445"/>
            <wp:wrapNone/>
            <wp:docPr id="4" name="图片 4" descr="决算封面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决算封面无"/>
                    <pic:cNvPicPr>
                      <a:picLocks noChangeAspect="1"/>
                    </pic:cNvPicPr>
                  </pic:nvPicPr>
                  <pic:blipFill>
                    <a:blip r:embed="rId10" cstate="print"/>
                    <a:stretch>
                      <a:fillRect/>
                    </a:stretch>
                  </pic:blipFill>
                  <pic:spPr>
                    <a:xfrm>
                      <a:off x="0" y="0"/>
                      <a:ext cx="7592060" cy="10739755"/>
                    </a:xfrm>
                    <a:prstGeom prst="rect">
                      <a:avLst/>
                    </a:prstGeom>
                  </pic:spPr>
                </pic:pic>
              </a:graphicData>
            </a:graphic>
          </wp:anchor>
        </w:drawing>
      </w:r>
      <w:r>
        <w:br w:type="page"/>
      </w:r>
    </w:p>
    <w:p w14:paraId="571C8342">
      <w:pPr>
        <w:rPr>
          <w:rFonts w:ascii="黑体" w:hAnsi="黑体" w:eastAsia="黑体" w:cs="黑体"/>
          <w:sz w:val="72"/>
          <w:szCs w:val="96"/>
        </w:rPr>
      </w:pPr>
    </w:p>
    <w:p w14:paraId="2B434030">
      <w:pPr>
        <w:rPr>
          <w:rFonts w:ascii="黑体" w:hAnsi="黑体" w:eastAsia="黑体" w:cs="黑体"/>
          <w:sz w:val="72"/>
          <w:szCs w:val="96"/>
        </w:rPr>
      </w:pPr>
    </w:p>
    <w:p w14:paraId="49684E62">
      <w:pPr>
        <w:rPr>
          <w:rFonts w:ascii="黑体" w:hAnsi="黑体" w:eastAsia="黑体" w:cs="黑体"/>
          <w:sz w:val="72"/>
          <w:szCs w:val="96"/>
        </w:rPr>
      </w:pPr>
      <w:r>
        <w:rPr>
          <w:rFonts w:hint="eastAsia" w:ascii="黑体" w:hAnsi="黑体" w:eastAsia="黑体" w:cs="黑体"/>
          <w:sz w:val="72"/>
          <w:szCs w:val="96"/>
        </w:rPr>
        <w:t>2020年度部门决算公开文本</w:t>
      </w:r>
    </w:p>
    <w:p w14:paraId="4D757EDF">
      <w:pPr>
        <w:spacing w:line="360" w:lineRule="auto"/>
        <w:jc w:val="center"/>
        <w:rPr>
          <w:rFonts w:ascii="黑体" w:hAnsi="黑体" w:eastAsia="黑体" w:cs="黑体"/>
          <w:sz w:val="56"/>
          <w:szCs w:val="72"/>
        </w:rPr>
      </w:pPr>
    </w:p>
    <w:p w14:paraId="061D0AC3">
      <w:pPr>
        <w:spacing w:line="600" w:lineRule="auto"/>
        <w:jc w:val="center"/>
        <w:rPr>
          <w:rFonts w:ascii="黑体" w:hAnsi="黑体" w:eastAsia="黑体" w:cs="黑体"/>
          <w:sz w:val="56"/>
          <w:szCs w:val="72"/>
        </w:rPr>
      </w:pPr>
    </w:p>
    <w:p w14:paraId="612CA8C4">
      <w:pPr>
        <w:spacing w:line="600" w:lineRule="auto"/>
        <w:jc w:val="center"/>
        <w:rPr>
          <w:rFonts w:ascii="黑体" w:hAnsi="黑体" w:eastAsia="黑体" w:cs="黑体"/>
          <w:sz w:val="56"/>
          <w:szCs w:val="72"/>
        </w:rPr>
      </w:pPr>
    </w:p>
    <w:p w14:paraId="209F4718">
      <w:pPr>
        <w:spacing w:line="600" w:lineRule="auto"/>
        <w:jc w:val="center"/>
        <w:rPr>
          <w:rFonts w:ascii="黑体" w:hAnsi="黑体" w:eastAsia="黑体" w:cs="黑体"/>
          <w:sz w:val="56"/>
          <w:szCs w:val="72"/>
        </w:rPr>
      </w:pPr>
    </w:p>
    <w:p w14:paraId="035A66A1">
      <w:pPr>
        <w:spacing w:line="600" w:lineRule="auto"/>
        <w:jc w:val="center"/>
        <w:rPr>
          <w:rFonts w:ascii="黑体" w:hAnsi="黑体" w:eastAsia="黑体" w:cs="黑体"/>
          <w:sz w:val="56"/>
          <w:szCs w:val="72"/>
        </w:rPr>
      </w:pPr>
    </w:p>
    <w:p w14:paraId="6E24C6E2">
      <w:pPr>
        <w:spacing w:line="480" w:lineRule="auto"/>
        <w:jc w:val="center"/>
        <w:rPr>
          <w:rFonts w:ascii="黑体" w:hAnsi="黑体" w:eastAsia="黑体" w:cs="黑体"/>
          <w:sz w:val="56"/>
          <w:szCs w:val="72"/>
        </w:rPr>
      </w:pPr>
    </w:p>
    <w:p w14:paraId="167A6CE7">
      <w:pPr>
        <w:spacing w:line="480" w:lineRule="auto"/>
        <w:jc w:val="center"/>
        <w:rPr>
          <w:rFonts w:ascii="黑体" w:hAnsi="黑体" w:eastAsia="黑体" w:cs="黑体"/>
          <w:sz w:val="56"/>
          <w:szCs w:val="72"/>
        </w:rPr>
      </w:pPr>
    </w:p>
    <w:p w14:paraId="06FBAA5A">
      <w:pPr>
        <w:spacing w:line="480" w:lineRule="auto"/>
        <w:jc w:val="center"/>
        <w:rPr>
          <w:rFonts w:ascii="黑体" w:hAnsi="黑体" w:eastAsia="黑体" w:cs="黑体"/>
          <w:sz w:val="56"/>
          <w:szCs w:val="72"/>
        </w:rPr>
      </w:pPr>
    </w:p>
    <w:p w14:paraId="0B50F74E">
      <w:pPr>
        <w:spacing w:line="480" w:lineRule="auto"/>
        <w:jc w:val="center"/>
        <w:rPr>
          <w:rFonts w:ascii="黑体" w:hAnsi="黑体" w:eastAsia="黑体" w:cs="黑体"/>
          <w:sz w:val="56"/>
          <w:szCs w:val="72"/>
        </w:rPr>
      </w:pPr>
    </w:p>
    <w:p w14:paraId="42AE630E">
      <w:pPr>
        <w:snapToGrid w:val="0"/>
        <w:jc w:val="center"/>
        <w:rPr>
          <w:rFonts w:hint="eastAsia" w:ascii="楷体_GB2312" w:hAnsi="楷体_GB2312" w:eastAsia="楷体_GB2312" w:cs="楷体_GB2312"/>
          <w:color w:val="000000" w:themeColor="text1"/>
          <w:kern w:val="0"/>
          <w:sz w:val="44"/>
          <w:szCs w:val="44"/>
          <w:highlight w:val="yellow"/>
          <w:lang w:eastAsia="zh-CN"/>
          <w14:textFill>
            <w14:solidFill>
              <w14:schemeClr w14:val="tx1"/>
            </w14:solidFill>
          </w14:textFill>
        </w:rPr>
      </w:pPr>
      <w:r>
        <w:rPr>
          <w:rFonts w:hint="eastAsia" w:ascii="楷体_GB2312" w:hAnsi="楷体_GB2312" w:eastAsia="楷体_GB2312" w:cs="楷体_GB2312"/>
          <w:color w:val="000000" w:themeColor="text1"/>
          <w:kern w:val="0"/>
          <w:sz w:val="44"/>
          <w:szCs w:val="44"/>
          <w:lang w:eastAsia="zh-CN"/>
          <w14:textFill>
            <w14:solidFill>
              <w14:schemeClr w14:val="tx1"/>
            </w14:solidFill>
          </w14:textFill>
        </w:rPr>
        <w:t>邢台市电子体育彩票销售管理中心</w:t>
      </w:r>
    </w:p>
    <w:p w14:paraId="6A8177DE">
      <w:pPr>
        <w:snapToGrid w:val="0"/>
        <w:jc w:val="center"/>
        <w:rPr>
          <w:rFonts w:ascii="楷体_GB2312" w:hAnsi="楷体_GB2312" w:eastAsia="楷体_GB2312" w:cs="楷体_GB2312"/>
          <w:color w:val="000000" w:themeColor="text1"/>
          <w:kern w:val="0"/>
          <w:sz w:val="40"/>
          <w:szCs w:val="40"/>
          <w14:textFill>
            <w14:solidFill>
              <w14:schemeClr w14:val="tx1"/>
            </w14:solidFill>
          </w14:textFill>
        </w:rPr>
      </w:pPr>
      <w:r>
        <w:rPr>
          <w:rFonts w:hint="eastAsia" w:ascii="楷体_GB2312" w:hAnsi="楷体_GB2312" w:eastAsia="楷体_GB2312" w:cs="楷体_GB2312"/>
          <w:color w:val="000000" w:themeColor="text1"/>
          <w:kern w:val="0"/>
          <w:sz w:val="40"/>
          <w:szCs w:val="40"/>
          <w14:textFill>
            <w14:solidFill>
              <w14:schemeClr w14:val="tx1"/>
            </w14:solidFill>
          </w14:textFill>
        </w:rPr>
        <w:t>二〇二一年</w:t>
      </w:r>
      <w:r>
        <w:rPr>
          <w:rFonts w:hint="eastAsia" w:ascii="楷体_GB2312" w:hAnsi="楷体_GB2312" w:eastAsia="楷体_GB2312" w:cs="楷体_GB2312"/>
          <w:color w:val="000000" w:themeColor="text1"/>
          <w:kern w:val="0"/>
          <w:sz w:val="40"/>
          <w:szCs w:val="40"/>
          <w:lang w:eastAsia="zh-CN"/>
          <w14:textFill>
            <w14:solidFill>
              <w14:schemeClr w14:val="tx1"/>
            </w14:solidFill>
          </w14:textFill>
        </w:rPr>
        <w:t>十一</w:t>
      </w:r>
      <w:r>
        <w:rPr>
          <w:rFonts w:hint="eastAsia" w:ascii="楷体_GB2312" w:hAnsi="楷体_GB2312" w:eastAsia="楷体_GB2312" w:cs="楷体_GB2312"/>
          <w:color w:val="000000" w:themeColor="text1"/>
          <w:kern w:val="0"/>
          <w:sz w:val="40"/>
          <w:szCs w:val="40"/>
          <w14:textFill>
            <w14:solidFill>
              <w14:schemeClr w14:val="tx1"/>
            </w14:solidFill>
          </w14:textFill>
        </w:rPr>
        <w:t>月</w:t>
      </w:r>
    </w:p>
    <w:p w14:paraId="08DDEAAC">
      <w:pPr>
        <w:snapToGrid w:val="0"/>
        <w:jc w:val="center"/>
        <w:rPr>
          <w:rFonts w:ascii="楷体_GB2312" w:hAnsi="楷体_GB2312" w:eastAsia="楷体_GB2312" w:cs="楷体_GB2312"/>
          <w:color w:val="000000" w:themeColor="text1"/>
          <w:kern w:val="0"/>
          <w:sz w:val="40"/>
          <w:szCs w:val="40"/>
          <w14:textFill>
            <w14:solidFill>
              <w14:schemeClr w14:val="tx1"/>
            </w14:solidFill>
          </w14:textFill>
        </w:rPr>
      </w:pPr>
    </w:p>
    <w:p w14:paraId="55EB7EAD">
      <w:pPr>
        <w:jc w:val="center"/>
        <w:rPr>
          <w:rFonts w:hint="eastAsia" w:ascii="楷体_GB2312" w:hAnsi="楷体_GB2312" w:eastAsia="楷体_GB2312" w:cs="楷体_GB2312"/>
          <w:color w:val="000000" w:themeColor="text1"/>
          <w:kern w:val="0"/>
          <w:sz w:val="44"/>
          <w:szCs w:val="44"/>
          <w:lang w:eastAsia="zh-CN"/>
          <w14:textFill>
            <w14:solidFill>
              <w14:schemeClr w14:val="tx1"/>
            </w14:solidFill>
          </w14:textFill>
        </w:rPr>
      </w:pPr>
    </w:p>
    <w:p w14:paraId="141F91B5">
      <w:pPr>
        <w:jc w:val="center"/>
        <w:rPr>
          <w:rFonts w:ascii="黑体" w:hAnsi="黑体" w:eastAsia="黑体" w:cs="黑体"/>
          <w:sz w:val="72"/>
          <w:szCs w:val="96"/>
          <w:highlight w:val="yellow"/>
        </w:rPr>
      </w:pPr>
      <w:r>
        <w:rPr>
          <w:rFonts w:hint="eastAsia" w:ascii="楷体_GB2312" w:hAnsi="楷体_GB2312" w:eastAsia="楷体_GB2312" w:cs="楷体_GB2312"/>
          <w:color w:val="000000" w:themeColor="text1"/>
          <w:kern w:val="0"/>
          <w:sz w:val="44"/>
          <w:szCs w:val="44"/>
          <w:lang w:eastAsia="zh-CN"/>
          <w14:textFill>
            <w14:solidFill>
              <w14:schemeClr w14:val="tx1"/>
            </w14:solidFill>
          </w14:textFill>
        </w:rPr>
        <w:t>邢台市电子体育彩票销售管理中心</w:t>
      </w:r>
    </w:p>
    <w:p w14:paraId="64197D35">
      <w:pPr>
        <w:rPr>
          <w:rFonts w:ascii="黑体" w:hAnsi="黑体" w:eastAsia="黑体" w:cs="黑体"/>
          <w:sz w:val="72"/>
          <w:szCs w:val="96"/>
        </w:rPr>
      </w:pPr>
      <w:r>
        <w:rPr>
          <w:rFonts w:hint="eastAsia" w:ascii="黑体" w:hAnsi="黑体" w:eastAsia="黑体" w:cs="黑体"/>
          <w:sz w:val="72"/>
          <w:szCs w:val="96"/>
        </w:rPr>
        <w:t>2020年度部门决算公开文本</w:t>
      </w:r>
    </w:p>
    <w:p w14:paraId="3981681D">
      <w:pPr>
        <w:spacing w:line="360" w:lineRule="auto"/>
        <w:jc w:val="center"/>
        <w:rPr>
          <w:rFonts w:ascii="黑体" w:hAnsi="黑体" w:eastAsia="黑体" w:cs="黑体"/>
          <w:sz w:val="56"/>
          <w:szCs w:val="72"/>
        </w:rPr>
      </w:pPr>
    </w:p>
    <w:p w14:paraId="1ACB7402">
      <w:pPr>
        <w:spacing w:line="600" w:lineRule="auto"/>
        <w:jc w:val="center"/>
        <w:rPr>
          <w:rFonts w:ascii="黑体" w:hAnsi="黑体" w:eastAsia="黑体" w:cs="黑体"/>
          <w:sz w:val="56"/>
          <w:szCs w:val="72"/>
        </w:rPr>
      </w:pPr>
    </w:p>
    <w:p w14:paraId="6ACBA93F">
      <w:pPr>
        <w:spacing w:line="600" w:lineRule="auto"/>
        <w:jc w:val="center"/>
        <w:rPr>
          <w:rFonts w:ascii="黑体" w:hAnsi="黑体" w:eastAsia="黑体" w:cs="黑体"/>
          <w:sz w:val="56"/>
          <w:szCs w:val="72"/>
        </w:rPr>
      </w:pPr>
    </w:p>
    <w:p w14:paraId="1B2C6A62">
      <w:pPr>
        <w:spacing w:line="600" w:lineRule="auto"/>
        <w:jc w:val="center"/>
        <w:rPr>
          <w:rFonts w:ascii="黑体" w:hAnsi="黑体" w:eastAsia="黑体" w:cs="黑体"/>
          <w:sz w:val="56"/>
          <w:szCs w:val="72"/>
        </w:rPr>
      </w:pPr>
    </w:p>
    <w:p w14:paraId="4CE67C24">
      <w:pPr>
        <w:spacing w:line="600" w:lineRule="auto"/>
        <w:jc w:val="center"/>
        <w:rPr>
          <w:rFonts w:ascii="黑体" w:hAnsi="黑体" w:eastAsia="黑体" w:cs="黑体"/>
          <w:sz w:val="56"/>
          <w:szCs w:val="72"/>
        </w:rPr>
      </w:pPr>
    </w:p>
    <w:p w14:paraId="553C8FBD">
      <w:pPr>
        <w:spacing w:line="480" w:lineRule="auto"/>
        <w:jc w:val="center"/>
        <w:rPr>
          <w:rFonts w:ascii="黑体" w:hAnsi="黑体" w:eastAsia="黑体" w:cs="黑体"/>
          <w:sz w:val="56"/>
          <w:szCs w:val="72"/>
        </w:rPr>
      </w:pPr>
    </w:p>
    <w:p w14:paraId="793E0468">
      <w:pPr>
        <w:spacing w:line="480" w:lineRule="auto"/>
        <w:jc w:val="center"/>
        <w:rPr>
          <w:rFonts w:ascii="黑体" w:hAnsi="黑体" w:eastAsia="黑体" w:cs="黑体"/>
          <w:sz w:val="56"/>
          <w:szCs w:val="72"/>
        </w:rPr>
      </w:pPr>
    </w:p>
    <w:p w14:paraId="1817566D">
      <w:pPr>
        <w:spacing w:line="480" w:lineRule="auto"/>
        <w:jc w:val="center"/>
        <w:rPr>
          <w:rFonts w:ascii="黑体" w:hAnsi="黑体" w:eastAsia="黑体" w:cs="黑体"/>
          <w:sz w:val="56"/>
          <w:szCs w:val="72"/>
        </w:rPr>
      </w:pPr>
    </w:p>
    <w:p w14:paraId="20B83CE0">
      <w:pPr>
        <w:snapToGrid w:val="0"/>
        <w:jc w:val="center"/>
        <w:rPr>
          <w:rFonts w:ascii="楷体_GB2312" w:hAnsi="楷体_GB2312" w:eastAsia="楷体_GB2312" w:cs="楷体_GB2312"/>
          <w:color w:val="000000" w:themeColor="text1"/>
          <w:kern w:val="0"/>
          <w:sz w:val="40"/>
          <w:szCs w:val="40"/>
          <w14:textFill>
            <w14:solidFill>
              <w14:schemeClr w14:val="tx1"/>
            </w14:solidFill>
          </w14:textFill>
        </w:rPr>
      </w:pPr>
    </w:p>
    <w:p w14:paraId="3504F9FB">
      <w:pPr>
        <w:snapToGrid w:val="0"/>
        <w:jc w:val="center"/>
        <w:rPr>
          <w:rFonts w:ascii="楷体_GB2312" w:hAnsi="楷体_GB2312" w:eastAsia="楷体_GB2312" w:cs="楷体_GB2312"/>
          <w:color w:val="000000" w:themeColor="text1"/>
          <w:kern w:val="0"/>
          <w:sz w:val="40"/>
          <w:szCs w:val="40"/>
          <w14:textFill>
            <w14:solidFill>
              <w14:schemeClr w14:val="tx1"/>
            </w14:solidFill>
          </w14:textFill>
        </w:rPr>
      </w:pPr>
    </w:p>
    <w:p w14:paraId="3AD9CD33">
      <w:pPr>
        <w:snapToGrid w:val="0"/>
        <w:jc w:val="center"/>
        <w:rPr>
          <w:rFonts w:ascii="楷体_GB2312" w:hAnsi="楷体_GB2312" w:eastAsia="楷体_GB2312" w:cs="楷体_GB2312"/>
          <w:color w:val="000000" w:themeColor="text1"/>
          <w:kern w:val="0"/>
          <w:sz w:val="40"/>
          <w:szCs w:val="40"/>
          <w14:textFill>
            <w14:solidFill>
              <w14:schemeClr w14:val="tx1"/>
            </w14:solidFill>
          </w14:textFill>
        </w:rPr>
      </w:pPr>
    </w:p>
    <w:p w14:paraId="74035352">
      <w:pPr>
        <w:snapToGrid w:val="0"/>
        <w:jc w:val="center"/>
        <w:rPr>
          <w:rFonts w:ascii="黑体" w:hAnsi="黑体" w:eastAsia="黑体" w:cs="黑体"/>
          <w:sz w:val="56"/>
          <w:szCs w:val="72"/>
          <w:highlight w:val="yellow"/>
        </w:rPr>
        <w:sectPr>
          <w:type w:val="continuous"/>
          <w:pgSz w:w="11906" w:h="16838"/>
          <w:pgMar w:top="2098" w:right="1531" w:bottom="1984" w:left="1531" w:header="851" w:footer="992" w:gutter="0"/>
          <w:cols w:space="0" w:num="1"/>
          <w:titlePg/>
          <w:docGrid w:type="lines" w:linePitch="312" w:charSpace="0"/>
        </w:sectPr>
      </w:pPr>
      <w:r>
        <w:rPr>
          <w:rFonts w:hint="eastAsia" w:ascii="楷体_GB2312" w:hAnsi="楷体_GB2312" w:eastAsia="楷体_GB2312" w:cs="楷体_GB2312"/>
          <w:color w:val="000000" w:themeColor="text1"/>
          <w:kern w:val="0"/>
          <w:sz w:val="40"/>
          <w:szCs w:val="40"/>
          <w14:textFill>
            <w14:solidFill>
              <w14:schemeClr w14:val="tx1"/>
            </w14:solidFill>
          </w14:textFill>
        </w:rPr>
        <w:t>二〇二一年</w:t>
      </w:r>
      <w:r>
        <w:rPr>
          <w:rFonts w:hint="eastAsia" w:ascii="楷体_GB2312" w:hAnsi="楷体_GB2312" w:eastAsia="楷体_GB2312" w:cs="楷体_GB2312"/>
          <w:color w:val="000000" w:themeColor="text1"/>
          <w:kern w:val="0"/>
          <w:sz w:val="40"/>
          <w:szCs w:val="40"/>
          <w:lang w:eastAsia="zh-CN"/>
          <w14:textFill>
            <w14:solidFill>
              <w14:schemeClr w14:val="tx1"/>
            </w14:solidFill>
          </w14:textFill>
        </w:rPr>
        <w:t>十一</w:t>
      </w:r>
      <w:r>
        <w:rPr>
          <w:rFonts w:hint="eastAsia" w:ascii="楷体_GB2312" w:hAnsi="楷体_GB2312" w:eastAsia="楷体_GB2312" w:cs="楷体_GB2312"/>
          <w:color w:val="000000" w:themeColor="text1"/>
          <w:kern w:val="0"/>
          <w:sz w:val="40"/>
          <w:szCs w:val="40"/>
          <w14:textFill>
            <w14:solidFill>
              <w14:schemeClr w14:val="tx1"/>
            </w14:solidFill>
          </w14:textFill>
        </w:rPr>
        <w:t>月</w:t>
      </w:r>
    </w:p>
    <w:p w14:paraId="673C8D13">
      <w:pPr>
        <w:rPr>
          <w:rFonts w:ascii="黑体" w:hAnsi="Times New Roman" w:eastAsia="黑体" w:cs="Times New Roman"/>
          <w:sz w:val="48"/>
          <w:szCs w:val="48"/>
        </w:rPr>
      </w:pPr>
      <w:r>
        <w:rPr>
          <w:rFonts w:hint="eastAsia" w:ascii="黑体" w:hAnsi="Times New Roman" w:eastAsia="黑体" w:cs="Times New Roman"/>
          <w:sz w:val="48"/>
          <w:szCs w:val="48"/>
        </w:rPr>
        <w:br w:type="page"/>
      </w:r>
    </w:p>
    <w:p w14:paraId="51A4E517">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    录</w:t>
      </w:r>
    </w:p>
    <w:p w14:paraId="19A1B77B">
      <w:pPr>
        <w:widowControl/>
        <w:spacing w:after="160" w:line="580" w:lineRule="exact"/>
        <w:ind w:firstLine="640" w:firstLineChars="200"/>
        <w:rPr>
          <w:rFonts w:ascii="Times New Roman" w:hAnsi="Times New Roman" w:eastAsia="黑体" w:cs="Times New Roman"/>
          <w:sz w:val="32"/>
          <w:szCs w:val="32"/>
        </w:rPr>
      </w:pPr>
    </w:p>
    <w:p w14:paraId="1D48C7B2">
      <w:pPr>
        <w:widowControl/>
        <w:spacing w:line="64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14:paraId="19AF293D">
      <w:pPr>
        <w:widowControl/>
        <w:spacing w:line="64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14:paraId="605E6AD9">
      <w:pPr>
        <w:widowControl/>
        <w:spacing w:line="64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14:paraId="47F7A410">
      <w:pPr>
        <w:widowControl/>
        <w:spacing w:line="6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20</w:t>
      </w:r>
      <w:r>
        <w:rPr>
          <w:rFonts w:hint="eastAsia" w:ascii="Times New Roman" w:hAnsi="Times New Roman" w:eastAsia="黑体" w:cs="Times New Roman"/>
          <w:sz w:val="32"/>
          <w:szCs w:val="32"/>
        </w:rPr>
        <w:t>20</w:t>
      </w:r>
      <w:r>
        <w:rPr>
          <w:rFonts w:ascii="Times New Roman" w:hAnsi="Times New Roman" w:eastAsia="黑体" w:cs="Times New Roman"/>
          <w:sz w:val="32"/>
          <w:szCs w:val="32"/>
        </w:rPr>
        <w:t>年部门决算情况说明</w:t>
      </w:r>
    </w:p>
    <w:p w14:paraId="7B5E2C5F">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一、收入支出决算总体情况说明</w:t>
      </w:r>
    </w:p>
    <w:p w14:paraId="252795E5">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二、收入决算情况说明</w:t>
      </w:r>
    </w:p>
    <w:p w14:paraId="79B68D1D">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三、支出决算情况说明</w:t>
      </w:r>
    </w:p>
    <w:p w14:paraId="72EA172A">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四、财政拨款收入支出决算总体情况说明</w:t>
      </w:r>
    </w:p>
    <w:p w14:paraId="7FE71B01">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五、一般公共预算“三公” 经费支出决算情况说明</w:t>
      </w:r>
    </w:p>
    <w:p w14:paraId="77709CE2">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六、预算绩效情况说明</w:t>
      </w:r>
    </w:p>
    <w:p w14:paraId="5F96454C">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七、机关运行经费情况</w:t>
      </w:r>
    </w:p>
    <w:p w14:paraId="1EB6A69D">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八、政府采购情况</w:t>
      </w:r>
    </w:p>
    <w:p w14:paraId="36D9289C">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九、国有资产占用情况</w:t>
      </w:r>
    </w:p>
    <w:p w14:paraId="7A49718D">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十、其他需要说明的情况</w:t>
      </w:r>
    </w:p>
    <w:p w14:paraId="054D93E6">
      <w:pPr>
        <w:widowControl/>
        <w:spacing w:line="64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第三部分   名词解释</w:t>
      </w:r>
    </w:p>
    <w:p w14:paraId="739F6212">
      <w:pPr>
        <w:widowControl/>
        <w:spacing w:line="64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 xml:space="preserve"> 20</w:t>
      </w:r>
      <w:r>
        <w:rPr>
          <w:rFonts w:hint="eastAsia" w:ascii="Times New Roman" w:hAnsi="Times New Roman" w:eastAsia="黑体" w:cs="Times New Roman"/>
          <w:sz w:val="32"/>
          <w:szCs w:val="32"/>
        </w:rPr>
        <w:t>20</w:t>
      </w:r>
      <w:r>
        <w:rPr>
          <w:rFonts w:ascii="Times New Roman" w:hAnsi="Times New Roman" w:eastAsia="黑体" w:cs="Times New Roman"/>
          <w:sz w:val="32"/>
          <w:szCs w:val="32"/>
        </w:rPr>
        <w:t>年度部门决算报表</w:t>
      </w:r>
    </w:p>
    <w:p w14:paraId="459A7B3C">
      <w:pPr>
        <w:widowControl/>
        <w:spacing w:after="160" w:line="580" w:lineRule="exact"/>
        <w:ind w:firstLine="640" w:firstLineChars="200"/>
        <w:rPr>
          <w:rFonts w:ascii="Times New Roman" w:hAnsi="Times New Roman" w:eastAsia="黑体" w:cs="Times New Roman"/>
          <w:sz w:val="32"/>
          <w:szCs w:val="32"/>
        </w:rPr>
        <w:sectPr>
          <w:headerReference r:id="rId4" w:type="first"/>
          <w:footerReference r:id="rId6" w:type="first"/>
          <w:headerReference r:id="rId3" w:type="default"/>
          <w:footerReference r:id="rId5" w:type="default"/>
          <w:type w:val="continuous"/>
          <w:pgSz w:w="11906" w:h="16838"/>
          <w:pgMar w:top="2098" w:right="1531" w:bottom="1984" w:left="1531" w:header="851" w:footer="992" w:gutter="0"/>
          <w:cols w:space="0" w:num="1"/>
          <w:titlePg/>
          <w:docGrid w:type="lines" w:linePitch="312" w:charSpace="0"/>
        </w:sectPr>
      </w:pPr>
    </w:p>
    <w:p w14:paraId="49BB3074">
      <w:pPr>
        <w:widowControl/>
        <w:spacing w:line="580" w:lineRule="exact"/>
        <w:ind w:firstLine="640" w:firstLineChars="200"/>
        <w:rPr>
          <w:rFonts w:eastAsia="黑体"/>
          <w:sz w:val="32"/>
          <w:szCs w:val="32"/>
        </w:rPr>
      </w:pPr>
    </w:p>
    <w:p w14:paraId="28941BF8">
      <w:pPr>
        <w:widowControl/>
        <w:spacing w:line="580" w:lineRule="exact"/>
        <w:ind w:firstLine="640" w:firstLineChars="200"/>
        <w:rPr>
          <w:rFonts w:eastAsia="黑体"/>
          <w:sz w:val="32"/>
          <w:szCs w:val="32"/>
        </w:rPr>
      </w:pPr>
    </w:p>
    <w:p w14:paraId="50C4A981">
      <w:pPr>
        <w:widowControl/>
        <w:spacing w:line="580" w:lineRule="exact"/>
        <w:ind w:firstLine="640" w:firstLineChars="200"/>
        <w:rPr>
          <w:rFonts w:eastAsia="黑体"/>
          <w:sz w:val="32"/>
          <w:szCs w:val="32"/>
        </w:rPr>
      </w:pPr>
    </w:p>
    <w:p w14:paraId="11719030">
      <w:r>
        <w:rPr>
          <w:sz w:val="72"/>
        </w:rPr>
        <mc:AlternateContent>
          <mc:Choice Requires="wps">
            <w:drawing>
              <wp:anchor distT="0" distB="0" distL="114300" distR="114300" simplePos="0" relativeHeight="251659264" behindDoc="0" locked="0" layoutInCell="1" allowOverlap="1">
                <wp:simplePos x="0" y="0"/>
                <wp:positionH relativeFrom="column">
                  <wp:posOffset>-1088390</wp:posOffset>
                </wp:positionH>
                <wp:positionV relativeFrom="paragraph">
                  <wp:posOffset>1024890</wp:posOffset>
                </wp:positionV>
                <wp:extent cx="7793355" cy="3341370"/>
                <wp:effectExtent l="6350" t="6350" r="10795" b="24130"/>
                <wp:wrapNone/>
                <wp:docPr id="1" name="文本框 8"/>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7F7F7F"/>
                          </a:fgClr>
                          <a:bgClr>
                            <a:srgbClr val="FFFFFF"/>
                          </a:bgClr>
                        </a:pattFill>
                        <a:ln w="12700" cap="flat" cmpd="sng">
                          <a:solidFill>
                            <a:srgbClr val="A6A6A6"/>
                          </a:solidFill>
                          <a:prstDash val="solid"/>
                          <a:round/>
                          <a:headEnd type="none" w="med" len="med"/>
                          <a:tailEnd type="none" w="med" len="med"/>
                        </a:ln>
                      </wps:spPr>
                      <wps:txbx>
                        <w:txbxContent>
                          <w:p w14:paraId="145F1278">
                            <w:pPr>
                              <w:widowControl/>
                              <w:jc w:val="center"/>
                              <w:rPr>
                                <w:rFonts w:ascii="黑体" w:hAnsi="黑体" w:eastAsia="黑体" w:cs="黑体"/>
                                <w:color w:val="000000" w:themeColor="text1"/>
                                <w:sz w:val="96"/>
                                <w:szCs w:val="96"/>
                                <w14:textFill>
                                  <w14:solidFill>
                                    <w14:schemeClr w14:val="tx1"/>
                                  </w14:solidFill>
                                </w14:textFill>
                              </w:rPr>
                            </w:pPr>
                            <w:r>
                              <w:rPr>
                                <w:rFonts w:hint="eastAsia" w:ascii="黑体" w:hAnsi="黑体" w:eastAsia="黑体" w:cs="黑体"/>
                                <w:color w:val="000000" w:themeColor="text1"/>
                                <w:sz w:val="96"/>
                                <w:szCs w:val="96"/>
                                <w14:textFill>
                                  <w14:solidFill>
                                    <w14:schemeClr w14:val="tx1"/>
                                  </w14:solidFill>
                                </w14:textFill>
                              </w:rPr>
                              <w:t>第一部分  部门概况</w:t>
                            </w:r>
                          </w:p>
                        </w:txbxContent>
                      </wps:txbx>
                      <wps:bodyPr anchor="ctr" upright="1"/>
                    </wps:wsp>
                  </a:graphicData>
                </a:graphic>
              </wp:anchor>
            </w:drawing>
          </mc:Choice>
          <mc:Fallback>
            <w:pict>
              <v:shape id="文本框 8" o:spid="_x0000_s1026" o:spt="202" type="#_x0000_t202" style="position:absolute;left:0pt;margin-left:-85.7pt;margin-top:80.7pt;height:263.1pt;width:613.65pt;z-index:251659264;v-text-anchor:middle;mso-width-relative:page;mso-height-relative:page;" fillcolor="#7F7F7F" filled="t" stroked="t" coordsize="21600,21600" o:gfxdata="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3/eYI3AAAAA0BAAAPAAAAAAAAAAEAIAAAACIAAABkcnMv&#10;ZG93bnJldi54bWxQSwECFAAUAAAACACHTuJAyoEMFzgCAACOBAAADgAAAAAAAAABACAAAAArAQAA&#10;ZHJzL2Uyb0RvYy54bWxQSwUGAAAAAAYABgBZAQAA1QUAAAAA&#10;">
                <v:fill type="pattern" on="t" color2="#FFFFFF" o:title="5%" focussize="0,0" r:id="rId11"/>
                <v:stroke weight="1pt" color="#A6A6A6" joinstyle="round"/>
                <v:imagedata o:title=""/>
                <o:lock v:ext="edit" aspectratio="f"/>
                <v:textbox>
                  <w:txbxContent>
                    <w:p w14:paraId="145F1278">
                      <w:pPr>
                        <w:widowControl/>
                        <w:jc w:val="center"/>
                        <w:rPr>
                          <w:rFonts w:ascii="黑体" w:hAnsi="黑体" w:eastAsia="黑体" w:cs="黑体"/>
                          <w:color w:val="000000" w:themeColor="text1"/>
                          <w:sz w:val="96"/>
                          <w:szCs w:val="96"/>
                          <w14:textFill>
                            <w14:solidFill>
                              <w14:schemeClr w14:val="tx1"/>
                            </w14:solidFill>
                          </w14:textFill>
                        </w:rPr>
                      </w:pPr>
                      <w:r>
                        <w:rPr>
                          <w:rFonts w:hint="eastAsia" w:ascii="黑体" w:hAnsi="黑体" w:eastAsia="黑体" w:cs="黑体"/>
                          <w:color w:val="000000" w:themeColor="text1"/>
                          <w:sz w:val="96"/>
                          <w:szCs w:val="96"/>
                          <w14:textFill>
                            <w14:solidFill>
                              <w14:schemeClr w14:val="tx1"/>
                            </w14:solidFill>
                          </w14:textFill>
                        </w:rPr>
                        <w:t>第一部分  部门概况</w:t>
                      </w:r>
                    </w:p>
                  </w:txbxContent>
                </v:textbox>
              </v:shape>
            </w:pict>
          </mc:Fallback>
        </mc:AlternateContent>
      </w:r>
      <w:r>
        <w:br w:type="page"/>
      </w:r>
    </w:p>
    <w:p w14:paraId="4B69B4D7">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14:paraId="12950828">
      <w:pPr>
        <w:widowControl/>
        <w:spacing w:line="580" w:lineRule="exact"/>
        <w:ind w:firstLine="640" w:firstLineChars="200"/>
        <w:rPr>
          <w:rFonts w:hint="eastAsia" w:ascii="仿宋_GB2312" w:eastAsia="仿宋_GB2312" w:cs="Arial Black"/>
          <w:kern w:val="0"/>
          <w:sz w:val="32"/>
          <w:szCs w:val="32"/>
        </w:rPr>
      </w:pPr>
      <w:r>
        <w:rPr>
          <w:rFonts w:hint="eastAsia" w:ascii="仿宋_GB2312" w:eastAsia="仿宋_GB2312" w:cs="Arial Black"/>
          <w:kern w:val="0"/>
          <w:sz w:val="32"/>
          <w:szCs w:val="32"/>
        </w:rPr>
        <w:t>机构职能编制规定</w:t>
      </w:r>
    </w:p>
    <w:p w14:paraId="31D8856D">
      <w:pPr>
        <w:widowControl/>
        <w:spacing w:line="580" w:lineRule="exact"/>
        <w:ind w:firstLine="640" w:firstLineChars="200"/>
        <w:rPr>
          <w:rFonts w:hint="eastAsia" w:ascii="仿宋_GB2312" w:eastAsia="仿宋_GB2312" w:cs="Arial Black"/>
          <w:kern w:val="0"/>
          <w:sz w:val="32"/>
          <w:szCs w:val="32"/>
        </w:rPr>
      </w:pPr>
      <w:r>
        <w:rPr>
          <w:rFonts w:hint="eastAsia" w:ascii="仿宋_GB2312" w:eastAsia="仿宋_GB2312" w:cs="Arial Black"/>
          <w:kern w:val="0"/>
          <w:sz w:val="32"/>
          <w:szCs w:val="32"/>
        </w:rPr>
        <w:t>第一条根据党中央、省委和市委关于深化事业单位改革的</w:t>
      </w:r>
    </w:p>
    <w:p w14:paraId="50D60B50">
      <w:pPr>
        <w:widowControl/>
        <w:spacing w:line="580" w:lineRule="exact"/>
        <w:ind w:firstLine="640" w:firstLineChars="200"/>
        <w:rPr>
          <w:rFonts w:hint="eastAsia" w:ascii="仿宋_GB2312" w:eastAsia="仿宋_GB2312" w:cs="Arial Black"/>
          <w:kern w:val="0"/>
          <w:sz w:val="32"/>
          <w:szCs w:val="32"/>
        </w:rPr>
      </w:pPr>
      <w:r>
        <w:rPr>
          <w:rFonts w:hint="eastAsia" w:ascii="仿宋_GB2312" w:eastAsia="仿宋_GB2312" w:cs="Arial Black"/>
          <w:kern w:val="0"/>
          <w:sz w:val="32"/>
          <w:szCs w:val="32"/>
        </w:rPr>
        <w:t>有关精神，制定本规定。</w:t>
      </w:r>
    </w:p>
    <w:p w14:paraId="58FA66E1">
      <w:pPr>
        <w:widowControl/>
        <w:spacing w:line="580" w:lineRule="exact"/>
        <w:ind w:firstLine="640" w:firstLineChars="200"/>
        <w:rPr>
          <w:rFonts w:hint="eastAsia" w:ascii="仿宋_GB2312" w:eastAsia="仿宋_GB2312" w:cs="Arial Black"/>
          <w:kern w:val="0"/>
          <w:sz w:val="32"/>
          <w:szCs w:val="32"/>
        </w:rPr>
      </w:pPr>
      <w:r>
        <w:rPr>
          <w:rFonts w:hint="eastAsia" w:ascii="仿宋_GB2312" w:eastAsia="仿宋_GB2312" w:cs="Arial Black"/>
          <w:kern w:val="0"/>
          <w:sz w:val="32"/>
          <w:szCs w:val="32"/>
        </w:rPr>
        <w:t>第二条邢台市电子体育彩票销售管理中心为邢台市体育局</w:t>
      </w:r>
    </w:p>
    <w:p w14:paraId="1250CA6D">
      <w:pPr>
        <w:widowControl/>
        <w:spacing w:line="580" w:lineRule="exact"/>
        <w:ind w:firstLine="640" w:firstLineChars="200"/>
        <w:rPr>
          <w:rFonts w:hint="eastAsia" w:ascii="仿宋_GB2312" w:eastAsia="仿宋_GB2312" w:cs="Arial Black"/>
          <w:kern w:val="0"/>
          <w:sz w:val="32"/>
          <w:szCs w:val="32"/>
        </w:rPr>
      </w:pPr>
      <w:r>
        <w:rPr>
          <w:rFonts w:hint="eastAsia" w:ascii="仿宋_GB2312" w:eastAsia="仿宋_GB2312" w:cs="Arial Black"/>
          <w:kern w:val="0"/>
          <w:sz w:val="32"/>
          <w:szCs w:val="32"/>
        </w:rPr>
        <w:t>管理的公益二类事业单位，机构规格为正科级。</w:t>
      </w:r>
    </w:p>
    <w:p w14:paraId="3114832B">
      <w:pPr>
        <w:widowControl/>
        <w:spacing w:line="580" w:lineRule="exact"/>
        <w:ind w:firstLine="640" w:firstLineChars="200"/>
        <w:rPr>
          <w:rFonts w:hint="eastAsia" w:ascii="仿宋_GB2312" w:eastAsia="仿宋_GB2312" w:cs="Arial Black"/>
          <w:kern w:val="0"/>
          <w:sz w:val="32"/>
          <w:szCs w:val="32"/>
        </w:rPr>
      </w:pPr>
      <w:r>
        <w:rPr>
          <w:rFonts w:hint="eastAsia" w:ascii="仿宋_GB2312" w:eastAsia="仿宋_GB2312" w:cs="Arial Black"/>
          <w:kern w:val="0"/>
          <w:sz w:val="32"/>
          <w:szCs w:val="32"/>
        </w:rPr>
        <w:t>第三条邢台市电子体育彩票销售管理中心贯彻落实党中央,</w:t>
      </w:r>
    </w:p>
    <w:p w14:paraId="7478FDA4">
      <w:pPr>
        <w:widowControl/>
        <w:spacing w:line="580" w:lineRule="exact"/>
        <w:ind w:firstLine="640" w:firstLineChars="200"/>
        <w:rPr>
          <w:rFonts w:hint="eastAsia" w:ascii="仿宋_GB2312" w:eastAsia="仿宋_GB2312" w:cs="Arial Black"/>
          <w:kern w:val="0"/>
          <w:sz w:val="32"/>
          <w:szCs w:val="32"/>
        </w:rPr>
      </w:pPr>
      <w:r>
        <w:rPr>
          <w:rFonts w:hint="eastAsia" w:ascii="仿宋_GB2312" w:eastAsia="仿宋_GB2312" w:cs="Arial Black"/>
          <w:kern w:val="0"/>
          <w:sz w:val="32"/>
          <w:szCs w:val="32"/>
        </w:rPr>
        <w:t>省委和市委关于电子体育彩票销售管理工作的方针政策和决策部署。主要职责是:</w:t>
      </w:r>
    </w:p>
    <w:p w14:paraId="423638B1">
      <w:pPr>
        <w:widowControl/>
        <w:spacing w:line="580" w:lineRule="exact"/>
        <w:ind w:firstLine="640" w:firstLineChars="200"/>
        <w:rPr>
          <w:rFonts w:hint="eastAsia" w:ascii="仿宋_GB2312" w:eastAsia="仿宋_GB2312" w:cs="Arial Black"/>
          <w:kern w:val="0"/>
          <w:sz w:val="32"/>
          <w:szCs w:val="32"/>
        </w:rPr>
      </w:pPr>
      <w:r>
        <w:rPr>
          <w:rFonts w:hint="eastAsia" w:ascii="仿宋_GB2312" w:eastAsia="仿宋_GB2312" w:cs="Arial Black"/>
          <w:kern w:val="0"/>
          <w:sz w:val="32"/>
          <w:szCs w:val="32"/>
        </w:rPr>
        <w:t>（一）按照有关规定，负责全市电子体育彩票发行销售的组</w:t>
      </w:r>
    </w:p>
    <w:p w14:paraId="60D94DC7">
      <w:pPr>
        <w:widowControl/>
        <w:spacing w:line="580" w:lineRule="exact"/>
        <w:ind w:firstLine="640" w:firstLineChars="200"/>
        <w:rPr>
          <w:rFonts w:hint="eastAsia" w:ascii="仿宋_GB2312" w:eastAsia="仿宋_GB2312" w:cs="Arial Black"/>
          <w:kern w:val="0"/>
          <w:sz w:val="32"/>
          <w:szCs w:val="32"/>
        </w:rPr>
      </w:pPr>
      <w:r>
        <w:rPr>
          <w:rFonts w:hint="eastAsia" w:ascii="仿宋_GB2312" w:eastAsia="仿宋_GB2312" w:cs="Arial Black"/>
          <w:kern w:val="0"/>
          <w:sz w:val="32"/>
          <w:szCs w:val="32"/>
        </w:rPr>
        <w:t>织和管理工作。</w:t>
      </w:r>
    </w:p>
    <w:p w14:paraId="62059814">
      <w:pPr>
        <w:widowControl/>
        <w:spacing w:line="580" w:lineRule="exact"/>
        <w:ind w:firstLine="640" w:firstLineChars="200"/>
        <w:rPr>
          <w:rFonts w:hint="eastAsia" w:ascii="仿宋_GB2312" w:eastAsia="仿宋_GB2312" w:cs="Arial Black"/>
          <w:kern w:val="0"/>
          <w:sz w:val="32"/>
          <w:szCs w:val="32"/>
        </w:rPr>
      </w:pPr>
      <w:r>
        <w:rPr>
          <w:rFonts w:hint="eastAsia" w:ascii="仿宋_GB2312" w:eastAsia="仿宋_GB2312" w:cs="Arial Black"/>
          <w:kern w:val="0"/>
          <w:sz w:val="32"/>
          <w:szCs w:val="32"/>
        </w:rPr>
        <w:t>（二）负责日常公益金的收、缴等相关工作。</w:t>
      </w:r>
    </w:p>
    <w:p w14:paraId="7A2626FC">
      <w:pPr>
        <w:widowControl/>
        <w:spacing w:line="580" w:lineRule="exact"/>
        <w:ind w:firstLine="640" w:firstLineChars="200"/>
        <w:rPr>
          <w:rFonts w:hint="eastAsia" w:ascii="仿宋_GB2312" w:eastAsia="仿宋_GB2312" w:cs="Arial Black"/>
          <w:kern w:val="0"/>
          <w:sz w:val="32"/>
          <w:szCs w:val="32"/>
        </w:rPr>
      </w:pPr>
      <w:r>
        <w:rPr>
          <w:rFonts w:hint="eastAsia" w:ascii="仿宋_GB2312" w:eastAsia="仿宋_GB2312" w:cs="Arial Black"/>
          <w:kern w:val="0"/>
          <w:sz w:val="32"/>
          <w:szCs w:val="32"/>
        </w:rPr>
        <w:t>（三)完成邢台市体育局交办的其他任务。</w:t>
      </w:r>
    </w:p>
    <w:p w14:paraId="3E4E2604">
      <w:pPr>
        <w:widowControl/>
        <w:spacing w:line="580" w:lineRule="exact"/>
        <w:ind w:firstLine="640" w:firstLineChars="200"/>
        <w:rPr>
          <w:rFonts w:hint="eastAsia" w:ascii="仿宋_GB2312" w:eastAsia="仿宋_GB2312" w:cs="Arial Black"/>
          <w:kern w:val="0"/>
          <w:sz w:val="32"/>
          <w:szCs w:val="32"/>
        </w:rPr>
      </w:pPr>
      <w:r>
        <w:rPr>
          <w:rFonts w:hint="eastAsia" w:ascii="仿宋_GB2312" w:eastAsia="仿宋_GB2312" w:cs="Arial Black"/>
          <w:kern w:val="0"/>
          <w:sz w:val="32"/>
          <w:szCs w:val="32"/>
        </w:rPr>
        <w:t>第四条邢台市电子体育彩票销售管理中心党组织紧紧围绕</w:t>
      </w:r>
    </w:p>
    <w:p w14:paraId="02F3F980">
      <w:pPr>
        <w:widowControl/>
        <w:spacing w:line="580" w:lineRule="exact"/>
        <w:ind w:firstLine="640" w:firstLineChars="200"/>
        <w:rPr>
          <w:rFonts w:hint="eastAsia" w:ascii="仿宋_GB2312" w:eastAsia="仿宋_GB2312" w:cs="Arial Black"/>
          <w:kern w:val="0"/>
          <w:sz w:val="32"/>
          <w:szCs w:val="32"/>
        </w:rPr>
      </w:pPr>
      <w:r>
        <w:rPr>
          <w:rFonts w:hint="eastAsia" w:ascii="仿宋_GB2312" w:eastAsia="仿宋_GB2312" w:cs="Arial Black"/>
          <w:kern w:val="0"/>
          <w:sz w:val="32"/>
          <w:szCs w:val="32"/>
        </w:rPr>
        <w:t>党的基本路线，结合单位的工作任务和特点，加强党的思想、组织和作风建设，加强党内监督，</w:t>
      </w:r>
      <w:bookmarkStart w:id="0" w:name="_GoBack"/>
      <w:bookmarkEnd w:id="0"/>
      <w:r>
        <w:rPr>
          <w:rFonts w:hint="eastAsia" w:ascii="仿宋_GB2312" w:eastAsia="仿宋_GB2312" w:cs="Arial Black"/>
          <w:kern w:val="0"/>
          <w:sz w:val="32"/>
          <w:szCs w:val="32"/>
          <w:lang w:eastAsia="zh-CN"/>
        </w:rPr>
        <w:t>坚持全面从严治党</w:t>
      </w:r>
      <w:r>
        <w:rPr>
          <w:rFonts w:hint="eastAsia" w:ascii="仿宋_GB2312" w:eastAsia="仿宋_GB2312" w:cs="Arial Black"/>
          <w:kern w:val="0"/>
          <w:sz w:val="32"/>
          <w:szCs w:val="32"/>
        </w:rPr>
        <w:t>，充分发挥党的思想政治优势、组织优势和密切联系群众的优势，服务人才成长，促进事业发展。</w:t>
      </w:r>
    </w:p>
    <w:p w14:paraId="4212E3D6">
      <w:pPr>
        <w:widowControl/>
        <w:spacing w:line="580" w:lineRule="exact"/>
        <w:ind w:firstLine="640" w:firstLineChars="200"/>
        <w:rPr>
          <w:rFonts w:hint="eastAsia" w:ascii="仿宋_GB2312" w:eastAsia="仿宋_GB2312" w:cs="Arial Black"/>
          <w:kern w:val="0"/>
          <w:sz w:val="32"/>
          <w:szCs w:val="32"/>
        </w:rPr>
      </w:pPr>
      <w:r>
        <w:rPr>
          <w:rFonts w:hint="eastAsia" w:ascii="仿宋_GB2312" w:eastAsia="仿宋_GB2312" w:cs="Arial Black"/>
          <w:kern w:val="0"/>
          <w:sz w:val="32"/>
          <w:szCs w:val="32"/>
        </w:rPr>
        <w:t>第五条邢台市电子体育彩票销售管理中心事业编制 4名。</w:t>
      </w:r>
    </w:p>
    <w:p w14:paraId="062D0F05">
      <w:pPr>
        <w:widowControl/>
        <w:spacing w:line="580" w:lineRule="exact"/>
        <w:ind w:firstLine="640" w:firstLineChars="200"/>
        <w:rPr>
          <w:rFonts w:hint="eastAsia" w:ascii="仿宋_GB2312" w:eastAsia="仿宋_GB2312" w:cs="Arial Black"/>
          <w:kern w:val="0"/>
          <w:sz w:val="32"/>
          <w:szCs w:val="32"/>
        </w:rPr>
      </w:pPr>
      <w:r>
        <w:rPr>
          <w:rFonts w:hint="eastAsia" w:ascii="仿宋_GB2312" w:eastAsia="仿宋_GB2312" w:cs="Arial Black"/>
          <w:kern w:val="0"/>
          <w:sz w:val="32"/>
          <w:szCs w:val="32"/>
        </w:rPr>
        <w:t>设主任 1 名，副主任1名。</w:t>
      </w:r>
    </w:p>
    <w:p w14:paraId="2F4B91BC">
      <w:pPr>
        <w:widowControl/>
        <w:spacing w:line="580" w:lineRule="exact"/>
        <w:ind w:firstLine="640" w:firstLineChars="200"/>
        <w:rPr>
          <w:rFonts w:ascii="仿宋_GB2312" w:hAnsi="Calibri" w:eastAsia="仿宋_GB2312" w:cs="Arial Black"/>
          <w:kern w:val="0"/>
          <w:sz w:val="32"/>
          <w:szCs w:val="32"/>
        </w:rPr>
      </w:pPr>
      <w:r>
        <w:rPr>
          <w:rFonts w:hint="eastAsia" w:ascii="仿宋_GB2312" w:eastAsia="仿宋_GB2312" w:cs="Arial Black"/>
          <w:kern w:val="0"/>
          <w:sz w:val="32"/>
          <w:szCs w:val="32"/>
        </w:rPr>
        <w:t>第六条邢台市电子体育彩票销售管理中心经费形式为财政性资金零补助。</w:t>
      </w:r>
      <w:r>
        <w:rPr>
          <w:rFonts w:hint="eastAsia" w:ascii="仿宋_GB2312" w:hAnsi="Calibri" w:eastAsia="仿宋_GB2312" w:cs="Arial Black"/>
          <w:kern w:val="0"/>
          <w:sz w:val="32"/>
          <w:szCs w:val="32"/>
        </w:rPr>
        <w:t>）</w:t>
      </w:r>
    </w:p>
    <w:p w14:paraId="53C2E407">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14:paraId="59EA710F">
      <w:pPr>
        <w:spacing w:line="580" w:lineRule="exact"/>
        <w:ind w:firstLine="640" w:firstLineChars="200"/>
        <w:rPr>
          <w:rFonts w:ascii="仿宋_GB2312" w:hAnsi="Calibri" w:eastAsia="仿宋_GB2312" w:cs="Arial Black"/>
          <w:kern w:val="0"/>
          <w:sz w:val="32"/>
          <w:szCs w:val="32"/>
        </w:rPr>
      </w:pPr>
      <w:r>
        <w:rPr>
          <w:rFonts w:hint="eastAsia" w:ascii="仿宋_GB2312" w:hAnsi="Calibri" w:eastAsia="仿宋_GB2312" w:cs="Arial Black"/>
          <w:kern w:val="0"/>
          <w:sz w:val="32"/>
          <w:szCs w:val="32"/>
        </w:rPr>
        <w:t>从决算编报单位构成看，纳入20</w:t>
      </w:r>
      <w:r>
        <w:rPr>
          <w:rFonts w:ascii="仿宋_GB2312" w:hAnsi="Calibri" w:eastAsia="仿宋_GB2312" w:cs="Arial Black"/>
          <w:kern w:val="0"/>
          <w:sz w:val="32"/>
          <w:szCs w:val="32"/>
        </w:rPr>
        <w:t>20</w:t>
      </w:r>
      <w:r>
        <w:rPr>
          <w:rFonts w:hint="eastAsia" w:ascii="仿宋_GB2312" w:hAnsi="Calibri" w:eastAsia="仿宋_GB2312" w:cs="Arial Black"/>
          <w:kern w:val="0"/>
          <w:sz w:val="32"/>
          <w:szCs w:val="32"/>
        </w:rPr>
        <w:t>年度本部门决算汇编范围的独立核算单位（以下简称“单位”）共1个，具体情况如下：</w:t>
      </w:r>
    </w:p>
    <w:tbl>
      <w:tblPr>
        <w:tblStyle w:val="7"/>
        <w:tblpPr w:leftFromText="180" w:rightFromText="180" w:vertAnchor="text" w:horzAnchor="page" w:tblpXSpec="center" w:tblpY="10"/>
        <w:tblOverlap w:val="never"/>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3426"/>
        <w:gridCol w:w="2404"/>
        <w:gridCol w:w="2622"/>
      </w:tblGrid>
      <w:tr w14:paraId="1C659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968" w:type="dxa"/>
            <w:vAlign w:val="center"/>
          </w:tcPr>
          <w:p w14:paraId="3D613F78">
            <w:pPr>
              <w:spacing w:line="560" w:lineRule="exact"/>
              <w:jc w:val="center"/>
              <w:rPr>
                <w:rFonts w:ascii="仿宋_GB2312" w:hAnsi="Calibri" w:eastAsia="仿宋_GB2312" w:cs="Arial Black"/>
                <w:b/>
                <w:bCs/>
                <w:kern w:val="0"/>
                <w:sz w:val="28"/>
                <w:szCs w:val="28"/>
              </w:rPr>
            </w:pPr>
            <w:r>
              <w:rPr>
                <w:rFonts w:hint="eastAsia" w:ascii="仿宋_GB2312" w:hAnsi="Calibri" w:eastAsia="仿宋_GB2312" w:cs="Arial Black"/>
                <w:b/>
                <w:bCs/>
                <w:kern w:val="0"/>
                <w:sz w:val="28"/>
                <w:szCs w:val="28"/>
              </w:rPr>
              <w:t>序号</w:t>
            </w:r>
          </w:p>
        </w:tc>
        <w:tc>
          <w:tcPr>
            <w:tcW w:w="3426" w:type="dxa"/>
            <w:vAlign w:val="center"/>
          </w:tcPr>
          <w:p w14:paraId="1B11C9DD">
            <w:pPr>
              <w:spacing w:line="560" w:lineRule="exact"/>
              <w:jc w:val="center"/>
              <w:rPr>
                <w:rFonts w:ascii="仿宋_GB2312" w:hAnsi="Calibri" w:eastAsia="仿宋_GB2312" w:cs="Arial Black"/>
                <w:b/>
                <w:bCs/>
                <w:kern w:val="0"/>
                <w:sz w:val="28"/>
                <w:szCs w:val="28"/>
              </w:rPr>
            </w:pPr>
            <w:r>
              <w:rPr>
                <w:rFonts w:hint="eastAsia" w:ascii="仿宋_GB2312" w:hAnsi="Calibri" w:eastAsia="仿宋_GB2312" w:cs="Arial Black"/>
                <w:b/>
                <w:bCs/>
                <w:kern w:val="0"/>
                <w:sz w:val="28"/>
                <w:szCs w:val="28"/>
              </w:rPr>
              <w:t>单位名称</w:t>
            </w:r>
          </w:p>
        </w:tc>
        <w:tc>
          <w:tcPr>
            <w:tcW w:w="2404" w:type="dxa"/>
            <w:vAlign w:val="center"/>
          </w:tcPr>
          <w:p w14:paraId="5331DB81">
            <w:pPr>
              <w:spacing w:line="560" w:lineRule="exact"/>
              <w:jc w:val="center"/>
              <w:rPr>
                <w:rFonts w:ascii="仿宋_GB2312" w:hAnsi="Calibri" w:eastAsia="仿宋_GB2312" w:cs="Arial Black"/>
                <w:b/>
                <w:bCs/>
                <w:kern w:val="0"/>
                <w:sz w:val="28"/>
                <w:szCs w:val="28"/>
              </w:rPr>
            </w:pPr>
            <w:r>
              <w:rPr>
                <w:rFonts w:hint="eastAsia" w:ascii="仿宋_GB2312" w:hAnsi="Calibri" w:eastAsia="仿宋_GB2312" w:cs="Arial Black"/>
                <w:b/>
                <w:bCs/>
                <w:kern w:val="0"/>
                <w:sz w:val="28"/>
                <w:szCs w:val="28"/>
              </w:rPr>
              <w:t>单位基本性质</w:t>
            </w:r>
          </w:p>
        </w:tc>
        <w:tc>
          <w:tcPr>
            <w:tcW w:w="2622" w:type="dxa"/>
            <w:vAlign w:val="center"/>
          </w:tcPr>
          <w:p w14:paraId="55411128">
            <w:pPr>
              <w:spacing w:line="560" w:lineRule="exact"/>
              <w:jc w:val="center"/>
              <w:rPr>
                <w:rFonts w:ascii="仿宋_GB2312" w:hAnsi="Calibri" w:eastAsia="仿宋_GB2312" w:cs="Arial Black"/>
                <w:b/>
                <w:bCs/>
                <w:kern w:val="0"/>
                <w:sz w:val="28"/>
                <w:szCs w:val="28"/>
              </w:rPr>
            </w:pPr>
            <w:r>
              <w:rPr>
                <w:rFonts w:hint="eastAsia" w:ascii="仿宋_GB2312" w:hAnsi="Calibri" w:eastAsia="仿宋_GB2312" w:cs="Arial Black"/>
                <w:b/>
                <w:bCs/>
                <w:kern w:val="0"/>
                <w:sz w:val="28"/>
                <w:szCs w:val="28"/>
              </w:rPr>
              <w:t>经费形式</w:t>
            </w:r>
          </w:p>
        </w:tc>
      </w:tr>
      <w:tr w14:paraId="41352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68" w:type="dxa"/>
          </w:tcPr>
          <w:p w14:paraId="589A053F">
            <w:pPr>
              <w:spacing w:line="560" w:lineRule="exact"/>
              <w:jc w:val="center"/>
              <w:rPr>
                <w:rFonts w:ascii="仿宋_GB2312" w:hAnsi="Calibri" w:eastAsia="仿宋_GB2312" w:cs="Arial Black"/>
                <w:kern w:val="0"/>
                <w:sz w:val="28"/>
                <w:szCs w:val="28"/>
              </w:rPr>
            </w:pPr>
            <w:r>
              <w:rPr>
                <w:rFonts w:hint="eastAsia" w:ascii="仿宋_GB2312" w:hAnsi="Calibri" w:eastAsia="仿宋_GB2312" w:cs="Arial Black"/>
                <w:kern w:val="0"/>
                <w:sz w:val="28"/>
                <w:szCs w:val="28"/>
              </w:rPr>
              <w:t>1</w:t>
            </w:r>
          </w:p>
        </w:tc>
        <w:tc>
          <w:tcPr>
            <w:tcW w:w="3426" w:type="dxa"/>
          </w:tcPr>
          <w:p w14:paraId="7CBDF80F">
            <w:pPr>
              <w:spacing w:line="560" w:lineRule="exact"/>
              <w:rPr>
                <w:rFonts w:ascii="仿宋_GB2312" w:hAnsi="Calibri" w:eastAsia="仿宋_GB2312" w:cs="Arial Black"/>
                <w:kern w:val="0"/>
                <w:sz w:val="28"/>
                <w:szCs w:val="28"/>
              </w:rPr>
            </w:pPr>
            <w:r>
              <w:rPr>
                <w:rFonts w:hint="eastAsia" w:ascii="仿宋_GB2312" w:hAnsi="Calibri" w:eastAsia="仿宋_GB2312" w:cs="Arial Black"/>
                <w:kern w:val="0"/>
                <w:sz w:val="28"/>
                <w:szCs w:val="28"/>
              </w:rPr>
              <w:t>邢台市电子体育彩票销售管理中心</w:t>
            </w:r>
          </w:p>
        </w:tc>
        <w:tc>
          <w:tcPr>
            <w:tcW w:w="2404" w:type="dxa"/>
          </w:tcPr>
          <w:p w14:paraId="07A68805">
            <w:pPr>
              <w:spacing w:line="560" w:lineRule="exact"/>
              <w:jc w:val="center"/>
              <w:rPr>
                <w:rFonts w:ascii="仿宋_GB2312" w:hAnsi="Calibri" w:eastAsia="仿宋_GB2312" w:cs="Arial Black"/>
                <w:kern w:val="0"/>
                <w:sz w:val="28"/>
                <w:szCs w:val="28"/>
              </w:rPr>
            </w:pPr>
            <w:r>
              <w:rPr>
                <w:rFonts w:hint="eastAsia" w:ascii="仿宋_GB2312" w:hAnsi="Calibri" w:eastAsia="仿宋_GB2312" w:cs="Arial Black"/>
                <w:kern w:val="0"/>
                <w:sz w:val="28"/>
                <w:szCs w:val="28"/>
              </w:rPr>
              <w:t>经费自理事业单位</w:t>
            </w:r>
          </w:p>
        </w:tc>
        <w:tc>
          <w:tcPr>
            <w:tcW w:w="2622" w:type="dxa"/>
          </w:tcPr>
          <w:p w14:paraId="6685B149">
            <w:pPr>
              <w:spacing w:line="560" w:lineRule="exact"/>
              <w:jc w:val="center"/>
              <w:rPr>
                <w:rFonts w:ascii="仿宋_GB2312" w:hAnsi="Calibri" w:eastAsia="仿宋_GB2312" w:cs="Arial Black"/>
                <w:kern w:val="0"/>
                <w:sz w:val="28"/>
                <w:szCs w:val="28"/>
              </w:rPr>
            </w:pPr>
            <w:r>
              <w:rPr>
                <w:rFonts w:hint="eastAsia" w:ascii="仿宋_GB2312" w:hAnsi="Calibri" w:eastAsia="仿宋_GB2312" w:cs="Arial Black"/>
                <w:kern w:val="0"/>
                <w:sz w:val="28"/>
                <w:szCs w:val="28"/>
              </w:rPr>
              <w:t>财政性资金零补助</w:t>
            </w:r>
          </w:p>
        </w:tc>
      </w:tr>
      <w:tr w14:paraId="64C73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420" w:type="dxa"/>
            <w:gridSpan w:val="4"/>
            <w:tcBorders>
              <w:top w:val="single" w:color="auto" w:sz="4" w:space="0"/>
              <w:left w:val="nil"/>
              <w:bottom w:val="nil"/>
              <w:right w:val="nil"/>
            </w:tcBorders>
          </w:tcPr>
          <w:p w14:paraId="52A74C97">
            <w:pPr>
              <w:spacing w:line="560" w:lineRule="exact"/>
              <w:jc w:val="left"/>
              <w:rPr>
                <w:rFonts w:ascii="仿宋_GB2312" w:hAnsi="Calibri" w:eastAsia="仿宋_GB2312" w:cs="Arial Black"/>
                <w:kern w:val="0"/>
                <w:sz w:val="28"/>
                <w:szCs w:val="28"/>
              </w:rPr>
            </w:pPr>
            <w:r>
              <w:rPr>
                <w:rFonts w:hint="eastAsia" w:ascii="仿宋_GB2312" w:hAnsi="Calibri" w:eastAsia="仿宋_GB2312" w:cs="Arial Black"/>
                <w:kern w:val="0"/>
                <w:sz w:val="28"/>
                <w:szCs w:val="28"/>
              </w:rPr>
              <w:t>注：1、单位基本性质分为行政单位、参公事业单位、财政补助事业单位、经费自理事业单位四类。</w:t>
            </w:r>
          </w:p>
          <w:p w14:paraId="4885ACB3">
            <w:pPr>
              <w:spacing w:line="560" w:lineRule="exact"/>
              <w:ind w:firstLine="560" w:firstLineChars="200"/>
              <w:jc w:val="left"/>
              <w:rPr>
                <w:rFonts w:ascii="仿宋_GB2312" w:hAnsi="Calibri" w:eastAsia="仿宋_GB2312" w:cs="Arial Black"/>
                <w:kern w:val="0"/>
                <w:sz w:val="28"/>
                <w:szCs w:val="28"/>
              </w:rPr>
            </w:pPr>
            <w:r>
              <w:rPr>
                <w:rFonts w:hint="eastAsia" w:ascii="仿宋_GB2312" w:hAnsi="Calibri" w:eastAsia="仿宋_GB2312" w:cs="Arial Black"/>
                <w:kern w:val="0"/>
                <w:sz w:val="28"/>
                <w:szCs w:val="28"/>
              </w:rPr>
              <w:t>2、经费形式分为财政拨款、财政性资金基本保证、财政性资金定额或定项补助、财政性资金零补助四类。</w:t>
            </w:r>
          </w:p>
        </w:tc>
      </w:tr>
    </w:tbl>
    <w:p w14:paraId="70879943">
      <w:pPr>
        <w:widowControl/>
        <w:spacing w:after="160" w:line="580" w:lineRule="exact"/>
        <w:ind w:firstLine="640" w:firstLineChars="200"/>
        <w:rPr>
          <w:rFonts w:ascii="Times New Roman" w:hAnsi="Times New Roman" w:eastAsia="黑体" w:cs="Times New Roman"/>
          <w:sz w:val="32"/>
          <w:szCs w:val="32"/>
        </w:rPr>
      </w:pPr>
    </w:p>
    <w:p w14:paraId="537E068F">
      <w:pPr>
        <w:widowControl/>
        <w:spacing w:after="160" w:line="580" w:lineRule="exact"/>
        <w:ind w:firstLine="640" w:firstLineChars="200"/>
        <w:rPr>
          <w:rFonts w:ascii="Times New Roman" w:hAnsi="Times New Roman" w:eastAsia="黑体" w:cs="Times New Roman"/>
          <w:sz w:val="32"/>
          <w:szCs w:val="32"/>
        </w:rPr>
      </w:pPr>
    </w:p>
    <w:p w14:paraId="13BF9C5D"/>
    <w:p w14:paraId="3E424724">
      <w:pPr>
        <w:widowControl/>
        <w:spacing w:after="160" w:line="580" w:lineRule="exact"/>
        <w:ind w:firstLine="1440" w:firstLineChars="200"/>
        <w:rPr>
          <w:rFonts w:ascii="Times New Roman" w:hAnsi="Times New Roman" w:eastAsia="黑体" w:cs="Times New Roman"/>
          <w:sz w:val="32"/>
          <w:szCs w:val="32"/>
        </w:rPr>
        <w:sectPr>
          <w:headerReference r:id="rId7" w:type="default"/>
          <w:pgSz w:w="11906" w:h="16838"/>
          <w:pgMar w:top="2098" w:right="1531" w:bottom="1984" w:left="1531" w:header="851" w:footer="992" w:gutter="0"/>
          <w:pgNumType w:fmt="numberInDash"/>
          <w:cols w:space="0" w:num="1"/>
          <w:titlePg/>
          <w:docGrid w:type="lines" w:linePitch="312" w:charSpace="0"/>
        </w:sectPr>
      </w:pPr>
      <w:r>
        <w:rPr>
          <w:sz w:val="72"/>
        </w:rPr>
        <mc:AlternateContent>
          <mc:Choice Requires="wps">
            <w:drawing>
              <wp:anchor distT="0" distB="0" distL="114300" distR="114300" simplePos="0" relativeHeight="251661312"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a:effectLst/>
                      </wps:spPr>
                      <wps:txbx>
                        <w:txbxContent>
                          <w:p w14:paraId="1727898F">
                            <w:pPr>
                              <w:widowControl/>
                              <w:jc w:val="center"/>
                              <w:rPr>
                                <w:rFonts w:ascii="黑体" w:hAnsi="黑体" w:eastAsia="黑体" w:cs="黑体"/>
                                <w:color w:val="000000" w:themeColor="text1"/>
                                <w:sz w:val="96"/>
                                <w:szCs w:val="96"/>
                                <w14:textFill>
                                  <w14:solidFill>
                                    <w14:schemeClr w14:val="tx1"/>
                                  </w14:solidFill>
                                </w14:textFill>
                              </w:rPr>
                            </w:pPr>
                            <w:r>
                              <w:rPr>
                                <w:rFonts w:hint="eastAsia" w:ascii="黑体" w:hAnsi="黑体" w:eastAsia="黑体" w:cs="黑体"/>
                                <w:color w:val="000000" w:themeColor="text1"/>
                                <w:sz w:val="96"/>
                                <w:szCs w:val="96"/>
                                <w14:textFill>
                                  <w14:solidFill>
                                    <w14:schemeClr w14:val="tx1"/>
                                  </w14:solidFill>
                                </w14:textFill>
                              </w:rPr>
                              <w:t xml:space="preserve"> </w:t>
                            </w:r>
                          </w:p>
                          <w:p w14:paraId="5F97C2C5">
                            <w:pPr>
                              <w:widowControl/>
                              <w:jc w:val="center"/>
                              <w:rPr>
                                <w:rFonts w:ascii="黑体" w:hAnsi="黑体" w:eastAsia="黑体" w:cs="黑体"/>
                                <w:color w:val="000000" w:themeColor="text1"/>
                                <w:sz w:val="96"/>
                                <w:szCs w:val="96"/>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251661312;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Kuuj5PeAAAADQEAAA8AAAAAAAAA&#10;AQAgAAAAIgAAAGRycy9kb3ducmV2LnhtbFBLAQIUABQAAAAIAIdO4kCR71RIRAIAAHkEAAAOAAAA&#10;AAAAAAEAIAAAAC0BAABkcnMvZTJvRG9jLnhtbFBLBQYAAAAABgAGAFkBAADjBQAAAAA=&#10;">
                <v:fill on="f" focussize="0,0"/>
                <v:stroke on="f" weight="0.5pt"/>
                <v:imagedata o:title=""/>
                <o:lock v:ext="edit" aspectratio="f"/>
                <v:textbox>
                  <w:txbxContent>
                    <w:p w14:paraId="1727898F">
                      <w:pPr>
                        <w:widowControl/>
                        <w:jc w:val="center"/>
                        <w:rPr>
                          <w:rFonts w:ascii="黑体" w:hAnsi="黑体" w:eastAsia="黑体" w:cs="黑体"/>
                          <w:color w:val="000000" w:themeColor="text1"/>
                          <w:sz w:val="96"/>
                          <w:szCs w:val="96"/>
                          <w14:textFill>
                            <w14:solidFill>
                              <w14:schemeClr w14:val="tx1"/>
                            </w14:solidFill>
                          </w14:textFill>
                        </w:rPr>
                      </w:pPr>
                      <w:r>
                        <w:rPr>
                          <w:rFonts w:hint="eastAsia" w:ascii="黑体" w:hAnsi="黑体" w:eastAsia="黑体" w:cs="黑体"/>
                          <w:color w:val="000000" w:themeColor="text1"/>
                          <w:sz w:val="96"/>
                          <w:szCs w:val="96"/>
                          <w14:textFill>
                            <w14:solidFill>
                              <w14:schemeClr w14:val="tx1"/>
                            </w14:solidFill>
                          </w14:textFill>
                        </w:rPr>
                        <w:t xml:space="preserve"> </w:t>
                      </w:r>
                    </w:p>
                    <w:p w14:paraId="5F97C2C5">
                      <w:pPr>
                        <w:widowControl/>
                        <w:jc w:val="center"/>
                        <w:rPr>
                          <w:rFonts w:ascii="黑体" w:hAnsi="黑体" w:eastAsia="黑体" w:cs="黑体"/>
                          <w:color w:val="000000" w:themeColor="text1"/>
                          <w:sz w:val="96"/>
                          <w:szCs w:val="96"/>
                          <w14:textFill>
                            <w14:solidFill>
                              <w14:schemeClr w14:val="tx1"/>
                            </w14:solidFill>
                          </w14:textFill>
                        </w:rPr>
                      </w:pPr>
                    </w:p>
                  </w:txbxContent>
                </v:textbox>
              </v:shape>
            </w:pict>
          </mc:Fallback>
        </mc:AlternateContent>
      </w:r>
    </w:p>
    <w:p w14:paraId="217D31F7">
      <w:pPr>
        <w:widowControl/>
        <w:spacing w:line="580" w:lineRule="exact"/>
        <w:ind w:firstLine="640" w:firstLineChars="200"/>
        <w:rPr>
          <w:rFonts w:eastAsia="黑体"/>
          <w:sz w:val="32"/>
          <w:szCs w:val="32"/>
        </w:rPr>
      </w:pPr>
    </w:p>
    <w:p w14:paraId="3D9CD949">
      <w:pPr>
        <w:jc w:val="center"/>
        <w:rPr>
          <w:rFonts w:ascii="黑体" w:hAnsi="黑体" w:eastAsia="黑体" w:cs="黑体"/>
          <w:sz w:val="56"/>
          <w:szCs w:val="72"/>
        </w:rPr>
      </w:pPr>
    </w:p>
    <w:p w14:paraId="6017B0F6">
      <w:pPr>
        <w:jc w:val="center"/>
        <w:rPr>
          <w:rFonts w:ascii="黑体" w:hAnsi="黑体" w:eastAsia="黑体" w:cs="黑体"/>
          <w:sz w:val="56"/>
          <w:szCs w:val="72"/>
        </w:rPr>
      </w:pPr>
    </w:p>
    <w:p w14:paraId="69BAE206">
      <w:pPr>
        <w:jc w:val="center"/>
        <w:rPr>
          <w:rFonts w:ascii="黑体" w:hAnsi="黑体" w:eastAsia="黑体" w:cs="黑体"/>
          <w:sz w:val="56"/>
          <w:szCs w:val="72"/>
        </w:rPr>
      </w:pPr>
    </w:p>
    <w:p w14:paraId="11C12D68">
      <w:pPr>
        <w:jc w:val="center"/>
        <w:rPr>
          <w:rFonts w:ascii="黑体" w:hAnsi="黑体" w:eastAsia="黑体" w:cs="黑体"/>
          <w:sz w:val="56"/>
          <w:szCs w:val="72"/>
        </w:rPr>
      </w:pPr>
    </w:p>
    <w:p w14:paraId="69C15D9A">
      <w:pPr>
        <w:jc w:val="center"/>
        <w:rPr>
          <w:rFonts w:ascii="黑体" w:hAnsi="黑体" w:eastAsia="黑体" w:cs="黑体"/>
          <w:sz w:val="56"/>
          <w:szCs w:val="72"/>
        </w:rPr>
      </w:pPr>
    </w:p>
    <w:p w14:paraId="308A8B37">
      <w:pPr>
        <w:jc w:val="center"/>
        <w:rPr>
          <w:rFonts w:ascii="黑体" w:hAnsi="黑体" w:eastAsia="黑体" w:cs="黑体"/>
          <w:sz w:val="56"/>
          <w:szCs w:val="72"/>
        </w:rPr>
      </w:pPr>
    </w:p>
    <w:p w14:paraId="22C6D481">
      <w:pPr>
        <w:jc w:val="center"/>
        <w:rPr>
          <w:rFonts w:ascii="黑体" w:hAnsi="黑体" w:eastAsia="黑体" w:cs="黑体"/>
          <w:sz w:val="56"/>
          <w:szCs w:val="72"/>
        </w:rPr>
      </w:pPr>
    </w:p>
    <w:p w14:paraId="18AF472C">
      <w:pPr>
        <w:jc w:val="center"/>
        <w:rPr>
          <w:rFonts w:ascii="黑体" w:hAnsi="黑体" w:eastAsia="黑体" w:cs="黑体"/>
          <w:sz w:val="56"/>
          <w:szCs w:val="72"/>
        </w:rPr>
      </w:pPr>
    </w:p>
    <w:p w14:paraId="7144DB53">
      <w:pPr>
        <w:jc w:val="center"/>
        <w:rPr>
          <w:rFonts w:ascii="黑体" w:hAnsi="黑体" w:eastAsia="黑体" w:cs="黑体"/>
          <w:sz w:val="56"/>
          <w:szCs w:val="72"/>
        </w:rPr>
      </w:pPr>
      <w:r>
        <w:rPr>
          <w:sz w:val="72"/>
        </w:rPr>
        <mc:AlternateContent>
          <mc:Choice Requires="wps">
            <w:drawing>
              <wp:anchor distT="0" distB="0" distL="114300" distR="114300" simplePos="0" relativeHeight="251662336" behindDoc="0" locked="0" layoutInCell="1" allowOverlap="1">
                <wp:simplePos x="0" y="0"/>
                <wp:positionH relativeFrom="column">
                  <wp:posOffset>-1028065</wp:posOffset>
                </wp:positionH>
                <wp:positionV relativeFrom="paragraph">
                  <wp:posOffset>-2637155</wp:posOffset>
                </wp:positionV>
                <wp:extent cx="7793355" cy="3341370"/>
                <wp:effectExtent l="6350" t="6350" r="10795" b="24130"/>
                <wp:wrapNone/>
                <wp:docPr id="3" name="文本框 6"/>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7F7F7F"/>
                          </a:fgClr>
                          <a:bgClr>
                            <a:srgbClr val="FFFFFF"/>
                          </a:bgClr>
                        </a:pattFill>
                        <a:ln w="12700" cap="flat" cmpd="sng">
                          <a:solidFill>
                            <a:srgbClr val="A6A6A6"/>
                          </a:solidFill>
                          <a:prstDash val="solid"/>
                          <a:round/>
                          <a:headEnd type="none" w="med" len="med"/>
                          <a:tailEnd type="none" w="med" len="med"/>
                        </a:ln>
                      </wps:spPr>
                      <wps:txbx>
                        <w:txbxContent>
                          <w:p w14:paraId="6E2F091B">
                            <w:pPr>
                              <w:widowControl/>
                              <w:jc w:val="center"/>
                              <w:rPr>
                                <w:rFonts w:ascii="黑体" w:hAnsi="黑体" w:eastAsia="黑体" w:cs="黑体"/>
                                <w:color w:val="000000" w:themeColor="text1"/>
                                <w:sz w:val="90"/>
                                <w:szCs w:val="90"/>
                                <w14:textFill>
                                  <w14:solidFill>
                                    <w14:schemeClr w14:val="tx1"/>
                                  </w14:solidFill>
                                </w14:textFill>
                              </w:rPr>
                            </w:pPr>
                            <w:r>
                              <w:rPr>
                                <w:rFonts w:hint="eastAsia" w:ascii="黑体" w:hAnsi="黑体" w:eastAsia="黑体" w:cs="黑体"/>
                                <w:color w:val="000000" w:themeColor="text1"/>
                                <w:sz w:val="90"/>
                                <w:szCs w:val="90"/>
                                <w14:textFill>
                                  <w14:solidFill>
                                    <w14:schemeClr w14:val="tx1"/>
                                  </w14:solidFill>
                                </w14:textFill>
                              </w:rPr>
                              <w:t xml:space="preserve">第二部分 </w:t>
                            </w:r>
                          </w:p>
                          <w:p w14:paraId="11FA4561">
                            <w:pPr>
                              <w:widowControl/>
                              <w:jc w:val="center"/>
                              <w:rPr>
                                <w:rFonts w:ascii="黑体" w:hAnsi="黑体" w:eastAsia="黑体" w:cs="黑体"/>
                                <w:color w:val="000000" w:themeColor="text1"/>
                                <w:sz w:val="90"/>
                                <w:szCs w:val="90"/>
                                <w14:textFill>
                                  <w14:solidFill>
                                    <w14:schemeClr w14:val="tx1"/>
                                  </w14:solidFill>
                                </w14:textFill>
                              </w:rPr>
                            </w:pPr>
                            <w:r>
                              <w:rPr>
                                <w:rFonts w:hint="eastAsia" w:ascii="黑体" w:hAnsi="黑体" w:eastAsia="黑体" w:cs="黑体"/>
                                <w:color w:val="000000" w:themeColor="text1"/>
                                <w:sz w:val="90"/>
                                <w:szCs w:val="90"/>
                                <w14:textFill>
                                  <w14:solidFill>
                                    <w14:schemeClr w14:val="tx1"/>
                                  </w14:solidFill>
                                </w14:textFill>
                              </w:rPr>
                              <w:t>2020年部门决算情况说明</w:t>
                            </w:r>
                          </w:p>
                          <w:p w14:paraId="6A85CCCB">
                            <w:pPr>
                              <w:widowControl/>
                              <w:jc w:val="center"/>
                            </w:pPr>
                          </w:p>
                          <w:p w14:paraId="0A1A6BFA"/>
                        </w:txbxContent>
                      </wps:txbx>
                      <wps:bodyPr anchor="ctr" upright="1"/>
                    </wps:wsp>
                  </a:graphicData>
                </a:graphic>
              </wp:anchor>
            </w:drawing>
          </mc:Choice>
          <mc:Fallback>
            <w:pict>
              <v:shape id="文本框 6" o:spid="_x0000_s1026" o:spt="202" type="#_x0000_t202" style="position:absolute;left:0pt;margin-left:-80.95pt;margin-top:-207.65pt;height:263.1pt;width:613.65pt;z-index:251662336;v-text-anchor:middle;mso-width-relative:page;mso-height-relative:page;" fillcolor="#7F7F7F" filled="t" stroked="t" coordsize="21600,21600" o:gfxdata="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vBcO0d0AAAAOAQAADwAAAAAAAAABACAAAAAiAAAAZHJz&#10;L2Rvd25yZXYueG1sUEsBAhQAFAAAAAgAh07iQJCpPnU4AgAAjgQAAA4AAAAAAAAAAQAgAAAALAEA&#10;AGRycy9lMm9Eb2MueG1sUEsFBgAAAAAGAAYAWQEAANYFAAAAAA==&#10;">
                <v:fill type="pattern" on="t" color2="#FFFFFF" o:title="5%" focussize="0,0" r:id="rId11"/>
                <v:stroke weight="1pt" color="#A6A6A6" joinstyle="round"/>
                <v:imagedata o:title=""/>
                <o:lock v:ext="edit" aspectratio="f"/>
                <v:textbox>
                  <w:txbxContent>
                    <w:p w14:paraId="6E2F091B">
                      <w:pPr>
                        <w:widowControl/>
                        <w:jc w:val="center"/>
                        <w:rPr>
                          <w:rFonts w:ascii="黑体" w:hAnsi="黑体" w:eastAsia="黑体" w:cs="黑体"/>
                          <w:color w:val="000000" w:themeColor="text1"/>
                          <w:sz w:val="90"/>
                          <w:szCs w:val="90"/>
                          <w14:textFill>
                            <w14:solidFill>
                              <w14:schemeClr w14:val="tx1"/>
                            </w14:solidFill>
                          </w14:textFill>
                        </w:rPr>
                      </w:pPr>
                      <w:r>
                        <w:rPr>
                          <w:rFonts w:hint="eastAsia" w:ascii="黑体" w:hAnsi="黑体" w:eastAsia="黑体" w:cs="黑体"/>
                          <w:color w:val="000000" w:themeColor="text1"/>
                          <w:sz w:val="90"/>
                          <w:szCs w:val="90"/>
                          <w14:textFill>
                            <w14:solidFill>
                              <w14:schemeClr w14:val="tx1"/>
                            </w14:solidFill>
                          </w14:textFill>
                        </w:rPr>
                        <w:t xml:space="preserve">第二部分 </w:t>
                      </w:r>
                    </w:p>
                    <w:p w14:paraId="11FA4561">
                      <w:pPr>
                        <w:widowControl/>
                        <w:jc w:val="center"/>
                        <w:rPr>
                          <w:rFonts w:ascii="黑体" w:hAnsi="黑体" w:eastAsia="黑体" w:cs="黑体"/>
                          <w:color w:val="000000" w:themeColor="text1"/>
                          <w:sz w:val="90"/>
                          <w:szCs w:val="90"/>
                          <w14:textFill>
                            <w14:solidFill>
                              <w14:schemeClr w14:val="tx1"/>
                            </w14:solidFill>
                          </w14:textFill>
                        </w:rPr>
                      </w:pPr>
                      <w:r>
                        <w:rPr>
                          <w:rFonts w:hint="eastAsia" w:ascii="黑体" w:hAnsi="黑体" w:eastAsia="黑体" w:cs="黑体"/>
                          <w:color w:val="000000" w:themeColor="text1"/>
                          <w:sz w:val="90"/>
                          <w:szCs w:val="90"/>
                          <w14:textFill>
                            <w14:solidFill>
                              <w14:schemeClr w14:val="tx1"/>
                            </w14:solidFill>
                          </w14:textFill>
                        </w:rPr>
                        <w:t>2020年部门决算情况说明</w:t>
                      </w:r>
                    </w:p>
                    <w:p w14:paraId="6A85CCCB">
                      <w:pPr>
                        <w:widowControl/>
                        <w:jc w:val="center"/>
                      </w:pPr>
                    </w:p>
                    <w:p w14:paraId="0A1A6BFA"/>
                  </w:txbxContent>
                </v:textbox>
              </v:shape>
            </w:pict>
          </mc:Fallback>
        </mc:AlternateContent>
      </w:r>
    </w:p>
    <w:p w14:paraId="3F65382A">
      <w:pPr>
        <w:jc w:val="center"/>
        <w:rPr>
          <w:rFonts w:ascii="黑体" w:hAnsi="黑体" w:eastAsia="黑体" w:cs="黑体"/>
          <w:sz w:val="56"/>
          <w:szCs w:val="72"/>
        </w:rPr>
      </w:pPr>
    </w:p>
    <w:p w14:paraId="3ADEF122">
      <w:pPr>
        <w:shd w:val="clear" w:color="auto" w:fill="FFFFFF"/>
        <w:spacing w:before="240" w:after="240"/>
      </w:pPr>
      <w:r>
        <w:br w:type="page"/>
      </w:r>
      <w:r>
        <w:rPr>
          <w:rFonts w:ascii="黑体" w:hAnsi="黑体" w:eastAsia="黑体" w:cs="黑体"/>
          <w:sz w:val="33"/>
          <w:szCs w:val="33"/>
        </w:rPr>
        <w:t>一、收入支出决算总体情况说明</w:t>
      </w:r>
    </w:p>
    <w:p w14:paraId="2396A637">
      <w:pPr>
        <w:shd w:val="clear" w:color="auto" w:fill="FFFFFF"/>
        <w:spacing w:before="240" w:after="240"/>
      </w:pPr>
      <w:r>
        <w:rPr>
          <w:rFonts w:ascii="仿宋_GB2312" w:hAnsi="仿宋_GB2312" w:eastAsia="仿宋_GB2312" w:cs="仿宋_GB2312"/>
          <w:sz w:val="33"/>
          <w:szCs w:val="33"/>
        </w:rPr>
        <w:t>本部门2020年度收、支总计（含结转和结余）60.22万元。与2019年度决算相比，收支各减少27.36万元，降低31.24%，主要原因是离职1人，导致导致收支减少。</w:t>
      </w:r>
    </w:p>
    <w:p w14:paraId="707D763D">
      <w:pPr>
        <w:shd w:val="clear" w:color="auto" w:fill="FFFFFF"/>
        <w:spacing w:before="240" w:after="240"/>
        <w:jc w:val="left"/>
      </w:pPr>
      <w:r>
        <w:t> </w:t>
      </w:r>
    </w:p>
    <w:p w14:paraId="6B211B21">
      <w:pPr>
        <w:shd w:val="clear" w:color="auto" w:fill="FFFFFF"/>
        <w:spacing w:before="240" w:after="240"/>
        <w:jc w:val="left"/>
      </w:pPr>
      <w:r>
        <w:t> </w:t>
      </w:r>
    </w:p>
    <w:p w14:paraId="552CD263">
      <w:r>
        <w:t>   </w:t>
      </w:r>
    </w:p>
    <w:p w14:paraId="33B8CFEF">
      <w:r>
        <w:drawing>
          <wp:inline distT="0" distB="0" distL="114300" distR="114300">
            <wp:extent cx="2834005" cy="3295650"/>
            <wp:effectExtent l="19050" t="0" r="4191" b="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12" cstate="print"/>
                    <a:stretch>
                      <a:fillRect/>
                    </a:stretch>
                  </pic:blipFill>
                  <pic:spPr>
                    <a:xfrm>
                      <a:off x="0" y="0"/>
                      <a:ext cx="2834720" cy="3296186"/>
                    </a:xfrm>
                    <a:prstGeom prst="rect">
                      <a:avLst/>
                    </a:prstGeom>
                    <a:noFill/>
                    <a:ln>
                      <a:noFill/>
                    </a:ln>
                  </pic:spPr>
                </pic:pic>
              </a:graphicData>
            </a:graphic>
          </wp:inline>
        </w:drawing>
      </w:r>
    </w:p>
    <w:p w14:paraId="40A5A232">
      <w:r>
        <w:t>   </w:t>
      </w:r>
    </w:p>
    <w:p w14:paraId="7E5F379B">
      <w:pPr>
        <w:shd w:val="clear" w:color="auto" w:fill="FFFFFF"/>
        <w:spacing w:before="240" w:after="240"/>
        <w:jc w:val="center"/>
      </w:pPr>
      <w:r>
        <w:rPr>
          <w:rFonts w:ascii="仿宋_GB2312" w:hAnsi="仿宋_GB2312" w:eastAsia="仿宋_GB2312" w:cs="仿宋_GB2312"/>
          <w:sz w:val="27"/>
          <w:szCs w:val="27"/>
        </w:rPr>
        <w:t>图：2019-2020年收支总计对比情况</w:t>
      </w:r>
    </w:p>
    <w:p w14:paraId="466C9358">
      <w:pPr>
        <w:shd w:val="clear" w:color="auto" w:fill="FFFFFF"/>
        <w:spacing w:before="240" w:after="240"/>
      </w:pPr>
      <w:r>
        <w:rPr>
          <w:rFonts w:ascii="黑体" w:hAnsi="黑体" w:eastAsia="黑体" w:cs="黑体"/>
          <w:sz w:val="33"/>
          <w:szCs w:val="33"/>
        </w:rPr>
        <w:t>二、收入决算情况说明</w:t>
      </w:r>
    </w:p>
    <w:p w14:paraId="733CBF31">
      <w:pPr>
        <w:shd w:val="clear" w:color="auto" w:fill="FFFFFF"/>
        <w:spacing w:before="240" w:after="240"/>
      </w:pPr>
      <w:r>
        <w:rPr>
          <w:rFonts w:ascii="仿宋_GB2312" w:hAnsi="仿宋_GB2312" w:eastAsia="仿宋_GB2312" w:cs="仿宋_GB2312"/>
          <w:sz w:val="33"/>
          <w:szCs w:val="33"/>
        </w:rPr>
        <w:t>本部门2020年度本年收入合计37.00万元，其中：财政拨款收入37.00万元，占100.00%；上级补助收入0.00万元，占0.00%；事业收入0.00万元，占0.00%；经营收入0.00万元，占0.00%；附属单位上缴收入0.00万元，占0.00%；其他收入0.00万元，占0.00%。如图所示：</w:t>
      </w:r>
    </w:p>
    <w:p w14:paraId="30D69485">
      <w:r>
        <w:t>   </w:t>
      </w:r>
    </w:p>
    <w:p w14:paraId="2A20AAB1">
      <w:r>
        <w:drawing>
          <wp:inline distT="0" distB="0" distL="114300" distR="114300">
            <wp:extent cx="3579495" cy="4162425"/>
            <wp:effectExtent l="19050" t="0" r="1714" b="0"/>
            <wp:docPr id="1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pic:cNvPicPr>
                      <a:picLocks noChangeAspect="1"/>
                    </pic:cNvPicPr>
                  </pic:nvPicPr>
                  <pic:blipFill>
                    <a:blip r:embed="rId13" cstate="print"/>
                    <a:stretch>
                      <a:fillRect/>
                    </a:stretch>
                  </pic:blipFill>
                  <pic:spPr>
                    <a:xfrm>
                      <a:off x="0" y="0"/>
                      <a:ext cx="3579686" cy="4162425"/>
                    </a:xfrm>
                    <a:prstGeom prst="rect">
                      <a:avLst/>
                    </a:prstGeom>
                    <a:noFill/>
                    <a:ln>
                      <a:noFill/>
                    </a:ln>
                  </pic:spPr>
                </pic:pic>
              </a:graphicData>
            </a:graphic>
          </wp:inline>
        </w:drawing>
      </w:r>
    </w:p>
    <w:p w14:paraId="32383D08">
      <w:r>
        <w:t>   </w:t>
      </w:r>
    </w:p>
    <w:p w14:paraId="1457AB75">
      <w:pPr>
        <w:shd w:val="clear" w:color="auto" w:fill="FFFFFF"/>
        <w:spacing w:before="240" w:after="240"/>
        <w:jc w:val="center"/>
      </w:pPr>
      <w:r>
        <w:rPr>
          <w:rFonts w:ascii="仿宋_GB2312" w:hAnsi="仿宋_GB2312" w:eastAsia="仿宋_GB2312" w:cs="仿宋_GB2312"/>
          <w:sz w:val="27"/>
          <w:szCs w:val="27"/>
        </w:rPr>
        <w:t>图：收入决算构成情况（百分比）</w:t>
      </w:r>
    </w:p>
    <w:p w14:paraId="3EFB8C51">
      <w:pPr>
        <w:shd w:val="clear" w:color="auto" w:fill="FFFFFF"/>
        <w:spacing w:before="240" w:after="240"/>
      </w:pPr>
      <w:r>
        <w:rPr>
          <w:rFonts w:ascii="黑体" w:hAnsi="黑体" w:eastAsia="黑体" w:cs="黑体"/>
          <w:sz w:val="33"/>
          <w:szCs w:val="33"/>
        </w:rPr>
        <w:t>三、支出决算情况说明</w:t>
      </w:r>
    </w:p>
    <w:p w14:paraId="2B4378AD">
      <w:pPr>
        <w:shd w:val="clear" w:color="auto" w:fill="FFFFFF"/>
        <w:spacing w:before="240" w:after="240"/>
      </w:pPr>
      <w:r>
        <w:rPr>
          <w:rFonts w:ascii="仿宋_GB2312" w:hAnsi="仿宋_GB2312" w:eastAsia="仿宋_GB2312" w:cs="仿宋_GB2312"/>
          <w:sz w:val="33"/>
          <w:szCs w:val="33"/>
        </w:rPr>
        <w:t>本部门2020年度本年支出合计51.00万元，其中：基本支出0.00万元，占0.00%；项目支出51.00万元，占100.00%；上缴上级支出0.00万元，占0.00%；经营支出0.00万元，占0.00%；对附属单位补助支出0.00万元，占0.00%。如图所示：</w:t>
      </w:r>
    </w:p>
    <w:p w14:paraId="10A89A4D">
      <w:r>
        <w:t>   </w:t>
      </w:r>
    </w:p>
    <w:p w14:paraId="1A34CCCE">
      <w:r>
        <w:drawing>
          <wp:inline distT="0" distB="0" distL="114300" distR="114300">
            <wp:extent cx="3400425" cy="3953510"/>
            <wp:effectExtent l="19050" t="0" r="9525" b="0"/>
            <wp:docPr id="1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pic:cNvPicPr>
                      <a:picLocks noChangeAspect="1"/>
                    </pic:cNvPicPr>
                  </pic:nvPicPr>
                  <pic:blipFill>
                    <a:blip r:embed="rId14" cstate="print"/>
                    <a:stretch>
                      <a:fillRect/>
                    </a:stretch>
                  </pic:blipFill>
                  <pic:spPr>
                    <a:xfrm>
                      <a:off x="0" y="0"/>
                      <a:ext cx="3400425" cy="3953982"/>
                    </a:xfrm>
                    <a:prstGeom prst="rect">
                      <a:avLst/>
                    </a:prstGeom>
                    <a:noFill/>
                    <a:ln>
                      <a:noFill/>
                    </a:ln>
                  </pic:spPr>
                </pic:pic>
              </a:graphicData>
            </a:graphic>
          </wp:inline>
        </w:drawing>
      </w:r>
    </w:p>
    <w:p w14:paraId="2EA86B18">
      <w:r>
        <w:t>   </w:t>
      </w:r>
    </w:p>
    <w:p w14:paraId="351068C9">
      <w:pPr>
        <w:shd w:val="clear" w:color="auto" w:fill="FFFFFF"/>
        <w:spacing w:before="240" w:after="240"/>
        <w:jc w:val="center"/>
      </w:pPr>
      <w:r>
        <w:rPr>
          <w:rFonts w:ascii="仿宋_GB2312" w:hAnsi="仿宋_GB2312" w:eastAsia="仿宋_GB2312" w:cs="仿宋_GB2312"/>
          <w:sz w:val="27"/>
          <w:szCs w:val="27"/>
        </w:rPr>
        <w:t>图：支出决算构成情况（按支出性质 / 百分比）</w:t>
      </w:r>
    </w:p>
    <w:p w14:paraId="5792F8A6">
      <w:pPr>
        <w:shd w:val="clear" w:color="auto" w:fill="FFFFFF"/>
        <w:spacing w:before="240" w:after="240"/>
      </w:pPr>
      <w:r>
        <w:rPr>
          <w:rFonts w:ascii="黑体" w:hAnsi="黑体" w:eastAsia="黑体" w:cs="黑体"/>
          <w:sz w:val="33"/>
          <w:szCs w:val="33"/>
        </w:rPr>
        <w:t>四、财政拨款收入支出决算总体情况说明</w:t>
      </w:r>
    </w:p>
    <w:p w14:paraId="380925C9">
      <w:pPr>
        <w:shd w:val="clear" w:color="auto" w:fill="FFFFFF"/>
        <w:spacing w:before="240" w:after="240"/>
      </w:pPr>
      <w:r>
        <w:rPr>
          <w:rFonts w:ascii="楷体_GB2312" w:hAnsi="楷体_GB2312" w:eastAsia="楷体_GB2312" w:cs="楷体_GB2312"/>
          <w:b/>
          <w:bCs/>
          <w:sz w:val="33"/>
          <w:szCs w:val="33"/>
        </w:rPr>
        <w:t>（一）财政拨款收支与2019年度决算对比情况</w:t>
      </w:r>
    </w:p>
    <w:p w14:paraId="0FEE6613">
      <w:pPr>
        <w:shd w:val="clear" w:color="auto" w:fill="FFFFFF"/>
        <w:spacing w:before="240" w:after="240"/>
      </w:pPr>
      <w:r>
        <w:rPr>
          <w:rFonts w:ascii="仿宋_GB2312" w:hAnsi="仿宋_GB2312" w:eastAsia="仿宋_GB2312" w:cs="仿宋_GB2312"/>
          <w:sz w:val="33"/>
          <w:szCs w:val="33"/>
        </w:rPr>
        <w:t>本部门2020年度财政拨款收支均为一般公共预算财政拨款，其中本年收入37.00万元,比2019年度减少50.39万元，降低57.66%，主要是离职1人，导致导致收支减少；本年支出51.00万元，减少13.36万元，降低20.76%，主要是离职1人，导致导致收支减少。</w:t>
      </w:r>
      <w:r>
        <w:t> </w:t>
      </w:r>
    </w:p>
    <w:p w14:paraId="501ADA45">
      <w:pPr>
        <w:shd w:val="clear" w:color="auto" w:fill="FFFFFF"/>
        <w:spacing w:before="240" w:after="240"/>
      </w:pPr>
      <w:r>
        <w:t> </w:t>
      </w:r>
    </w:p>
    <w:p w14:paraId="6724171F">
      <w:pPr>
        <w:shd w:val="clear" w:color="auto" w:fill="FFFFFF"/>
        <w:spacing w:before="240" w:after="240"/>
      </w:pPr>
      <w:r>
        <w:t> </w:t>
      </w:r>
    </w:p>
    <w:p w14:paraId="6A3875F3">
      <w:r>
        <w:t>   </w:t>
      </w:r>
    </w:p>
    <w:p w14:paraId="62C81B34">
      <w:r>
        <w:drawing>
          <wp:inline distT="0" distB="0" distL="114300" distR="114300">
            <wp:extent cx="3105150" cy="3610610"/>
            <wp:effectExtent l="19050" t="0" r="0" b="0"/>
            <wp:docPr id="1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pic:cNvPicPr>
                      <a:picLocks noChangeAspect="1"/>
                    </pic:cNvPicPr>
                  </pic:nvPicPr>
                  <pic:blipFill>
                    <a:blip r:embed="rId15" cstate="print"/>
                    <a:stretch>
                      <a:fillRect/>
                    </a:stretch>
                  </pic:blipFill>
                  <pic:spPr>
                    <a:xfrm>
                      <a:off x="0" y="0"/>
                      <a:ext cx="3105150" cy="3610640"/>
                    </a:xfrm>
                    <a:prstGeom prst="rect">
                      <a:avLst/>
                    </a:prstGeom>
                    <a:noFill/>
                    <a:ln>
                      <a:noFill/>
                    </a:ln>
                  </pic:spPr>
                </pic:pic>
              </a:graphicData>
            </a:graphic>
          </wp:inline>
        </w:drawing>
      </w:r>
    </w:p>
    <w:p w14:paraId="4885C9B8">
      <w:r>
        <w:t>   </w:t>
      </w:r>
    </w:p>
    <w:p w14:paraId="7A9FB3E1">
      <w:pPr>
        <w:shd w:val="clear" w:color="auto" w:fill="FFFFFF"/>
        <w:spacing w:before="240" w:after="240"/>
        <w:jc w:val="center"/>
      </w:pPr>
      <w:r>
        <w:rPr>
          <w:rFonts w:ascii="仿宋_GB2312" w:hAnsi="仿宋_GB2312" w:eastAsia="仿宋_GB2312" w:cs="仿宋_GB2312"/>
          <w:sz w:val="27"/>
          <w:szCs w:val="27"/>
        </w:rPr>
        <w:t>图：2019-2020年财政拨款收支情况（单位：万元）</w:t>
      </w:r>
    </w:p>
    <w:p w14:paraId="229E1967">
      <w:pPr>
        <w:shd w:val="clear" w:color="auto" w:fill="FFFFFF"/>
        <w:spacing w:before="240" w:after="240"/>
      </w:pPr>
      <w:r>
        <w:rPr>
          <w:rFonts w:ascii="楷体_GB2312" w:hAnsi="楷体_GB2312" w:eastAsia="楷体_GB2312" w:cs="楷体_GB2312"/>
          <w:b/>
          <w:bCs/>
          <w:sz w:val="33"/>
          <w:szCs w:val="33"/>
        </w:rPr>
        <w:t>（二）财政拨款收支与年初预算数对比情况</w:t>
      </w:r>
    </w:p>
    <w:p w14:paraId="79FD54DD">
      <w:pPr>
        <w:shd w:val="clear" w:color="auto" w:fill="FFFFFF"/>
        <w:spacing w:before="240" w:after="240"/>
      </w:pPr>
      <w:r>
        <w:rPr>
          <w:rFonts w:ascii="仿宋_GB2312" w:hAnsi="仿宋_GB2312" w:eastAsia="仿宋_GB2312" w:cs="仿宋_GB2312"/>
          <w:sz w:val="33"/>
          <w:szCs w:val="33"/>
        </w:rPr>
        <w:t>本部门2020年度一般公共预算财政拨款收入37.00万元，完成年初预算的100.00%,比年初预算持平0.00万元，决算数等于预算数的主要原因是与年初预算持平；本年支出51.00万元，完成年初预算的137.84%,比年初预算增加14.00万元，决算数大于预算数的主要原因是上年结转人员经费发放工资缴纳社保。</w:t>
      </w:r>
    </w:p>
    <w:p w14:paraId="190D4BF9">
      <w:pPr>
        <w:shd w:val="clear" w:color="auto" w:fill="FFFFFF"/>
        <w:spacing w:before="240" w:after="240"/>
      </w:pPr>
      <w:r>
        <w:t>  </w:t>
      </w:r>
    </w:p>
    <w:p w14:paraId="26AF93ED">
      <w:r>
        <w:t>   </w:t>
      </w:r>
    </w:p>
    <w:p w14:paraId="5BA75BFF">
      <w:r>
        <w:drawing>
          <wp:inline distT="0" distB="0" distL="114300" distR="114300">
            <wp:extent cx="3114675" cy="3621405"/>
            <wp:effectExtent l="19050" t="0" r="9525" b="0"/>
            <wp:docPr id="1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pic:cNvPicPr>
                      <a:picLocks noChangeAspect="1"/>
                    </pic:cNvPicPr>
                  </pic:nvPicPr>
                  <pic:blipFill>
                    <a:blip r:embed="rId16" cstate="print"/>
                    <a:stretch>
                      <a:fillRect/>
                    </a:stretch>
                  </pic:blipFill>
                  <pic:spPr>
                    <a:xfrm>
                      <a:off x="0" y="0"/>
                      <a:ext cx="3114675" cy="3621715"/>
                    </a:xfrm>
                    <a:prstGeom prst="rect">
                      <a:avLst/>
                    </a:prstGeom>
                    <a:noFill/>
                    <a:ln>
                      <a:noFill/>
                    </a:ln>
                  </pic:spPr>
                </pic:pic>
              </a:graphicData>
            </a:graphic>
          </wp:inline>
        </w:drawing>
      </w:r>
    </w:p>
    <w:p w14:paraId="414E60C3">
      <w:r>
        <w:t>   </w:t>
      </w:r>
    </w:p>
    <w:p w14:paraId="412C275C">
      <w:pPr>
        <w:shd w:val="clear" w:color="auto" w:fill="FFFFFF"/>
        <w:spacing w:before="240" w:after="240"/>
        <w:jc w:val="center"/>
      </w:pPr>
      <w:r>
        <w:rPr>
          <w:rFonts w:ascii="仿宋_GB2312" w:hAnsi="仿宋_GB2312" w:eastAsia="仿宋_GB2312" w:cs="仿宋_GB2312"/>
          <w:sz w:val="27"/>
          <w:szCs w:val="27"/>
        </w:rPr>
        <w:t>图：财政拨款收支预决算对比情况（单位：万元）</w:t>
      </w:r>
    </w:p>
    <w:p w14:paraId="689D5BDC">
      <w:pPr>
        <w:shd w:val="clear" w:color="auto" w:fill="FFFFFF"/>
        <w:spacing w:before="240" w:after="240"/>
      </w:pPr>
      <w:r>
        <w:rPr>
          <w:rFonts w:ascii="楷体_GB2312" w:hAnsi="楷体_GB2312" w:eastAsia="楷体_GB2312" w:cs="楷体_GB2312"/>
          <w:sz w:val="33"/>
          <w:szCs w:val="33"/>
        </w:rPr>
        <w:t>（三）财政拨款支出决算结构情况</w:t>
      </w:r>
    </w:p>
    <w:p w14:paraId="3934EFBC">
      <w:pPr>
        <w:shd w:val="clear" w:color="auto" w:fill="FFFFFF"/>
        <w:spacing w:before="240" w:after="240"/>
      </w:pPr>
      <w:r>
        <w:rPr>
          <w:rFonts w:ascii="仿宋_GB2312" w:hAnsi="仿宋_GB2312" w:eastAsia="仿宋_GB2312" w:cs="仿宋_GB2312"/>
          <w:sz w:val="33"/>
          <w:szCs w:val="33"/>
        </w:rPr>
        <w:t>2020 年度财政拨款支出51.00万元，主要用于以下方面：一般公共服务（类）支出0.00万元，占0.00%；外交（类）支出0.00万元，占0.00%；国防（类）支出0.00万元，占0.00%；公共安全（类）支出0.00万元，占0.00%；教育（类）支出0.00万元，占0.00%；科学技术（类）支出0.00万元，占0.00%；文化旅游体育与传媒（类）支出51.00万元，占100.00%；社会保障和就业（类）支出0.00万元，占0.00%；卫生健康（类）支出0.00万元，占0.00%；节能环保（类）支出0.00万元，占0.00%；城乡社区（类）支出0.00万元，占0.00%；农林水（类）支出0.00万元，占0.00%；交通运输（类）支出0.00万元，占0.00%；资源勘探工业信息等（类）支出0.00万元，占0.00%；商业服务业等（类）支出0.00万元，占0.00%；金融（类）支出0.00万元，占0.00%；援助其他地区（类）支出0.00万元，占0.00%；自然资源海洋气象等（类）支出0.00万元，占0.00%；住房保障（类）支出0.00万元，占0.00%；粮油物资储备（类）支出0.00万元，占0.00%；国有资本经营预算（类）支出0.00万元，占0.00%；灾害防治及应急管理（类）支出0.00万元，占0.00%；其他（类）支出0.00万元，占0.00%；债务还本（类）支出0.00万元，占0.00%；债务付息（类）支出0.00万元，占0.00%；抗疫特别国债安排（类）支出0.00万元，占0.00%。</w:t>
      </w:r>
    </w:p>
    <w:p w14:paraId="20780D13">
      <w:pPr>
        <w:shd w:val="clear" w:color="auto" w:fill="FFFFFF"/>
        <w:spacing w:before="240" w:after="240"/>
        <w:jc w:val="left"/>
      </w:pPr>
      <w:r>
        <w:t> </w:t>
      </w:r>
    </w:p>
    <w:p w14:paraId="5F93C191">
      <w:r>
        <w:t>   </w:t>
      </w:r>
    </w:p>
    <w:p w14:paraId="03562FB9">
      <w:r>
        <w:drawing>
          <wp:inline distT="0" distB="0" distL="114300" distR="114300">
            <wp:extent cx="3481070" cy="4048125"/>
            <wp:effectExtent l="19050" t="0" r="4762" b="0"/>
            <wp:docPr id="1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pic:cNvPicPr>
                      <a:picLocks noChangeAspect="1"/>
                    </pic:cNvPicPr>
                  </pic:nvPicPr>
                  <pic:blipFill>
                    <a:blip r:embed="rId17" cstate="print"/>
                    <a:stretch>
                      <a:fillRect/>
                    </a:stretch>
                  </pic:blipFill>
                  <pic:spPr>
                    <a:xfrm>
                      <a:off x="0" y="0"/>
                      <a:ext cx="3481388" cy="4048125"/>
                    </a:xfrm>
                    <a:prstGeom prst="rect">
                      <a:avLst/>
                    </a:prstGeom>
                    <a:noFill/>
                    <a:ln>
                      <a:noFill/>
                    </a:ln>
                  </pic:spPr>
                </pic:pic>
              </a:graphicData>
            </a:graphic>
          </wp:inline>
        </w:drawing>
      </w:r>
    </w:p>
    <w:p w14:paraId="3915F5B3">
      <w:r>
        <w:t>   </w:t>
      </w:r>
    </w:p>
    <w:p w14:paraId="2A7AA1A5">
      <w:pPr>
        <w:shd w:val="clear" w:color="auto" w:fill="FFFFFF"/>
        <w:spacing w:before="240" w:after="240"/>
        <w:jc w:val="center"/>
      </w:pPr>
      <w:r>
        <w:rPr>
          <w:rFonts w:ascii="仿宋_GB2312" w:hAnsi="仿宋_GB2312" w:eastAsia="仿宋_GB2312" w:cs="仿宋_GB2312"/>
          <w:sz w:val="27"/>
          <w:szCs w:val="27"/>
        </w:rPr>
        <w:t>图：财政拨款支出决算结构（按功能分类 / 百分比）</w:t>
      </w:r>
    </w:p>
    <w:p w14:paraId="6024463B">
      <w:pPr>
        <w:shd w:val="clear" w:color="auto" w:fill="FFFFFF"/>
        <w:spacing w:before="240" w:after="240"/>
      </w:pPr>
      <w:r>
        <w:rPr>
          <w:rFonts w:ascii="楷体_GB2312" w:hAnsi="楷体_GB2312" w:eastAsia="楷体_GB2312" w:cs="楷体_GB2312"/>
          <w:b/>
          <w:bCs/>
          <w:sz w:val="33"/>
          <w:szCs w:val="33"/>
        </w:rPr>
        <w:t>（四）一般公共预算基本支出决算情况说明</w:t>
      </w:r>
    </w:p>
    <w:p w14:paraId="0211B91E">
      <w:pPr>
        <w:shd w:val="clear" w:color="auto" w:fill="FFFFFF"/>
        <w:spacing w:before="240" w:after="240"/>
      </w:pPr>
      <w:r>
        <w:rPr>
          <w:rFonts w:ascii="仿宋_GB2312" w:hAnsi="仿宋_GB2312" w:eastAsia="仿宋_GB2312" w:cs="仿宋_GB2312"/>
          <w:sz w:val="33"/>
          <w:szCs w:val="33"/>
        </w:rPr>
        <w:t>2020 年度财政拨款基本支出0.00万元，其中：人员经费0.00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0.00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14:paraId="746AA7A0">
      <w:pPr>
        <w:shd w:val="clear" w:color="auto" w:fill="FFFFFF"/>
        <w:spacing w:before="240" w:after="240"/>
      </w:pPr>
      <w:r>
        <w:rPr>
          <w:rFonts w:ascii="黑体" w:hAnsi="黑体" w:eastAsia="黑体" w:cs="黑体"/>
          <w:sz w:val="33"/>
          <w:szCs w:val="33"/>
        </w:rPr>
        <w:t>五、一般公共预算“三公” 经费支出决算情况说明</w:t>
      </w:r>
    </w:p>
    <w:p w14:paraId="1A45EC8E">
      <w:pPr>
        <w:shd w:val="clear" w:color="auto" w:fill="FFFFFF"/>
        <w:spacing w:before="240" w:after="240"/>
      </w:pPr>
      <w:r>
        <w:rPr>
          <w:rFonts w:ascii="楷体_GB2312" w:hAnsi="楷体_GB2312" w:eastAsia="楷体_GB2312" w:cs="楷体_GB2312"/>
          <w:b/>
          <w:bCs/>
          <w:sz w:val="33"/>
          <w:szCs w:val="33"/>
        </w:rPr>
        <w:t>（一）“三公”经费财政拨款支出决算总体情况说明</w:t>
      </w:r>
    </w:p>
    <w:p w14:paraId="5AA0299C">
      <w:pPr>
        <w:shd w:val="clear" w:color="auto" w:fill="FFFFFF"/>
        <w:spacing w:before="240" w:after="240"/>
      </w:pPr>
      <w:r>
        <w:rPr>
          <w:rFonts w:ascii="仿宋_GB2312" w:hAnsi="仿宋_GB2312" w:eastAsia="仿宋_GB2312" w:cs="仿宋_GB2312"/>
          <w:sz w:val="33"/>
          <w:szCs w:val="33"/>
        </w:rPr>
        <w:t>本部门2020年度“三公”经费财政拨款支出预算为0.00万元，支出决算为0.00元，完成预算的0.00%,较预算持平0.00万元，持平0.00%，主要是未发生“三公”经费财政拨款支出；较2019年度持平0.00万元，持平0.00%，主要是未发生“三公”经费财政拨款支出。</w:t>
      </w:r>
    </w:p>
    <w:p w14:paraId="4BDD14AF">
      <w:pPr>
        <w:shd w:val="clear" w:color="auto" w:fill="FFFFFF"/>
        <w:spacing w:before="240" w:after="240"/>
      </w:pPr>
      <w:r>
        <w:rPr>
          <w:rFonts w:ascii="楷体_GB2312" w:hAnsi="楷体_GB2312" w:eastAsia="楷体_GB2312" w:cs="楷体_GB2312"/>
          <w:b/>
          <w:bCs/>
          <w:sz w:val="33"/>
          <w:szCs w:val="33"/>
        </w:rPr>
        <w:t>（二）“三公”经费财政拨款支出决算具体情况说明</w:t>
      </w:r>
    </w:p>
    <w:p w14:paraId="4EB80973">
      <w:pPr>
        <w:shd w:val="clear" w:color="auto" w:fill="FFFFFF"/>
        <w:spacing w:before="240" w:after="240"/>
      </w:pPr>
      <w:r>
        <w:rPr>
          <w:rFonts w:ascii="楷体_GB2312" w:hAnsi="楷体_GB2312" w:eastAsia="楷体_GB2312" w:cs="楷体_GB2312"/>
          <w:b/>
          <w:bCs/>
          <w:sz w:val="33"/>
          <w:szCs w:val="33"/>
        </w:rPr>
        <w:t>1.因公出国（境）费。</w:t>
      </w:r>
      <w:r>
        <w:rPr>
          <w:rFonts w:ascii="仿宋_GB2312" w:hAnsi="仿宋_GB2312" w:eastAsia="仿宋_GB2312" w:cs="仿宋_GB2312"/>
          <w:sz w:val="33"/>
          <w:szCs w:val="33"/>
        </w:rPr>
        <w:t>本部门2020年因公出国（境）费支出0.00万元，完成预算的0.00%。因公出国（境）团组0个、共0人、参加其他单位组织的因公出国（境）团组0个、共0人/无本单位组织的出国（境）团组。因公出国（境）费支出较预算持平0.00万元，持平0.00%，主要是未发生</w:t>
      </w:r>
      <w:r>
        <w:rPr>
          <w:rFonts w:ascii="楷体_GB2312" w:hAnsi="楷体_GB2312" w:eastAsia="楷体_GB2312" w:cs="楷体_GB2312"/>
          <w:b/>
          <w:bCs/>
          <w:sz w:val="33"/>
          <w:szCs w:val="33"/>
        </w:rPr>
        <w:t>因公出国（境）费。</w:t>
      </w:r>
      <w:r>
        <w:rPr>
          <w:rFonts w:ascii="仿宋_GB2312" w:hAnsi="仿宋_GB2312" w:eastAsia="仿宋_GB2312" w:cs="仿宋_GB2312"/>
          <w:sz w:val="33"/>
          <w:szCs w:val="33"/>
        </w:rPr>
        <w:t>；较上年持平0.00万元，持平0.00%，主要是未发生</w:t>
      </w:r>
      <w:r>
        <w:rPr>
          <w:rFonts w:ascii="楷体_GB2312" w:hAnsi="楷体_GB2312" w:eastAsia="楷体_GB2312" w:cs="楷体_GB2312"/>
          <w:b/>
          <w:bCs/>
          <w:sz w:val="33"/>
          <w:szCs w:val="33"/>
        </w:rPr>
        <w:t>因公出国（境）费</w:t>
      </w:r>
      <w:r>
        <w:rPr>
          <w:rFonts w:ascii="仿宋_GB2312" w:hAnsi="仿宋_GB2312" w:eastAsia="仿宋_GB2312" w:cs="仿宋_GB2312"/>
          <w:sz w:val="33"/>
          <w:szCs w:val="33"/>
        </w:rPr>
        <w:t>。</w:t>
      </w:r>
    </w:p>
    <w:p w14:paraId="07F5CED1">
      <w:pPr>
        <w:shd w:val="clear" w:color="auto" w:fill="FFFFFF"/>
        <w:spacing w:before="240" w:after="240"/>
      </w:pPr>
      <w:r>
        <w:rPr>
          <w:rFonts w:ascii="楷体_GB2312" w:hAnsi="楷体_GB2312" w:eastAsia="楷体_GB2312" w:cs="楷体_GB2312"/>
          <w:b/>
          <w:bCs/>
          <w:sz w:val="33"/>
          <w:szCs w:val="33"/>
        </w:rPr>
        <w:t>2.公务用车购置及运行维护费。</w:t>
      </w:r>
      <w:r>
        <w:rPr>
          <w:rFonts w:ascii="仿宋_GB2312" w:hAnsi="仿宋_GB2312" w:eastAsia="仿宋_GB2312" w:cs="仿宋_GB2312"/>
          <w:sz w:val="33"/>
          <w:szCs w:val="33"/>
        </w:rPr>
        <w:t>本部门2020年公务用车购置及运行维护费支出0.00万元，完成预算的0.00%，较预算持平0.00万元，持平0.00%，主要是未发生公务用车购置及运行维护</w:t>
      </w:r>
      <w:r>
        <w:rPr>
          <w:rFonts w:hint="eastAsia" w:ascii="仿宋_GB2312" w:hAnsi="仿宋_GB2312" w:eastAsia="仿宋_GB2312" w:cs="仿宋_GB2312"/>
          <w:sz w:val="33"/>
          <w:szCs w:val="33"/>
          <w:lang w:eastAsia="zh-CN"/>
        </w:rPr>
        <w:t>费</w:t>
      </w:r>
      <w:r>
        <w:rPr>
          <w:rFonts w:ascii="仿宋_GB2312" w:hAnsi="仿宋_GB2312" w:eastAsia="仿宋_GB2312" w:cs="仿宋_GB2312"/>
          <w:sz w:val="33"/>
          <w:szCs w:val="33"/>
        </w:rPr>
        <w:t>；较上年持平0.00万元，持平0.00%，主要是未发生公务用车购置及运行维护</w:t>
      </w:r>
      <w:r>
        <w:rPr>
          <w:rFonts w:hint="eastAsia" w:ascii="仿宋_GB2312" w:hAnsi="仿宋_GB2312" w:eastAsia="仿宋_GB2312" w:cs="仿宋_GB2312"/>
          <w:sz w:val="33"/>
          <w:szCs w:val="33"/>
          <w:lang w:eastAsia="zh-CN"/>
        </w:rPr>
        <w:t>费</w:t>
      </w:r>
      <w:r>
        <w:rPr>
          <w:rFonts w:ascii="仿宋_GB2312" w:hAnsi="仿宋_GB2312" w:eastAsia="仿宋_GB2312" w:cs="仿宋_GB2312"/>
          <w:sz w:val="33"/>
          <w:szCs w:val="33"/>
        </w:rPr>
        <w:t>。</w:t>
      </w:r>
      <w:r>
        <w:rPr>
          <w:rFonts w:ascii="仿宋_GB2312" w:hAnsi="仿宋_GB2312" w:eastAsia="仿宋_GB2312" w:cs="仿宋_GB2312"/>
          <w:b/>
          <w:bCs/>
          <w:sz w:val="33"/>
          <w:szCs w:val="33"/>
        </w:rPr>
        <w:t>其中：</w:t>
      </w:r>
    </w:p>
    <w:p w14:paraId="3D2DB61B">
      <w:pPr>
        <w:shd w:val="clear" w:color="auto" w:fill="FFFFFF"/>
        <w:spacing w:before="240" w:after="240"/>
      </w:pPr>
      <w:r>
        <w:rPr>
          <w:rFonts w:ascii="仿宋_GB2312" w:hAnsi="仿宋_GB2312" w:eastAsia="仿宋_GB2312" w:cs="仿宋_GB2312"/>
          <w:b/>
          <w:bCs/>
          <w:sz w:val="33"/>
          <w:szCs w:val="33"/>
        </w:rPr>
        <w:t>公务用车购置费支出：</w:t>
      </w:r>
      <w:r>
        <w:rPr>
          <w:rFonts w:ascii="仿宋_GB2312" w:hAnsi="仿宋_GB2312" w:eastAsia="仿宋_GB2312" w:cs="仿宋_GB2312"/>
          <w:sz w:val="33"/>
          <w:szCs w:val="33"/>
        </w:rPr>
        <w:t>本部门2020年度公务用车购置量0辆，发生“公务用车购置”经费支出0.00万元。公务用车购置费支出较预算持平0.00万元，持平0.00%，主要是未发生</w:t>
      </w:r>
      <w:r>
        <w:rPr>
          <w:rFonts w:ascii="仿宋_GB2312" w:hAnsi="仿宋_GB2312" w:eastAsia="仿宋_GB2312" w:cs="仿宋_GB2312"/>
          <w:b/>
          <w:bCs/>
          <w:sz w:val="33"/>
          <w:szCs w:val="33"/>
        </w:rPr>
        <w:t>公务用车购置费支出</w:t>
      </w:r>
      <w:r>
        <w:rPr>
          <w:rFonts w:ascii="仿宋_GB2312" w:hAnsi="仿宋_GB2312" w:eastAsia="仿宋_GB2312" w:cs="仿宋_GB2312"/>
          <w:sz w:val="33"/>
          <w:szCs w:val="33"/>
        </w:rPr>
        <w:t>；较上年持平0.00万元，持平0.00%，主要是未发生</w:t>
      </w:r>
      <w:r>
        <w:rPr>
          <w:rFonts w:ascii="仿宋_GB2312" w:hAnsi="仿宋_GB2312" w:eastAsia="仿宋_GB2312" w:cs="仿宋_GB2312"/>
          <w:b/>
          <w:bCs/>
          <w:sz w:val="33"/>
          <w:szCs w:val="33"/>
        </w:rPr>
        <w:t>公务用车购置费支出</w:t>
      </w:r>
      <w:r>
        <w:rPr>
          <w:rFonts w:ascii="仿宋_GB2312" w:hAnsi="仿宋_GB2312" w:eastAsia="仿宋_GB2312" w:cs="仿宋_GB2312"/>
          <w:sz w:val="33"/>
          <w:szCs w:val="33"/>
        </w:rPr>
        <w:t>。</w:t>
      </w:r>
    </w:p>
    <w:p w14:paraId="2771BE0D">
      <w:pPr>
        <w:shd w:val="clear" w:color="auto" w:fill="FFFFFF"/>
        <w:spacing w:before="240" w:after="240"/>
        <w:rPr>
          <w:rFonts w:ascii="仿宋_GB2312" w:hAnsi="仿宋_GB2312" w:eastAsia="仿宋_GB2312" w:cs="仿宋_GB2312"/>
          <w:sz w:val="33"/>
          <w:szCs w:val="33"/>
        </w:rPr>
      </w:pPr>
      <w:r>
        <w:rPr>
          <w:rFonts w:ascii="仿宋_GB2312" w:hAnsi="仿宋_GB2312" w:eastAsia="仿宋_GB2312" w:cs="仿宋_GB2312"/>
          <w:b/>
          <w:bCs/>
          <w:sz w:val="33"/>
          <w:szCs w:val="33"/>
        </w:rPr>
        <w:t>公务用车运行维护费支出：</w:t>
      </w:r>
      <w:r>
        <w:rPr>
          <w:rFonts w:ascii="仿宋_GB2312" w:hAnsi="仿宋_GB2312" w:eastAsia="仿宋_GB2312" w:cs="仿宋_GB2312"/>
          <w:sz w:val="33"/>
          <w:szCs w:val="33"/>
        </w:rPr>
        <w:t>本部门2020年度单位公务用车保有量0辆,发生运行维护费支出0.00万元。公车运行维护费支出较预算持平0.00万元，持平0.00%，主要是未发生公车运行维护费支出；较上年持平0.00万元，持平0.00%，主要是未发生公务用车运行维护费支出。</w:t>
      </w:r>
    </w:p>
    <w:p w14:paraId="7D19B420">
      <w:pPr>
        <w:shd w:val="clear" w:color="auto" w:fill="FFFFFF"/>
        <w:spacing w:before="240" w:after="240"/>
        <w:rPr>
          <w:rFonts w:ascii="仿宋_GB2312" w:hAnsi="仿宋_GB2312" w:eastAsia="仿宋_GB2312" w:cs="仿宋_GB2312"/>
          <w:sz w:val="33"/>
          <w:szCs w:val="33"/>
        </w:rPr>
      </w:pPr>
      <w:r>
        <w:rPr>
          <w:rFonts w:ascii="楷体_GB2312" w:hAnsi="楷体_GB2312" w:eastAsia="楷体_GB2312" w:cs="楷体_GB2312"/>
          <w:b/>
          <w:bCs/>
          <w:sz w:val="33"/>
          <w:szCs w:val="33"/>
        </w:rPr>
        <w:t>3.公务接待费。</w:t>
      </w:r>
      <w:r>
        <w:rPr>
          <w:rFonts w:ascii="仿宋_GB2312" w:hAnsi="仿宋_GB2312" w:eastAsia="仿宋_GB2312" w:cs="仿宋_GB2312"/>
          <w:sz w:val="33"/>
          <w:szCs w:val="33"/>
        </w:rPr>
        <w:t>本部门2020年公务接待费支出0.00万元，完成预算的0.00%。发生公务接待共0批次、0人次。公务接待费支出较预算持平0.00万元，持平0.00%，主要是未发生公务接待费；较上年度持平0.00万元，持平0.00%，主要是未发生公务接待费。</w:t>
      </w:r>
    </w:p>
    <w:p w14:paraId="7BC6D29A">
      <w:pPr>
        <w:shd w:val="clear" w:color="auto" w:fill="FFFFFF"/>
        <w:spacing w:before="240" w:after="240"/>
      </w:pPr>
      <w:r>
        <w:rPr>
          <w:rFonts w:ascii="黑体" w:hAnsi="黑体" w:eastAsia="黑体" w:cs="黑体"/>
          <w:sz w:val="33"/>
          <w:szCs w:val="33"/>
        </w:rPr>
        <w:t>六、预算绩效情况说明</w:t>
      </w:r>
    </w:p>
    <w:p w14:paraId="5507BF8D">
      <w:pPr>
        <w:shd w:val="clear" w:color="auto" w:fill="FFFFFF"/>
        <w:spacing w:before="240" w:after="240"/>
      </w:pPr>
      <w:r>
        <w:rPr>
          <w:rFonts w:ascii="楷体_GB2312" w:hAnsi="楷体_GB2312" w:eastAsia="楷体_GB2312" w:cs="楷体_GB2312"/>
          <w:b/>
          <w:bCs/>
          <w:sz w:val="33"/>
          <w:szCs w:val="33"/>
        </w:rPr>
        <w:t>（一）预算绩效管理工作开展情况</w:t>
      </w:r>
    </w:p>
    <w:p w14:paraId="33798682">
      <w:pPr>
        <w:shd w:val="clear" w:color="auto" w:fill="FFFFFF"/>
        <w:spacing w:before="240" w:after="240"/>
      </w:pPr>
      <w:r>
        <w:rPr>
          <w:rFonts w:ascii="仿宋_GB2312" w:hAnsi="仿宋_GB2312" w:eastAsia="仿宋_GB2312" w:cs="仿宋_GB2312"/>
          <w:sz w:val="33"/>
          <w:szCs w:val="33"/>
        </w:rPr>
        <w:t>根据预算绩效管理要求，本部门组织对2020年度项目支出全面开展绩效自评，其中，一般公共预算一级项目</w:t>
      </w:r>
      <w:r>
        <w:rPr>
          <w:rFonts w:hint="eastAsia" w:ascii="仿宋_GB2312" w:hAnsi="仿宋_GB2312" w:eastAsia="仿宋_GB2312" w:cs="仿宋_GB2312"/>
          <w:sz w:val="33"/>
          <w:szCs w:val="33"/>
        </w:rPr>
        <w:t>1</w:t>
      </w:r>
      <w:r>
        <w:rPr>
          <w:rFonts w:ascii="仿宋_GB2312" w:hAnsi="仿宋_GB2312" w:eastAsia="仿宋_GB2312" w:cs="仿宋_GB2312"/>
          <w:sz w:val="33"/>
          <w:szCs w:val="33"/>
        </w:rPr>
        <w:t>个，共涉及资金</w:t>
      </w:r>
      <w:r>
        <w:rPr>
          <w:rFonts w:hint="eastAsia" w:ascii="仿宋_GB2312" w:hAnsi="仿宋_GB2312" w:eastAsia="仿宋_GB2312" w:cs="仿宋_GB2312"/>
          <w:sz w:val="33"/>
          <w:szCs w:val="33"/>
        </w:rPr>
        <w:t>37</w:t>
      </w:r>
      <w:r>
        <w:rPr>
          <w:rFonts w:ascii="仿宋_GB2312" w:hAnsi="仿宋_GB2312" w:eastAsia="仿宋_GB2312" w:cs="仿宋_GB2312"/>
          <w:sz w:val="33"/>
          <w:szCs w:val="33"/>
        </w:rPr>
        <w:t>万元，占一般公共预算项目支出总额的</w:t>
      </w:r>
      <w:r>
        <w:rPr>
          <w:rFonts w:hint="eastAsia" w:ascii="仿宋_GB2312" w:hAnsi="仿宋_GB2312" w:eastAsia="仿宋_GB2312" w:cs="仿宋_GB2312"/>
          <w:sz w:val="33"/>
          <w:szCs w:val="33"/>
        </w:rPr>
        <w:t>100</w:t>
      </w:r>
      <w:r>
        <w:rPr>
          <w:rFonts w:ascii="仿宋_GB2312" w:hAnsi="仿宋_GB2312" w:eastAsia="仿宋_GB2312" w:cs="仿宋_GB2312"/>
          <w:sz w:val="33"/>
          <w:szCs w:val="33"/>
        </w:rPr>
        <w:t>%。</w:t>
      </w:r>
    </w:p>
    <w:p w14:paraId="2DECDA39">
      <w:pPr>
        <w:shd w:val="clear" w:color="auto" w:fill="FFFFFF"/>
        <w:spacing w:before="240" w:after="240"/>
      </w:pPr>
      <w:r>
        <w:rPr>
          <w:rFonts w:ascii="仿宋_GB2312" w:hAnsi="仿宋_GB2312" w:eastAsia="仿宋_GB2312" w:cs="仿宋_GB2312"/>
          <w:sz w:val="33"/>
          <w:szCs w:val="33"/>
        </w:rPr>
        <w:t>组织对</w:t>
      </w:r>
      <w:r>
        <w:rPr>
          <w:rFonts w:hint="eastAsia" w:ascii="仿宋_GB2312" w:hAnsi="仿宋_GB2312" w:eastAsia="仿宋_GB2312" w:cs="仿宋_GB2312"/>
          <w:sz w:val="33"/>
          <w:szCs w:val="33"/>
        </w:rPr>
        <w:t>体彩中心人员经费</w:t>
      </w:r>
      <w:r>
        <w:rPr>
          <w:rFonts w:ascii="仿宋_GB2312" w:hAnsi="仿宋_GB2312" w:eastAsia="仿宋_GB2312" w:cs="仿宋_GB2312"/>
          <w:sz w:val="33"/>
          <w:szCs w:val="33"/>
        </w:rPr>
        <w:t>一级项目开展了部门评价，涉及一般公共预算支出</w:t>
      </w:r>
      <w:r>
        <w:rPr>
          <w:rFonts w:hint="eastAsia" w:ascii="仿宋_GB2312" w:hAnsi="仿宋_GB2312" w:eastAsia="仿宋_GB2312" w:cs="仿宋_GB2312"/>
          <w:sz w:val="33"/>
          <w:szCs w:val="33"/>
        </w:rPr>
        <w:t>37</w:t>
      </w:r>
      <w:r>
        <w:rPr>
          <w:rFonts w:ascii="仿宋_GB2312" w:hAnsi="仿宋_GB2312" w:eastAsia="仿宋_GB2312" w:cs="仿宋_GB2312"/>
          <w:sz w:val="33"/>
          <w:szCs w:val="33"/>
        </w:rPr>
        <w:t>万元，政府性基金预算支出</w:t>
      </w:r>
      <w:r>
        <w:rPr>
          <w:rFonts w:hint="eastAsia" w:ascii="仿宋_GB2312" w:hAnsi="仿宋_GB2312" w:eastAsia="仿宋_GB2312" w:cs="仿宋_GB2312"/>
          <w:sz w:val="33"/>
          <w:szCs w:val="33"/>
        </w:rPr>
        <w:t>0</w:t>
      </w:r>
      <w:r>
        <w:rPr>
          <w:rFonts w:ascii="仿宋_GB2312" w:hAnsi="仿宋_GB2312" w:eastAsia="仿宋_GB2312" w:cs="仿宋_GB2312"/>
          <w:sz w:val="33"/>
          <w:szCs w:val="33"/>
        </w:rPr>
        <w:t>万元。其中，对</w:t>
      </w:r>
      <w:r>
        <w:rPr>
          <w:rFonts w:hint="eastAsia" w:ascii="仿宋_GB2312" w:hAnsi="仿宋_GB2312" w:eastAsia="仿宋_GB2312" w:cs="仿宋_GB2312"/>
          <w:sz w:val="33"/>
          <w:szCs w:val="33"/>
        </w:rPr>
        <w:t>体彩中心人员经费</w:t>
      </w:r>
      <w:r>
        <w:rPr>
          <w:rFonts w:ascii="仿宋_GB2312" w:hAnsi="仿宋_GB2312" w:eastAsia="仿宋_GB2312" w:cs="仿宋_GB2312"/>
          <w:sz w:val="33"/>
          <w:szCs w:val="33"/>
        </w:rPr>
        <w:t>项目开展绩效评价。从评价情况来看，</w:t>
      </w:r>
      <w:r>
        <w:rPr>
          <w:rFonts w:hint="eastAsia" w:ascii="仿宋_GB2312" w:hAnsi="仿宋_GB2312" w:eastAsia="仿宋_GB2312" w:cs="仿宋_GB2312"/>
          <w:sz w:val="33"/>
          <w:szCs w:val="33"/>
        </w:rPr>
        <w:t>预算目标达到预期，各项保障措施到位，按时发放工资缴纳各项保险。</w:t>
      </w:r>
    </w:p>
    <w:p w14:paraId="2624353F">
      <w:pPr>
        <w:shd w:val="clear" w:color="auto" w:fill="FFFFFF"/>
        <w:spacing w:before="240" w:after="240"/>
      </w:pPr>
      <w:r>
        <w:rPr>
          <w:rFonts w:ascii="楷体_GB2312" w:hAnsi="楷体_GB2312" w:eastAsia="楷体_GB2312" w:cs="楷体_GB2312"/>
          <w:b/>
          <w:bCs/>
          <w:sz w:val="33"/>
          <w:szCs w:val="33"/>
        </w:rPr>
        <w:t>（二） 部门决算中项目绩效自评结果</w:t>
      </w:r>
    </w:p>
    <w:p w14:paraId="31FECF7F">
      <w:pPr>
        <w:shd w:val="clear" w:color="auto" w:fill="FFFFFF"/>
        <w:spacing w:before="240" w:after="240"/>
      </w:pPr>
      <w:r>
        <w:rPr>
          <w:rFonts w:ascii="仿宋_GB2312" w:hAnsi="仿宋_GB2312" w:eastAsia="仿宋_GB2312" w:cs="仿宋_GB2312"/>
          <w:sz w:val="33"/>
          <w:szCs w:val="33"/>
        </w:rPr>
        <w:t>本部门在今年部门决算公开中反映</w:t>
      </w:r>
      <w:r>
        <w:rPr>
          <w:rFonts w:hint="eastAsia" w:ascii="仿宋_GB2312" w:hAnsi="仿宋_GB2312" w:eastAsia="仿宋_GB2312" w:cs="仿宋_GB2312"/>
          <w:sz w:val="33"/>
          <w:szCs w:val="33"/>
        </w:rPr>
        <w:t>体彩中心人员经费</w:t>
      </w:r>
      <w:r>
        <w:rPr>
          <w:rFonts w:ascii="仿宋_GB2312" w:hAnsi="仿宋_GB2312" w:eastAsia="仿宋_GB2312" w:cs="仿宋_GB2312"/>
          <w:sz w:val="33"/>
          <w:szCs w:val="33"/>
        </w:rPr>
        <w:t>项目</w:t>
      </w:r>
      <w:r>
        <w:rPr>
          <w:rFonts w:hint="eastAsia" w:ascii="仿宋_GB2312" w:hAnsi="仿宋_GB2312" w:eastAsia="仿宋_GB2312" w:cs="仿宋_GB2312"/>
          <w:sz w:val="33"/>
          <w:szCs w:val="33"/>
        </w:rPr>
        <w:t>1</w:t>
      </w:r>
      <w:r>
        <w:rPr>
          <w:rFonts w:ascii="仿宋_GB2312" w:hAnsi="仿宋_GB2312" w:eastAsia="仿宋_GB2312" w:cs="仿宋_GB2312"/>
          <w:sz w:val="33"/>
          <w:szCs w:val="33"/>
        </w:rPr>
        <w:t>个项目绩效自评结果。</w:t>
      </w:r>
    </w:p>
    <w:p w14:paraId="10A92EB4">
      <w:pPr>
        <w:numPr>
          <w:ilvl w:val="0"/>
          <w:numId w:val="1"/>
        </w:numPr>
        <w:shd w:val="clear" w:color="auto" w:fill="FFFFFF"/>
        <w:spacing w:before="240"/>
      </w:pPr>
      <w:r>
        <w:rPr>
          <w:rFonts w:hint="eastAsia" w:ascii="仿宋_GB2312" w:hAnsi="仿宋_GB2312" w:eastAsia="仿宋_GB2312" w:cs="仿宋_GB2312"/>
          <w:sz w:val="33"/>
          <w:szCs w:val="33"/>
        </w:rPr>
        <w:t>体彩中心人员经费</w:t>
      </w:r>
      <w:r>
        <w:rPr>
          <w:rFonts w:ascii="仿宋_GB2312" w:hAnsi="仿宋_GB2312" w:eastAsia="仿宋_GB2312" w:cs="仿宋_GB2312"/>
          <w:sz w:val="33"/>
          <w:szCs w:val="33"/>
        </w:rPr>
        <w:t>项目自评综述：根据年初设定的绩效目标，项目绩效自评得分为</w:t>
      </w:r>
      <w:r>
        <w:rPr>
          <w:rFonts w:hint="eastAsia" w:ascii="仿宋_GB2312" w:hAnsi="仿宋_GB2312" w:eastAsia="仿宋_GB2312" w:cs="仿宋_GB2312"/>
          <w:sz w:val="33"/>
          <w:szCs w:val="33"/>
        </w:rPr>
        <w:t>100</w:t>
      </w:r>
      <w:r>
        <w:rPr>
          <w:rFonts w:ascii="仿宋_GB2312" w:hAnsi="仿宋_GB2312" w:eastAsia="仿宋_GB2312" w:cs="仿宋_GB2312"/>
          <w:sz w:val="33"/>
          <w:szCs w:val="33"/>
        </w:rPr>
        <w:t>分。全年预算数为</w:t>
      </w:r>
      <w:r>
        <w:rPr>
          <w:rFonts w:hint="eastAsia" w:ascii="仿宋_GB2312" w:hAnsi="仿宋_GB2312" w:eastAsia="仿宋_GB2312" w:cs="仿宋_GB2312"/>
          <w:sz w:val="33"/>
          <w:szCs w:val="33"/>
        </w:rPr>
        <w:t>37</w:t>
      </w:r>
      <w:r>
        <w:rPr>
          <w:rFonts w:ascii="仿宋_GB2312" w:hAnsi="仿宋_GB2312" w:eastAsia="仿宋_GB2312" w:cs="仿宋_GB2312"/>
          <w:sz w:val="33"/>
          <w:szCs w:val="33"/>
        </w:rPr>
        <w:t>万元，执行数为</w:t>
      </w:r>
      <w:r>
        <w:rPr>
          <w:rFonts w:hint="eastAsia" w:ascii="仿宋_GB2312" w:hAnsi="仿宋_GB2312" w:eastAsia="仿宋_GB2312" w:cs="仿宋_GB2312"/>
          <w:sz w:val="33"/>
          <w:szCs w:val="33"/>
        </w:rPr>
        <w:t>27</w:t>
      </w:r>
      <w:r>
        <w:rPr>
          <w:rFonts w:ascii="仿宋_GB2312" w:hAnsi="仿宋_GB2312" w:eastAsia="仿宋_GB2312" w:cs="仿宋_GB2312"/>
          <w:sz w:val="33"/>
          <w:szCs w:val="33"/>
        </w:rPr>
        <w:t>万元，完成预算的</w:t>
      </w:r>
      <w:r>
        <w:rPr>
          <w:rFonts w:hint="eastAsia" w:ascii="仿宋_GB2312" w:hAnsi="仿宋_GB2312" w:eastAsia="仿宋_GB2312" w:cs="仿宋_GB2312"/>
          <w:sz w:val="33"/>
          <w:szCs w:val="33"/>
        </w:rPr>
        <w:t>73%</w:t>
      </w:r>
      <w:r>
        <w:rPr>
          <w:rFonts w:ascii="仿宋_GB2312" w:hAnsi="仿宋_GB2312" w:eastAsia="仿宋_GB2312" w:cs="仿宋_GB2312"/>
          <w:sz w:val="33"/>
          <w:szCs w:val="33"/>
        </w:rPr>
        <w:t>。项目绩效目标完成情况：一是</w:t>
      </w:r>
      <w:r>
        <w:rPr>
          <w:rFonts w:hint="eastAsia" w:ascii="仿宋_GB2312" w:hAnsi="仿宋_GB2312" w:eastAsia="仿宋_GB2312" w:cs="仿宋_GB2312"/>
          <w:sz w:val="33"/>
          <w:szCs w:val="33"/>
        </w:rPr>
        <w:t>定期发放人员工资</w:t>
      </w:r>
      <w:r>
        <w:rPr>
          <w:rFonts w:ascii="仿宋_GB2312" w:hAnsi="仿宋_GB2312" w:eastAsia="仿宋_GB2312" w:cs="仿宋_GB2312"/>
          <w:sz w:val="33"/>
          <w:szCs w:val="33"/>
        </w:rPr>
        <w:t>；二是</w:t>
      </w:r>
      <w:r>
        <w:rPr>
          <w:rFonts w:hint="eastAsia" w:ascii="仿宋_GB2312" w:hAnsi="仿宋_GB2312" w:eastAsia="仿宋_GB2312" w:cs="仿宋_GB2312"/>
          <w:sz w:val="33"/>
          <w:szCs w:val="33"/>
        </w:rPr>
        <w:t>及时缴纳各项保险</w:t>
      </w:r>
      <w:r>
        <w:rPr>
          <w:rFonts w:ascii="仿宋_GB2312" w:hAnsi="仿宋_GB2312" w:eastAsia="仿宋_GB2312" w:cs="仿宋_GB2312"/>
          <w:sz w:val="33"/>
          <w:szCs w:val="33"/>
        </w:rPr>
        <w:t>。发现的主要问题及原因：</w:t>
      </w:r>
      <w:r>
        <w:rPr>
          <w:rFonts w:hint="eastAsia" w:ascii="仿宋_GB2312" w:hAnsi="仿宋_GB2312" w:eastAsia="仿宋_GB2312" w:cs="仿宋_GB2312"/>
          <w:sz w:val="33"/>
          <w:szCs w:val="33"/>
        </w:rPr>
        <w:t>无</w:t>
      </w:r>
      <w:r>
        <w:rPr>
          <w:rFonts w:ascii="仿宋_GB2312" w:hAnsi="仿宋_GB2312" w:eastAsia="仿宋_GB2312" w:cs="仿宋_GB2312"/>
          <w:sz w:val="33"/>
          <w:szCs w:val="33"/>
        </w:rPr>
        <w:t>。</w:t>
      </w:r>
    </w:p>
    <w:p w14:paraId="1E930635">
      <w:pPr>
        <w:shd w:val="clear" w:color="auto" w:fill="FFFFFF"/>
        <w:spacing w:before="240" w:after="240"/>
      </w:pPr>
      <w:r>
        <w:rPr>
          <w:rFonts w:ascii="楷体_GB2312" w:hAnsi="楷体_GB2312" w:eastAsia="楷体_GB2312" w:cs="楷体_GB2312"/>
          <w:b/>
          <w:bCs/>
          <w:sz w:val="33"/>
          <w:szCs w:val="33"/>
        </w:rPr>
        <w:t>（三）财政评价项目绩效评价结果。</w:t>
      </w:r>
    </w:p>
    <w:p w14:paraId="7C478319">
      <w:pPr>
        <w:numPr>
          <w:ilvl w:val="0"/>
          <w:numId w:val="1"/>
        </w:numPr>
        <w:shd w:val="clear" w:color="auto" w:fill="FFFFFF"/>
        <w:spacing w:before="240"/>
        <w:rPr>
          <w:rFonts w:ascii="仿宋_GB2312" w:hAnsi="仿宋_GB2312" w:eastAsia="仿宋_GB2312" w:cs="仿宋_GB2312"/>
          <w:sz w:val="33"/>
          <w:szCs w:val="33"/>
        </w:rPr>
      </w:pPr>
      <w:r>
        <w:rPr>
          <w:rFonts w:hint="eastAsia" w:ascii="仿宋_GB2312" w:hAnsi="仿宋_GB2312" w:eastAsia="仿宋_GB2312" w:cs="仿宋_GB2312"/>
          <w:sz w:val="33"/>
          <w:szCs w:val="33"/>
        </w:rPr>
        <w:t>无</w:t>
      </w:r>
    </w:p>
    <w:p w14:paraId="52DAC5A4">
      <w:pPr>
        <w:shd w:val="clear" w:color="auto" w:fill="FFFFFF"/>
        <w:spacing w:before="240" w:after="240"/>
      </w:pPr>
      <w:r>
        <w:rPr>
          <w:rFonts w:ascii="黑体" w:hAnsi="黑体" w:eastAsia="黑体" w:cs="黑体"/>
          <w:sz w:val="33"/>
          <w:szCs w:val="33"/>
        </w:rPr>
        <w:t>七、机关运行经费情况</w:t>
      </w:r>
    </w:p>
    <w:p w14:paraId="76F94048">
      <w:pPr>
        <w:shd w:val="clear" w:color="auto" w:fill="FFFFFF"/>
        <w:spacing w:before="240" w:after="240"/>
      </w:pPr>
      <w:r>
        <w:rPr>
          <w:rFonts w:ascii="仿宋_GB2312" w:hAnsi="仿宋_GB2312" w:eastAsia="仿宋_GB2312" w:cs="仿宋_GB2312"/>
          <w:sz w:val="33"/>
          <w:szCs w:val="33"/>
        </w:rPr>
        <w:t>本部门2020年度机关运行经费支出0.00万元，比2019年度持平0.00万元，持平0.00%，主要是未发生机关运行经费支出。</w:t>
      </w:r>
    </w:p>
    <w:p w14:paraId="259A3FDF">
      <w:pPr>
        <w:shd w:val="clear" w:color="auto" w:fill="FFFFFF"/>
        <w:spacing w:before="240" w:after="240"/>
      </w:pPr>
      <w:r>
        <w:rPr>
          <w:rFonts w:ascii="黑体" w:hAnsi="黑体" w:eastAsia="黑体" w:cs="黑体"/>
          <w:sz w:val="33"/>
          <w:szCs w:val="33"/>
        </w:rPr>
        <w:t>八、政府采购情况</w:t>
      </w:r>
    </w:p>
    <w:p w14:paraId="7975A829">
      <w:pPr>
        <w:shd w:val="clear" w:color="auto" w:fill="FFFFFF"/>
        <w:spacing w:before="240" w:after="240"/>
      </w:pPr>
      <w:r>
        <w:rPr>
          <w:rFonts w:ascii="仿宋_GB2312" w:hAnsi="仿宋_GB2312" w:eastAsia="仿宋_GB2312" w:cs="仿宋_GB2312"/>
          <w:sz w:val="33"/>
          <w:szCs w:val="33"/>
        </w:rPr>
        <w:t>本部门2020年度政府采购支出总额0.00万元，从采购类型来看，政府采购货物支出0.00万元、政府采购工程支出0.00万元、政府采购服务支出0.00万元。授予中小企业合同金0.00万元，占政府采购支出总额的0.00%，其中授予小微企业合同金额0.00万元，占政府采购支出总额的0.00%。</w:t>
      </w:r>
    </w:p>
    <w:p w14:paraId="248E62C8">
      <w:pPr>
        <w:shd w:val="clear" w:color="auto" w:fill="FFFFFF"/>
        <w:spacing w:before="240" w:after="240"/>
      </w:pPr>
      <w:r>
        <w:rPr>
          <w:rFonts w:ascii="黑体" w:hAnsi="黑体" w:eastAsia="黑体" w:cs="黑体"/>
          <w:sz w:val="33"/>
          <w:szCs w:val="33"/>
        </w:rPr>
        <w:t>九、国有资产占用情况</w:t>
      </w:r>
    </w:p>
    <w:p w14:paraId="63247A48">
      <w:pPr>
        <w:shd w:val="clear" w:color="auto" w:fill="FFFFFF"/>
        <w:spacing w:before="240" w:after="240"/>
      </w:pPr>
      <w:r>
        <w:rPr>
          <w:rFonts w:ascii="仿宋_GB2312" w:hAnsi="仿宋_GB2312" w:eastAsia="仿宋_GB2312" w:cs="仿宋_GB2312"/>
          <w:sz w:val="33"/>
          <w:szCs w:val="33"/>
        </w:rPr>
        <w:t>截至2020年12月31日，本部门共有车辆0辆，比上年持平0辆，主要是未发生国有资产占用情况。其中，副部（省）级及以上领导用车0辆，主要领导干部用车0辆，机要通信用车0辆，应急保障用车0辆，执法执勤用车0辆，特种专业技术用车0辆，离退休干部用车0辆，其他用车0辆，其他用车主要是无；</w:t>
      </w:r>
    </w:p>
    <w:p w14:paraId="3F4BF8B7">
      <w:pPr>
        <w:shd w:val="clear" w:color="auto" w:fill="FFFFFF"/>
        <w:spacing w:before="240" w:after="240"/>
      </w:pPr>
      <w:r>
        <w:rPr>
          <w:rFonts w:ascii="仿宋_GB2312" w:hAnsi="仿宋_GB2312" w:eastAsia="仿宋_GB2312" w:cs="仿宋_GB2312"/>
          <w:sz w:val="33"/>
          <w:szCs w:val="33"/>
        </w:rPr>
        <w:t>单位价值50万元以上通用设备0台（套），比上年持平0套，主要是未发生单位价值50万元以上通用设备0台（套）</w:t>
      </w:r>
      <w:r>
        <w:rPr>
          <w:rFonts w:hint="eastAsia" w:ascii="仿宋_GB2312" w:hAnsi="仿宋_GB2312" w:eastAsia="仿宋_GB2312" w:cs="仿宋_GB2312"/>
          <w:sz w:val="33"/>
          <w:szCs w:val="33"/>
          <w:lang w:eastAsia="zh-CN"/>
        </w:rPr>
        <w:t>购置</w:t>
      </w:r>
      <w:r>
        <w:rPr>
          <w:rFonts w:ascii="仿宋_GB2312" w:hAnsi="仿宋_GB2312" w:eastAsia="仿宋_GB2312" w:cs="仿宋_GB2312"/>
          <w:sz w:val="33"/>
          <w:szCs w:val="33"/>
        </w:rPr>
        <w:t xml:space="preserve"> ，单位价值100万元以上专用设备0台（套）比上年持平0套，主要是未发生单位价值50万元以上通用设备0台（套）</w:t>
      </w:r>
      <w:r>
        <w:rPr>
          <w:rFonts w:hint="eastAsia" w:ascii="仿宋_GB2312" w:hAnsi="仿宋_GB2312" w:eastAsia="仿宋_GB2312" w:cs="仿宋_GB2312"/>
          <w:sz w:val="33"/>
          <w:szCs w:val="33"/>
          <w:lang w:eastAsia="zh-CN"/>
        </w:rPr>
        <w:t>购置</w:t>
      </w:r>
      <w:r>
        <w:rPr>
          <w:rFonts w:ascii="仿宋_GB2312" w:hAnsi="仿宋_GB2312" w:eastAsia="仿宋_GB2312" w:cs="仿宋_GB2312"/>
          <w:sz w:val="33"/>
          <w:szCs w:val="33"/>
        </w:rPr>
        <w:t>。</w:t>
      </w:r>
    </w:p>
    <w:p w14:paraId="289D4F39">
      <w:pPr>
        <w:shd w:val="clear" w:color="auto" w:fill="FFFFFF"/>
        <w:spacing w:before="240" w:after="240"/>
      </w:pPr>
      <w:r>
        <w:rPr>
          <w:rFonts w:ascii="黑体" w:hAnsi="黑体" w:eastAsia="黑体" w:cs="黑体"/>
          <w:sz w:val="33"/>
          <w:szCs w:val="33"/>
        </w:rPr>
        <w:t>十、其他需要说明的情况</w:t>
      </w:r>
    </w:p>
    <w:p w14:paraId="0923EF38">
      <w:pPr>
        <w:shd w:val="clear" w:color="auto" w:fill="FFFFFF"/>
        <w:spacing w:before="240" w:after="240"/>
        <w:rPr>
          <w:rFonts w:ascii="仿宋_GB2312" w:hAnsi="仿宋_GB2312" w:eastAsia="仿宋_GB2312" w:cs="仿宋_GB2312"/>
          <w:sz w:val="33"/>
          <w:szCs w:val="33"/>
        </w:rPr>
      </w:pPr>
      <w:r>
        <w:rPr>
          <w:rFonts w:ascii="仿宋_GB2312" w:hAnsi="仿宋_GB2312" w:eastAsia="仿宋_GB2312" w:cs="仿宋_GB2312"/>
          <w:sz w:val="33"/>
          <w:szCs w:val="33"/>
        </w:rPr>
        <w:t>1. 本部门 2020 年度未发生政府性基金预算、国有资本经营预算收支及结转结余情况，故公开 08 表、公开 09 表以空表列示</w:t>
      </w:r>
    </w:p>
    <w:p w14:paraId="47E93781">
      <w:pPr>
        <w:shd w:val="clear" w:color="auto" w:fill="FFFFFF"/>
        <w:spacing w:before="240" w:after="240"/>
      </w:pPr>
      <w:r>
        <w:rPr>
          <w:rFonts w:ascii="仿宋_GB2312" w:hAnsi="仿宋_GB2312" w:eastAsia="仿宋_GB2312" w:cs="仿宋_GB2312"/>
          <w:sz w:val="33"/>
          <w:szCs w:val="33"/>
        </w:rPr>
        <w:t>2. 由于决算公开表格中金额数值应当保留两位小数，公开数据为四舍五入计算结果，个别数据合计项与分项之和存在小数点后差额，特此说明。</w:t>
      </w:r>
    </w:p>
    <w:p w14:paraId="095F8A68">
      <w:pPr>
        <w:rPr>
          <w:rFonts w:ascii="仿宋_GB2312" w:hAnsi="宋体" w:eastAsia="仿宋_GB2312" w:cs="Arial Black"/>
          <w:sz w:val="32"/>
          <w:szCs w:val="32"/>
        </w:rPr>
      </w:pPr>
      <w:r>
        <w:rPr>
          <w:rFonts w:ascii="仿宋_GB2312" w:hAnsi="宋体" w:eastAsia="仿宋_GB2312" w:cs="Arial Black"/>
          <w:sz w:val="32"/>
          <w:szCs w:val="32"/>
        </w:rPr>
        <w:br w:type="page"/>
      </w:r>
    </w:p>
    <w:p w14:paraId="34F965B6">
      <w:pPr>
        <w:rPr>
          <w:rFonts w:ascii="仿宋_GB2312" w:hAnsi="宋体" w:eastAsia="仿宋_GB2312" w:cs="Arial Black"/>
          <w:sz w:val="32"/>
          <w:szCs w:val="32"/>
        </w:rPr>
      </w:pPr>
    </w:p>
    <w:p w14:paraId="534D9339">
      <w:pPr>
        <w:rPr>
          <w:rFonts w:ascii="仿宋_GB2312" w:hAnsi="宋体" w:eastAsia="仿宋_GB2312" w:cs="Arial Black"/>
          <w:sz w:val="32"/>
          <w:szCs w:val="32"/>
        </w:rPr>
      </w:pPr>
    </w:p>
    <w:p w14:paraId="225EC2AA">
      <w:pPr>
        <w:rPr>
          <w:rFonts w:ascii="仿宋_GB2312" w:hAnsi="宋体" w:eastAsia="仿宋_GB2312" w:cs="Arial Black"/>
          <w:sz w:val="32"/>
          <w:szCs w:val="32"/>
        </w:rPr>
      </w:pPr>
    </w:p>
    <w:p w14:paraId="7BDD9712">
      <w:pPr>
        <w:rPr>
          <w:rFonts w:ascii="仿宋_GB2312" w:hAnsi="宋体" w:eastAsia="仿宋_GB2312" w:cs="Arial Black"/>
          <w:sz w:val="32"/>
          <w:szCs w:val="32"/>
        </w:rPr>
      </w:pPr>
    </w:p>
    <w:p w14:paraId="090125FD">
      <w:pPr>
        <w:rPr>
          <w:rFonts w:ascii="仿宋_GB2312" w:hAnsi="宋体" w:eastAsia="仿宋_GB2312" w:cs="Arial Black"/>
          <w:sz w:val="32"/>
          <w:szCs w:val="32"/>
        </w:rPr>
      </w:pPr>
    </w:p>
    <w:p w14:paraId="31490B28">
      <w:pPr>
        <w:rPr>
          <w:rFonts w:ascii="仿宋_GB2312" w:hAnsi="宋体" w:eastAsia="仿宋_GB2312" w:cs="Arial Black"/>
          <w:sz w:val="32"/>
          <w:szCs w:val="32"/>
          <w:highlight w:val="yellow"/>
        </w:rPr>
      </w:pPr>
      <w:r>
        <w:rPr>
          <w:sz w:val="72"/>
        </w:rPr>
        <mc:AlternateContent>
          <mc:Choice Requires="wps">
            <w:drawing>
              <wp:anchor distT="0" distB="0" distL="114300" distR="114300" simplePos="0" relativeHeight="251660288" behindDoc="0" locked="0" layoutInCell="1" allowOverlap="1">
                <wp:simplePos x="0" y="0"/>
                <wp:positionH relativeFrom="column">
                  <wp:posOffset>-1040130</wp:posOffset>
                </wp:positionH>
                <wp:positionV relativeFrom="paragraph">
                  <wp:posOffset>26035</wp:posOffset>
                </wp:positionV>
                <wp:extent cx="7793355" cy="3341370"/>
                <wp:effectExtent l="4445" t="4445" r="12700" b="6985"/>
                <wp:wrapNone/>
                <wp:docPr id="2" name="文本框 5"/>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7F7F7F"/>
                          </a:fgClr>
                          <a:bgClr>
                            <a:srgbClr val="FFFFFF"/>
                          </a:bgClr>
                        </a:pattFill>
                        <a:ln w="6350" cap="flat" cmpd="sng">
                          <a:solidFill>
                            <a:srgbClr val="7F7F7F"/>
                          </a:solidFill>
                          <a:prstDash val="solid"/>
                          <a:round/>
                          <a:headEnd type="none" w="med" len="med"/>
                          <a:tailEnd type="none" w="med" len="med"/>
                        </a:ln>
                      </wps:spPr>
                      <wps:txbx>
                        <w:txbxContent>
                          <w:p w14:paraId="4612589D">
                            <w:pPr>
                              <w:widowControl/>
                              <w:jc w:val="center"/>
                            </w:pPr>
                            <w:r>
                              <w:rPr>
                                <w:rFonts w:hint="eastAsia" w:ascii="黑体" w:hAnsi="黑体" w:eastAsia="黑体" w:cs="黑体"/>
                                <w:color w:val="000000" w:themeColor="text1"/>
                                <w:sz w:val="90"/>
                                <w:szCs w:val="90"/>
                                <w14:textFill>
                                  <w14:solidFill>
                                    <w14:schemeClr w14:val="tx1"/>
                                  </w14:solidFill>
                                </w14:textFill>
                              </w:rPr>
                              <w:t>第三部分 相关名词解释</w:t>
                            </w:r>
                          </w:p>
                        </w:txbxContent>
                      </wps:txbx>
                      <wps:bodyPr anchor="ctr" upright="1"/>
                    </wps:wsp>
                  </a:graphicData>
                </a:graphic>
              </wp:anchor>
            </w:drawing>
          </mc:Choice>
          <mc:Fallback>
            <w:pict>
              <v:shape id="文本框 5" o:spid="_x0000_s1026" o:spt="202" type="#_x0000_t202" style="position:absolute;left:0pt;margin-left:-81.9pt;margin-top:2.05pt;height:263.1pt;width:613.65pt;z-index:251660288;v-text-anchor:middle;mso-width-relative:page;mso-height-relative:page;" fillcolor="#7F7F7F" filled="t" stroked="t" coordsize="21600,21600" o:gfxdata="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Jdu0e2AAAAAsBAAAPAAAAAAAAAAEAIAAAACIAAABkcnMvZG93bnJldi54&#10;bWxQSwECFAAUAAAACACHTuJAM8mQVzMCAACNBAAADgAAAAAAAAABACAAAAAnAQAAZHJzL2Uyb0Rv&#10;Yy54bWxQSwUGAAAAAAYABgBZAQAAzAUAAAAA&#10;">
                <v:fill type="pattern" on="t" color2="#FFFFFF" o:title="5%" focussize="0,0" r:id="rId11"/>
                <v:stroke weight="0.5pt" color="#7F7F7F" joinstyle="round"/>
                <v:imagedata o:title=""/>
                <o:lock v:ext="edit" aspectratio="f"/>
                <v:textbox>
                  <w:txbxContent>
                    <w:p w14:paraId="4612589D">
                      <w:pPr>
                        <w:widowControl/>
                        <w:jc w:val="center"/>
                      </w:pPr>
                      <w:r>
                        <w:rPr>
                          <w:rFonts w:hint="eastAsia" w:ascii="黑体" w:hAnsi="黑体" w:eastAsia="黑体" w:cs="黑体"/>
                          <w:color w:val="000000" w:themeColor="text1"/>
                          <w:sz w:val="90"/>
                          <w:szCs w:val="90"/>
                          <w14:textFill>
                            <w14:solidFill>
                              <w14:schemeClr w14:val="tx1"/>
                            </w14:solidFill>
                          </w14:textFill>
                        </w:rPr>
                        <w:t>第三部分 相关名词解释</w:t>
                      </w:r>
                    </w:p>
                  </w:txbxContent>
                </v:textbox>
              </v:shape>
            </w:pict>
          </mc:Fallback>
        </mc:AlternateContent>
      </w:r>
      <w:r>
        <w:rPr>
          <w:rFonts w:hint="eastAsia" w:ascii="仿宋_GB2312" w:hAnsi="宋体" w:eastAsia="仿宋_GB2312" w:cs="Arial Black"/>
          <w:sz w:val="32"/>
          <w:szCs w:val="32"/>
          <w:highlight w:val="yellow"/>
        </w:rPr>
        <w:br w:type="page"/>
      </w:r>
    </w:p>
    <w:p w14:paraId="0B0EFDEA">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14:paraId="6DA4D8B2">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14:paraId="7384D97E">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14:paraId="38C24D2B">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14:paraId="786F37C5">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14:paraId="63ADA3D6">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14:paraId="176E4F6A">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14:paraId="2BA9B094">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14:paraId="2CC0A445">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和政府性基金预算财政拨款支出，不包括财政专户管理资金以及各类拼盘自筹资金等。</w:t>
      </w:r>
    </w:p>
    <w:p w14:paraId="2181463F">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14:paraId="0FD7A104">
      <w:pPr>
        <w:snapToGrid w:val="0"/>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14:paraId="7817F21B">
      <w:pPr>
        <w:snapToGrid w:val="0"/>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14:paraId="59D70176">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（十三）公务用车购置：</w:t>
      </w:r>
      <w:r>
        <w:rPr>
          <w:rFonts w:hint="eastAsia" w:ascii="仿宋_GB2312" w:hAnsi="宋体" w:eastAsia="仿宋_GB2312" w:cs="Times New Roman"/>
          <w:color w:val="000000"/>
          <w:kern w:val="0"/>
          <w:sz w:val="32"/>
          <w:szCs w:val="32"/>
        </w:rPr>
        <w:t>填列单位公务用车车辆购置支出（含车辆购置税、牌照费）。</w:t>
      </w:r>
    </w:p>
    <w:p w14:paraId="04D83485">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14:paraId="5DF23BA0">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14:paraId="7203BB97">
      <w:pPr>
        <w:tabs>
          <w:tab w:val="left" w:pos="235"/>
        </w:tabs>
        <w:spacing w:line="600" w:lineRule="exact"/>
        <w:ind w:firstLine="643" w:firstLineChars="200"/>
        <w:jc w:val="left"/>
        <w:rPr>
          <w:rFonts w:ascii="仿宋_GB2312" w:hAnsi="Cambria" w:eastAsia="仿宋_GB2312" w:cs="Arial Black"/>
          <w:kern w:val="0"/>
          <w:sz w:val="32"/>
          <w:szCs w:val="32"/>
        </w:rPr>
      </w:pPr>
      <w:r>
        <w:rPr>
          <w:rFonts w:hint="eastAsia" w:ascii="仿宋_GB2312" w:hAnsi="宋体" w:eastAsia="仿宋_GB2312" w:cs="Times New Roman"/>
          <w:b/>
          <w:bCs/>
          <w:color w:val="000000"/>
          <w:kern w:val="0"/>
          <w:sz w:val="32"/>
          <w:szCs w:val="32"/>
        </w:rPr>
        <w:t>（十六）经费形式: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 Black"/>
          <w:kern w:val="0"/>
          <w:sz w:val="32"/>
          <w:szCs w:val="32"/>
        </w:rPr>
        <w:t>可分为财政拨款、财政性资金基本保证、财政性资金定额或定项补助、财政性资金零补助四类。</w:t>
      </w:r>
    </w:p>
    <w:p w14:paraId="7056F358">
      <w:pPr>
        <w:tabs>
          <w:tab w:val="left" w:pos="235"/>
        </w:tabs>
        <w:spacing w:line="600" w:lineRule="exact"/>
        <w:ind w:firstLine="640" w:firstLineChars="200"/>
        <w:jc w:val="left"/>
        <w:rPr>
          <w:rFonts w:ascii="仿宋_GB2312" w:hAnsi="Cambria" w:eastAsia="仿宋_GB2312" w:cs="Arial Black"/>
          <w:kern w:val="0"/>
          <w:sz w:val="32"/>
          <w:szCs w:val="32"/>
        </w:rPr>
      </w:pPr>
    </w:p>
    <w:p w14:paraId="279E16B1">
      <w:pPr>
        <w:tabs>
          <w:tab w:val="left" w:pos="235"/>
        </w:tabs>
        <w:spacing w:line="600" w:lineRule="exact"/>
        <w:ind w:firstLine="640" w:firstLineChars="200"/>
        <w:jc w:val="left"/>
        <w:rPr>
          <w:rFonts w:ascii="仿宋_GB2312" w:hAnsi="Cambria" w:eastAsia="仿宋_GB2312" w:cs="Arial Black"/>
          <w:kern w:val="0"/>
          <w:sz w:val="32"/>
          <w:szCs w:val="32"/>
        </w:rPr>
      </w:pPr>
    </w:p>
    <w:p w14:paraId="28D1E261">
      <w:pPr>
        <w:tabs>
          <w:tab w:val="left" w:pos="235"/>
        </w:tabs>
        <w:spacing w:line="600" w:lineRule="exact"/>
        <w:ind w:firstLine="640" w:firstLineChars="200"/>
        <w:jc w:val="left"/>
        <w:rPr>
          <w:rFonts w:ascii="仿宋_GB2312" w:hAnsi="Cambria" w:eastAsia="仿宋_GB2312" w:cs="Arial Black"/>
          <w:kern w:val="0"/>
          <w:sz w:val="32"/>
          <w:szCs w:val="32"/>
        </w:rPr>
      </w:pPr>
    </w:p>
    <w:p w14:paraId="390250B8">
      <w:pPr>
        <w:tabs>
          <w:tab w:val="left" w:pos="235"/>
        </w:tabs>
        <w:spacing w:line="600" w:lineRule="exact"/>
        <w:ind w:firstLine="640" w:firstLineChars="200"/>
        <w:jc w:val="left"/>
        <w:rPr>
          <w:rFonts w:ascii="仿宋_GB2312" w:hAnsi="Cambria" w:eastAsia="仿宋_GB2312" w:cs="Arial Black"/>
          <w:kern w:val="0"/>
          <w:sz w:val="32"/>
          <w:szCs w:val="32"/>
        </w:rPr>
      </w:pPr>
    </w:p>
    <w:p w14:paraId="7D26E3CE">
      <w:pPr>
        <w:tabs>
          <w:tab w:val="left" w:pos="235"/>
        </w:tabs>
        <w:spacing w:line="600" w:lineRule="exact"/>
        <w:ind w:firstLine="640" w:firstLineChars="200"/>
        <w:jc w:val="left"/>
        <w:rPr>
          <w:rFonts w:ascii="仿宋_GB2312" w:hAnsi="Cambria" w:eastAsia="仿宋_GB2312" w:cs="Arial Black"/>
          <w:kern w:val="0"/>
          <w:sz w:val="32"/>
          <w:szCs w:val="32"/>
        </w:rPr>
      </w:pPr>
    </w:p>
    <w:p w14:paraId="3EDD4967">
      <w:pPr>
        <w:tabs>
          <w:tab w:val="left" w:pos="235"/>
        </w:tabs>
        <w:spacing w:line="600" w:lineRule="exact"/>
        <w:ind w:firstLine="640" w:firstLineChars="200"/>
        <w:jc w:val="left"/>
        <w:rPr>
          <w:rFonts w:ascii="仿宋_GB2312" w:hAnsi="Cambria" w:eastAsia="仿宋_GB2312" w:cs="Arial Black"/>
          <w:kern w:val="0"/>
          <w:sz w:val="32"/>
          <w:szCs w:val="32"/>
        </w:rPr>
      </w:pPr>
    </w:p>
    <w:p w14:paraId="3BBE5EEA">
      <w:pPr>
        <w:tabs>
          <w:tab w:val="left" w:pos="235"/>
        </w:tabs>
        <w:spacing w:line="600" w:lineRule="exact"/>
        <w:ind w:firstLine="640" w:firstLineChars="200"/>
        <w:jc w:val="left"/>
        <w:rPr>
          <w:rFonts w:ascii="仿宋_GB2312" w:hAnsi="Cambria" w:eastAsia="仿宋_GB2312" w:cs="Arial Black"/>
          <w:kern w:val="0"/>
          <w:sz w:val="32"/>
          <w:szCs w:val="32"/>
        </w:rPr>
      </w:pPr>
    </w:p>
    <w:p w14:paraId="42DA4739">
      <w:pPr>
        <w:tabs>
          <w:tab w:val="left" w:pos="235"/>
        </w:tabs>
        <w:spacing w:line="600" w:lineRule="exact"/>
        <w:ind w:firstLine="640" w:firstLineChars="200"/>
        <w:jc w:val="left"/>
        <w:rPr>
          <w:rFonts w:ascii="仿宋_GB2312" w:hAnsi="Cambria" w:eastAsia="仿宋_GB2312" w:cs="Arial Black"/>
          <w:kern w:val="0"/>
          <w:sz w:val="32"/>
          <w:szCs w:val="32"/>
        </w:rPr>
      </w:pPr>
    </w:p>
    <w:p w14:paraId="7244B095">
      <w:pPr>
        <w:widowControl/>
        <w:spacing w:after="160" w:line="580" w:lineRule="exact"/>
        <w:rPr>
          <w:rFonts w:ascii="Times New Roman" w:hAnsi="Times New Roman" w:eastAsia="黑体" w:cs="Times New Roman"/>
          <w:sz w:val="32"/>
          <w:szCs w:val="32"/>
        </w:rPr>
        <w:sectPr>
          <w:headerReference r:id="rId8" w:type="default"/>
          <w:pgSz w:w="11906" w:h="16838"/>
          <w:pgMar w:top="2098" w:right="1531" w:bottom="1984" w:left="1531" w:header="851" w:footer="992" w:gutter="0"/>
          <w:pgNumType w:fmt="numberInDash"/>
          <w:cols w:space="0" w:num="1"/>
          <w:titlePg/>
          <w:docGrid w:type="lines" w:linePitch="312" w:charSpace="0"/>
        </w:sectPr>
      </w:pPr>
    </w:p>
    <w:p w14:paraId="6360886F">
      <w:pPr>
        <w:rPr>
          <w:rFonts w:ascii="黑体" w:hAnsi="黑体" w:eastAsia="黑体" w:cs="黑体"/>
          <w:sz w:val="56"/>
          <w:szCs w:val="72"/>
        </w:rPr>
        <w:sectPr>
          <w:type w:val="continuous"/>
          <w:pgSz w:w="11906" w:h="16838"/>
          <w:pgMar w:top="2098" w:right="1531" w:bottom="1984" w:left="1531" w:header="851" w:footer="992" w:gutter="0"/>
          <w:pgNumType w:fmt="numberInDash"/>
          <w:cols w:space="0" w:num="1"/>
          <w:titlePg/>
          <w:docGrid w:type="lines" w:linePitch="312" w:charSpace="0"/>
        </w:sectPr>
      </w:pPr>
    </w:p>
    <w:p w14:paraId="0A5DF51E">
      <w:pPr>
        <w:rPr>
          <w:sz w:val="72"/>
        </w:rPr>
      </w:pPr>
      <w:r>
        <w:rPr>
          <w:sz w:val="72"/>
        </w:rPr>
        <mc:AlternateContent>
          <mc:Choice Requires="wps">
            <w:drawing>
              <wp:anchor distT="0" distB="0" distL="114300" distR="114300" simplePos="0" relativeHeight="251663360" behindDoc="0" locked="0" layoutInCell="1" allowOverlap="1">
                <wp:simplePos x="0" y="0"/>
                <wp:positionH relativeFrom="column">
                  <wp:posOffset>-1027430</wp:posOffset>
                </wp:positionH>
                <wp:positionV relativeFrom="paragraph">
                  <wp:posOffset>1151255</wp:posOffset>
                </wp:positionV>
                <wp:extent cx="7793355" cy="3341370"/>
                <wp:effectExtent l="6350" t="6350" r="10795" b="24130"/>
                <wp:wrapNone/>
                <wp:docPr id="6" name="文本框 4"/>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7F7F7F"/>
                          </a:fgClr>
                          <a:bgClr>
                            <a:srgbClr val="FFFFFF"/>
                          </a:bgClr>
                        </a:pattFill>
                        <a:ln w="12700" cap="flat" cmpd="sng">
                          <a:solidFill>
                            <a:srgbClr val="A6A6A6"/>
                          </a:solidFill>
                          <a:prstDash val="solid"/>
                          <a:round/>
                          <a:headEnd type="none" w="med" len="med"/>
                          <a:tailEnd type="none" w="med" len="med"/>
                        </a:ln>
                      </wps:spPr>
                      <wps:txbx>
                        <w:txbxContent>
                          <w:p w14:paraId="6150724C">
                            <w:pPr>
                              <w:widowControl/>
                              <w:jc w:val="center"/>
                              <w:rPr>
                                <w:rFonts w:ascii="黑体" w:hAnsi="黑体" w:eastAsia="黑体" w:cs="黑体"/>
                                <w:color w:val="000000" w:themeColor="text1"/>
                                <w:sz w:val="90"/>
                                <w:szCs w:val="90"/>
                                <w14:textFill>
                                  <w14:solidFill>
                                    <w14:schemeClr w14:val="tx1"/>
                                  </w14:solidFill>
                                </w14:textFill>
                              </w:rPr>
                            </w:pPr>
                            <w:r>
                              <w:rPr>
                                <w:rFonts w:hint="eastAsia" w:ascii="黑体" w:hAnsi="黑体" w:eastAsia="黑体" w:cs="黑体"/>
                                <w:color w:val="000000" w:themeColor="text1"/>
                                <w:sz w:val="90"/>
                                <w:szCs w:val="90"/>
                                <w14:textFill>
                                  <w14:solidFill>
                                    <w14:schemeClr w14:val="tx1"/>
                                  </w14:solidFill>
                                </w14:textFill>
                              </w:rPr>
                              <w:t xml:space="preserve">第四部分 </w:t>
                            </w:r>
                          </w:p>
                          <w:p w14:paraId="71CA6927">
                            <w:pPr>
                              <w:widowControl/>
                              <w:jc w:val="center"/>
                            </w:pPr>
                            <w:r>
                              <w:rPr>
                                <w:rFonts w:hint="eastAsia" w:ascii="黑体" w:hAnsi="黑体" w:eastAsia="黑体" w:cs="黑体"/>
                                <w:color w:val="000000" w:themeColor="text1"/>
                                <w:sz w:val="90"/>
                                <w:szCs w:val="90"/>
                                <w14:textFill>
                                  <w14:solidFill>
                                    <w14:schemeClr w14:val="tx1"/>
                                  </w14:solidFill>
                                </w14:textFill>
                              </w:rPr>
                              <w:t>2020年度部门决算报表</w:t>
                            </w:r>
                          </w:p>
                          <w:p w14:paraId="6DD0F8EE"/>
                        </w:txbxContent>
                      </wps:txbx>
                      <wps:bodyPr anchor="ctr" upright="1"/>
                    </wps:wsp>
                  </a:graphicData>
                </a:graphic>
              </wp:anchor>
            </w:drawing>
          </mc:Choice>
          <mc:Fallback>
            <w:pict>
              <v:shape id="文本框 4" o:spid="_x0000_s1026" o:spt="202" type="#_x0000_t202" style="position:absolute;left:0pt;margin-left:-80.9pt;margin-top:90.65pt;height:263.1pt;width:613.65pt;z-index:251663360;v-text-anchor:middle;mso-width-relative:page;mso-height-relative:page;" fillcolor="#7F7F7F" filled="t" stroked="t" coordsize="21600,21600" o:gfxdata="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2EG49wAAAANAQAADwAAAAAAAAABACAAAAAiAAAAZHJz&#10;L2Rvd25yZXYueG1sUEsBAhQAFAAAAAgAh07iQBEUwqI5AgAAjgQAAA4AAAAAAAAAAQAgAAAAKwEA&#10;AGRycy9lMm9Eb2MueG1sUEsFBgAAAAAGAAYAWQEAANYFAAAAAA==&#10;">
                <v:fill type="pattern" on="t" color2="#FFFFFF" o:title="5%" focussize="0,0" r:id="rId11"/>
                <v:stroke weight="1pt" color="#A6A6A6" joinstyle="round"/>
                <v:imagedata o:title=""/>
                <o:lock v:ext="edit" aspectratio="f"/>
                <v:textbox>
                  <w:txbxContent>
                    <w:p w14:paraId="6150724C">
                      <w:pPr>
                        <w:widowControl/>
                        <w:jc w:val="center"/>
                        <w:rPr>
                          <w:rFonts w:ascii="黑体" w:hAnsi="黑体" w:eastAsia="黑体" w:cs="黑体"/>
                          <w:color w:val="000000" w:themeColor="text1"/>
                          <w:sz w:val="90"/>
                          <w:szCs w:val="90"/>
                          <w14:textFill>
                            <w14:solidFill>
                              <w14:schemeClr w14:val="tx1"/>
                            </w14:solidFill>
                          </w14:textFill>
                        </w:rPr>
                      </w:pPr>
                      <w:r>
                        <w:rPr>
                          <w:rFonts w:hint="eastAsia" w:ascii="黑体" w:hAnsi="黑体" w:eastAsia="黑体" w:cs="黑体"/>
                          <w:color w:val="000000" w:themeColor="text1"/>
                          <w:sz w:val="90"/>
                          <w:szCs w:val="90"/>
                          <w14:textFill>
                            <w14:solidFill>
                              <w14:schemeClr w14:val="tx1"/>
                            </w14:solidFill>
                          </w14:textFill>
                        </w:rPr>
                        <w:t xml:space="preserve">第四部分 </w:t>
                      </w:r>
                    </w:p>
                    <w:p w14:paraId="71CA6927">
                      <w:pPr>
                        <w:widowControl/>
                        <w:jc w:val="center"/>
                      </w:pPr>
                      <w:r>
                        <w:rPr>
                          <w:rFonts w:hint="eastAsia" w:ascii="黑体" w:hAnsi="黑体" w:eastAsia="黑体" w:cs="黑体"/>
                          <w:color w:val="000000" w:themeColor="text1"/>
                          <w:sz w:val="90"/>
                          <w:szCs w:val="90"/>
                          <w14:textFill>
                            <w14:solidFill>
                              <w14:schemeClr w14:val="tx1"/>
                            </w14:solidFill>
                          </w14:textFill>
                        </w:rPr>
                        <w:t>2020年度部门决算报表</w:t>
                      </w:r>
                    </w:p>
                    <w:p w14:paraId="6DD0F8EE"/>
                  </w:txbxContent>
                </v:textbox>
              </v:shape>
            </w:pict>
          </mc:Fallback>
        </mc:AlternateContent>
      </w:r>
    </w:p>
    <w:p w14:paraId="7C9513D2">
      <w:pPr>
        <w:bidi w:val="0"/>
        <w:rPr>
          <w:rFonts w:asciiTheme="minorHAnsi" w:hAnsiTheme="minorHAnsi" w:eastAsiaTheme="minorEastAsia" w:cstheme="minorBidi"/>
          <w:kern w:val="2"/>
          <w:sz w:val="21"/>
          <w:szCs w:val="24"/>
          <w:lang w:val="en-US" w:eastAsia="zh-CN" w:bidi="ar-SA"/>
        </w:rPr>
      </w:pPr>
    </w:p>
    <w:p w14:paraId="777AFA60">
      <w:pPr>
        <w:bidi w:val="0"/>
        <w:rPr>
          <w:lang w:val="en-US" w:eastAsia="zh-CN"/>
        </w:rPr>
      </w:pPr>
    </w:p>
    <w:p w14:paraId="6AE68EE3">
      <w:pPr>
        <w:bidi w:val="0"/>
        <w:rPr>
          <w:lang w:val="en-US" w:eastAsia="zh-CN"/>
        </w:rPr>
      </w:pPr>
    </w:p>
    <w:p w14:paraId="5C918BD0">
      <w:pPr>
        <w:bidi w:val="0"/>
        <w:rPr>
          <w:lang w:val="en-US" w:eastAsia="zh-CN"/>
        </w:rPr>
      </w:pPr>
    </w:p>
    <w:p w14:paraId="084DDD6E">
      <w:pPr>
        <w:bidi w:val="0"/>
        <w:rPr>
          <w:lang w:val="en-US" w:eastAsia="zh-CN"/>
        </w:rPr>
      </w:pPr>
    </w:p>
    <w:p w14:paraId="47D75932">
      <w:pPr>
        <w:bidi w:val="0"/>
        <w:rPr>
          <w:lang w:val="en-US" w:eastAsia="zh-CN"/>
        </w:rPr>
      </w:pPr>
    </w:p>
    <w:p w14:paraId="1C04FCC1">
      <w:pPr>
        <w:bidi w:val="0"/>
        <w:rPr>
          <w:lang w:val="en-US" w:eastAsia="zh-CN"/>
        </w:rPr>
      </w:pPr>
    </w:p>
    <w:p w14:paraId="35CBF2B0">
      <w:pPr>
        <w:bidi w:val="0"/>
        <w:rPr>
          <w:lang w:val="en-US" w:eastAsia="zh-CN"/>
        </w:rPr>
      </w:pPr>
    </w:p>
    <w:p w14:paraId="6193C8A6">
      <w:pPr>
        <w:bidi w:val="0"/>
        <w:rPr>
          <w:lang w:val="en-US" w:eastAsia="zh-CN"/>
        </w:rPr>
      </w:pPr>
    </w:p>
    <w:p w14:paraId="5E91B776">
      <w:pPr>
        <w:bidi w:val="0"/>
        <w:rPr>
          <w:lang w:val="en-US" w:eastAsia="zh-CN"/>
        </w:rPr>
      </w:pPr>
    </w:p>
    <w:p w14:paraId="01161C11">
      <w:pPr>
        <w:bidi w:val="0"/>
        <w:rPr>
          <w:lang w:val="en-US" w:eastAsia="zh-CN"/>
        </w:rPr>
      </w:pPr>
    </w:p>
    <w:p w14:paraId="3840BD98">
      <w:pPr>
        <w:bidi w:val="0"/>
        <w:rPr>
          <w:lang w:val="en-US" w:eastAsia="zh-CN"/>
        </w:rPr>
      </w:pPr>
    </w:p>
    <w:p w14:paraId="1C7C35EA">
      <w:pPr>
        <w:bidi w:val="0"/>
        <w:rPr>
          <w:lang w:val="en-US" w:eastAsia="zh-CN"/>
        </w:rPr>
      </w:pPr>
    </w:p>
    <w:p w14:paraId="496D7C88">
      <w:pPr>
        <w:bidi w:val="0"/>
        <w:rPr>
          <w:lang w:val="en-US" w:eastAsia="zh-CN"/>
        </w:rPr>
      </w:pPr>
    </w:p>
    <w:p w14:paraId="7B9828F8">
      <w:pPr>
        <w:bidi w:val="0"/>
        <w:rPr>
          <w:lang w:val="en-US" w:eastAsia="zh-CN"/>
        </w:rPr>
      </w:pPr>
    </w:p>
    <w:p w14:paraId="5044B813">
      <w:pPr>
        <w:bidi w:val="0"/>
        <w:rPr>
          <w:lang w:val="en-US" w:eastAsia="zh-CN"/>
        </w:rPr>
      </w:pPr>
    </w:p>
    <w:p w14:paraId="4483856F">
      <w:pPr>
        <w:bidi w:val="0"/>
        <w:rPr>
          <w:lang w:val="en-US" w:eastAsia="zh-CN"/>
        </w:rPr>
      </w:pPr>
    </w:p>
    <w:p w14:paraId="2C1C5BD2">
      <w:pPr>
        <w:bidi w:val="0"/>
        <w:rPr>
          <w:lang w:val="en-US" w:eastAsia="zh-CN"/>
        </w:rPr>
      </w:pPr>
    </w:p>
    <w:p w14:paraId="647031CF">
      <w:pPr>
        <w:bidi w:val="0"/>
        <w:rPr>
          <w:lang w:val="en-US" w:eastAsia="zh-CN"/>
        </w:rPr>
      </w:pPr>
    </w:p>
    <w:p w14:paraId="37EE93B7">
      <w:pPr>
        <w:bidi w:val="0"/>
        <w:rPr>
          <w:lang w:val="en-US" w:eastAsia="zh-CN"/>
        </w:rPr>
      </w:pPr>
    </w:p>
    <w:p w14:paraId="62E36B7A">
      <w:pPr>
        <w:bidi w:val="0"/>
        <w:rPr>
          <w:lang w:val="en-US" w:eastAsia="zh-CN"/>
        </w:rPr>
      </w:pPr>
    </w:p>
    <w:p w14:paraId="20E98E05">
      <w:pPr>
        <w:bidi w:val="0"/>
        <w:rPr>
          <w:lang w:val="en-US" w:eastAsia="zh-CN"/>
        </w:rPr>
      </w:pPr>
    </w:p>
    <w:p w14:paraId="48BB505B">
      <w:pPr>
        <w:bidi w:val="0"/>
        <w:rPr>
          <w:lang w:val="en-US" w:eastAsia="zh-CN"/>
        </w:rPr>
      </w:pPr>
    </w:p>
    <w:p w14:paraId="5E277213">
      <w:pPr>
        <w:bidi w:val="0"/>
        <w:rPr>
          <w:lang w:val="en-US" w:eastAsia="zh-CN"/>
        </w:rPr>
      </w:pPr>
    </w:p>
    <w:p w14:paraId="4905B11D">
      <w:pPr>
        <w:bidi w:val="0"/>
        <w:rPr>
          <w:lang w:val="en-US" w:eastAsia="zh-CN"/>
        </w:rPr>
      </w:pPr>
    </w:p>
    <w:p w14:paraId="3F61131F">
      <w:pPr>
        <w:bidi w:val="0"/>
        <w:rPr>
          <w:lang w:val="en-US" w:eastAsia="zh-CN"/>
        </w:rPr>
      </w:pPr>
    </w:p>
    <w:p w14:paraId="21B5494B">
      <w:pPr>
        <w:bidi w:val="0"/>
        <w:rPr>
          <w:lang w:val="en-US" w:eastAsia="zh-CN"/>
        </w:rPr>
      </w:pPr>
    </w:p>
    <w:p w14:paraId="72017D6D">
      <w:pPr>
        <w:bidi w:val="0"/>
        <w:rPr>
          <w:lang w:val="en-US" w:eastAsia="zh-CN"/>
        </w:rPr>
      </w:pPr>
    </w:p>
    <w:p w14:paraId="399EE498">
      <w:pPr>
        <w:tabs>
          <w:tab w:val="left" w:pos="653"/>
        </w:tabs>
        <w:bidi w:val="0"/>
        <w:jc w:val="left"/>
        <w:rPr>
          <w:rFonts w:ascii="仿宋_GB2312" w:hAnsi="Cambria" w:eastAsia="仿宋_GB2312" w:cs="Arial Black"/>
          <w:kern w:val="0"/>
          <w:sz w:val="32"/>
          <w:szCs w:val="32"/>
        </w:rPr>
      </w:pPr>
      <w:r>
        <w:rPr>
          <w:rFonts w:hint="eastAsia"/>
          <w:lang w:val="en-US" w:eastAsia="zh-CN"/>
        </w:rPr>
        <w:tab/>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8AEF5">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8049E">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C7FFA">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2CD27">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592B7">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5E24D">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5"/>
  <w:displayBackgroundShape w:val="1"/>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3ZDJhODc0Y2FiOWIwNTU4ZGFkNzQ5YmE4NTI0NTkifQ=="/>
  </w:docVars>
  <w:rsids>
    <w:rsidRoot w:val="34C45458"/>
    <w:rsid w:val="00061A05"/>
    <w:rsid w:val="00061B93"/>
    <w:rsid w:val="00147453"/>
    <w:rsid w:val="0018668E"/>
    <w:rsid w:val="001A5F28"/>
    <w:rsid w:val="001B73D2"/>
    <w:rsid w:val="001E62BF"/>
    <w:rsid w:val="00293E7B"/>
    <w:rsid w:val="002D1F4F"/>
    <w:rsid w:val="00310EBF"/>
    <w:rsid w:val="00366D90"/>
    <w:rsid w:val="003D2226"/>
    <w:rsid w:val="003D678E"/>
    <w:rsid w:val="00461FAF"/>
    <w:rsid w:val="004D1EA2"/>
    <w:rsid w:val="006C01AE"/>
    <w:rsid w:val="007620A2"/>
    <w:rsid w:val="00791C72"/>
    <w:rsid w:val="007920FC"/>
    <w:rsid w:val="007D5548"/>
    <w:rsid w:val="00801F66"/>
    <w:rsid w:val="00812C39"/>
    <w:rsid w:val="0089364E"/>
    <w:rsid w:val="009334BF"/>
    <w:rsid w:val="009D1193"/>
    <w:rsid w:val="00A61E3E"/>
    <w:rsid w:val="00B0223F"/>
    <w:rsid w:val="00B9413C"/>
    <w:rsid w:val="00BA1219"/>
    <w:rsid w:val="00BE2400"/>
    <w:rsid w:val="00C108DD"/>
    <w:rsid w:val="00CF0E43"/>
    <w:rsid w:val="00DF78C6"/>
    <w:rsid w:val="00E54963"/>
    <w:rsid w:val="00EE1D20"/>
    <w:rsid w:val="00FB7C45"/>
    <w:rsid w:val="00FD5E00"/>
    <w:rsid w:val="0E141D58"/>
    <w:rsid w:val="0EA325C9"/>
    <w:rsid w:val="0EE17C1A"/>
    <w:rsid w:val="181800A9"/>
    <w:rsid w:val="1FA27560"/>
    <w:rsid w:val="22E46C89"/>
    <w:rsid w:val="34C45458"/>
    <w:rsid w:val="35C83C42"/>
    <w:rsid w:val="37445DC3"/>
    <w:rsid w:val="415A25EF"/>
    <w:rsid w:val="4FAF6BE4"/>
    <w:rsid w:val="60154311"/>
    <w:rsid w:val="60EB21CC"/>
    <w:rsid w:val="695B26FD"/>
    <w:rsid w:val="6AF77BA8"/>
    <w:rsid w:val="6BAB25E1"/>
    <w:rsid w:val="6BD81EFB"/>
    <w:rsid w:val="73D824BD"/>
    <w:rsid w:val="762752F8"/>
    <w:rsid w:val="764B3663"/>
    <w:rsid w:val="7C8078F4"/>
    <w:rsid w:val="7F800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1"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9"/>
    <w:qFormat/>
    <w:uiPriority w:val="0"/>
    <w:rPr>
      <w:sz w:val="18"/>
      <w:szCs w:val="18"/>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7">
    <w:name w:val="Table Grid"/>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批注框文本 字符"/>
    <w:basedOn w:val="8"/>
    <w:link w:val="3"/>
    <w:qFormat/>
    <w:uiPriority w:val="0"/>
    <w:rPr>
      <w:rFonts w:asciiTheme="minorHAnsi" w:hAnsiTheme="minorHAnsi" w:cstheme="minorBidi"/>
      <w:kern w:val="2"/>
      <w:sz w:val="18"/>
      <w:szCs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media/image1.jpeg" Type="http://schemas.openxmlformats.org/officeDocument/2006/relationships/image"/><Relationship Id="rId11" Target="media/image2.bmp" Type="http://schemas.openxmlformats.org/officeDocument/2006/relationships/image"/><Relationship Id="rId12" Target="media/image3.png" Type="http://schemas.openxmlformats.org/officeDocument/2006/relationships/image"/><Relationship Id="rId13" Target="media/image4.png" Type="http://schemas.openxmlformats.org/officeDocument/2006/relationships/image"/><Relationship Id="rId14" Target="media/image5.png" Type="http://schemas.openxmlformats.org/officeDocument/2006/relationships/image"/><Relationship Id="rId15" Target="media/image6.png" Type="http://schemas.openxmlformats.org/officeDocument/2006/relationships/image"/><Relationship Id="rId16" Target="media/image7.png" Type="http://schemas.openxmlformats.org/officeDocument/2006/relationships/image"/><Relationship Id="rId17" Target="media/image8.png" Type="http://schemas.openxmlformats.org/officeDocument/2006/relationships/image"/><Relationship Id="rId18" Target="../customXml/item1.xml" Type="http://schemas.openxmlformats.org/officeDocument/2006/relationships/customXml"/><Relationship Id="rId19" Target="numbering.xml" Type="http://schemas.openxmlformats.org/officeDocument/2006/relationships/numbering"/><Relationship Id="rId2" Target="settings.xml" Type="http://schemas.openxmlformats.org/officeDocument/2006/relationships/settings"/><Relationship Id="rId20"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header3.xml" Type="http://schemas.openxmlformats.org/officeDocument/2006/relationships/header"/><Relationship Id="rId8" Target="header4.xml" Type="http://schemas.openxmlformats.org/officeDocument/2006/relationships/header"/><Relationship Id="rId9"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26</Pages>
  <Words>5254</Words>
  <Characters>5894</Characters>
  <Lines>75</Lines>
  <Paragraphs>21</Paragraphs>
  <TotalTime>5</TotalTime>
  <ScaleCrop>false</ScaleCrop>
  <LinksUpToDate>false</LinksUpToDate>
  <CharactersWithSpaces>5976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2021-07-27T05:10:00Z</dcterms:created>
  <dc:creator>王明新TIAD</dc:creator>
  <cp:lastModifiedBy>Administrator</cp:lastModifiedBy>
  <dcterms:modified xsi:type="dcterms:W3CDTF">2024-08-09T01:46:37Z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1076BE83CC324CF4B02F5499BA55B7DA_13</vt:lpwstr>
  </property>
</Properties>
</file>