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 Id="rId5" Target="userCustomization/customUI.xml" Type="http://schemas.microsoft.com/office/2006/relationships/ui/userCustomization"/></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60" w:lineRule="exact"/>
        <w:ind w:firstLine="720"/>
        <w:rPr>
          <w:rFonts w:hint="eastAsia" w:ascii="黑体"/>
          <w:color w:val="000000"/>
          <w:sz w:val="32"/>
        </w:rPr>
      </w:pPr>
    </w:p>
    <w:p>
      <w:pPr>
        <w:spacing w:line="720" w:lineRule="auto"/>
        <w:jc w:val="both"/>
        <w:outlineLvl w:val="0"/>
        <w:rPr>
          <w:rFonts w:ascii="黑体" w:eastAsia="方正小标宋简体"/>
          <w:b/>
          <w:color w:val="FF0000"/>
          <w:w w:val="60"/>
          <w:sz w:val="100"/>
          <w:szCs w:val="100"/>
        </w:rPr>
      </w:pPr>
    </w:p>
    <w:p>
      <w:pPr>
        <w:jc w:val="center"/>
        <w:rPr>
          <w:rFonts w:hint="eastAsia"/>
          <w:color w:val="000000"/>
          <w:sz w:val="32"/>
        </w:rPr>
      </w:pPr>
    </w:p>
    <w:p>
      <w:pPr>
        <w:spacing w:line="400" w:lineRule="exact"/>
        <w:jc w:val="right"/>
        <w:rPr>
          <w:rFonts w:ascii="仿宋_GB2312" w:eastAsia="仿宋_GB2312"/>
          <w:color w:val="000000"/>
          <w:sz w:val="32"/>
          <w:szCs w:val="32"/>
        </w:rPr>
      </w:pPr>
      <w:r>
        <w:rPr>
          <w:rFonts w:hint="eastAsia" w:ascii="仿宋_GB2312" w:eastAsia="仿宋_GB2312"/>
          <w:color w:val="000000"/>
          <w:sz w:val="32"/>
          <w:szCs w:val="32"/>
        </w:rPr>
        <w:t>是否同意公开：</w:t>
      </w:r>
      <w:r>
        <w:rPr>
          <w:rFonts w:hint="eastAsia" w:ascii="仿宋_GB2312" w:eastAsia="仿宋_GB2312"/>
          <w:color w:val="000000"/>
          <w:sz w:val="32"/>
          <w:szCs w:val="32"/>
          <w:lang w:eastAsia="zh-CN"/>
        </w:rPr>
        <w:t>是</w:t>
      </w:r>
    </w:p>
    <w:p>
      <w:pPr>
        <w:spacing w:line="400" w:lineRule="exact"/>
        <w:jc w:val="right"/>
        <w:rPr>
          <w:rFonts w:hint="eastAsia" w:eastAsia="仿宋_GB2312"/>
          <w:color w:val="000000"/>
          <w:sz w:val="32"/>
        </w:rPr>
      </w:pPr>
      <w:r>
        <w:rPr>
          <w:rFonts w:hint="eastAsia" w:ascii="仿宋_GB2312" w:eastAsia="仿宋_GB2312"/>
          <w:color w:val="000000"/>
          <w:sz w:val="32"/>
          <w:szCs w:val="32"/>
        </w:rPr>
        <w:t>邢银建议字〔202</w:t>
      </w:r>
      <w:r>
        <w:rPr>
          <w:rFonts w:hint="eastAsia" w:ascii="仿宋_GB2312" w:eastAsia="仿宋_GB2312"/>
          <w:color w:val="000000"/>
          <w:sz w:val="32"/>
          <w:szCs w:val="32"/>
          <w:lang w:val="en-US" w:eastAsia="zh-CN"/>
        </w:rPr>
        <w:t>3</w:t>
      </w:r>
      <w:r>
        <w:rPr>
          <w:rFonts w:hint="eastAsia" w:ascii="仿宋_GB2312" w:eastAsia="仿宋_GB2312"/>
          <w:color w:val="000000"/>
          <w:sz w:val="32"/>
          <w:szCs w:val="32"/>
        </w:rPr>
        <w:t>〕第</w:t>
      </w:r>
      <w:r>
        <w:rPr>
          <w:rFonts w:hint="eastAsia" w:ascii="仿宋_GB2312" w:eastAsia="仿宋_GB2312"/>
          <w:color w:val="000000"/>
          <w:sz w:val="32"/>
          <w:szCs w:val="32"/>
          <w:lang w:val="en-US" w:eastAsia="zh-CN"/>
        </w:rPr>
        <w:t>4</w:t>
      </w:r>
      <w:r>
        <w:rPr>
          <w:rFonts w:hint="eastAsia" w:ascii="仿宋_GB2312" w:eastAsia="仿宋_GB2312"/>
          <w:color w:val="000000"/>
          <w:sz w:val="32"/>
          <w:szCs w:val="32"/>
        </w:rPr>
        <w:t>号</w:t>
      </w:r>
    </w:p>
    <w:p>
      <w:pPr>
        <w:jc w:val="center"/>
        <w:rPr>
          <w:rFonts w:ascii="方正小标宋简体" w:eastAsia="方正小标宋简体"/>
          <w:b/>
          <w:sz w:val="44"/>
          <w:szCs w:val="44"/>
        </w:rPr>
      </w:pPr>
      <w:r>
        <w:rPr>
          <w:rFonts w:ascii="仿宋_GB2312" w:hAnsi="Times New Roman" w:eastAsia="仿宋_GB2312" w:cs="Times New Roman"/>
          <w:color w:val="000000"/>
          <w:kern w:val="2"/>
          <w:sz w:val="20"/>
          <w:szCs w:val="24"/>
          <w:lang w:val="en-US" w:eastAsia="zh-CN" w:bidi="ar-SA"/>
        </w:rPr>
        <w:pict>
          <v:line id="Line 14" o:spid="_x0000_s1026" style="position:absolute;left:0;flip:y;margin-left:0pt;margin-top:1.6pt;height:0.05pt;width:454pt;rotation:0f;z-index:251658240;" o:ole="f" fillcolor="#FFFFFF" filled="f" o:preferrelative="t" stroked="t" coordsize="21600,21600">
            <v:fill on="f" color2="#FFFFFF" focus="0%"/>
            <v:stroke weight="1.41732283464567pt" color="#FF0000" color2="#FFFFFF" miterlimit="2"/>
            <v:imagedata gain="65536f" blacklevel="0f" gamma="0"/>
            <o:lock v:ext="edit" position="f" selection="f" grouping="f" rotation="f" cropping="f" text="f" aspectratio="f"/>
          </v:line>
        </w:pict>
      </w:r>
      <w:r>
        <w:rPr>
          <w:rFonts w:hint="eastAsia" w:ascii="方正小标宋简体" w:eastAsia="方正小标宋简体"/>
          <w:b/>
          <w:sz w:val="44"/>
          <w:szCs w:val="44"/>
        </w:rPr>
        <w:t>对邢台市第十六届人民代表大会</w:t>
      </w:r>
    </w:p>
    <w:p>
      <w:pPr>
        <w:spacing w:line="520" w:lineRule="exact"/>
        <w:jc w:val="center"/>
        <w:rPr>
          <w:rFonts w:ascii="方正小标宋简体" w:eastAsia="方正小标宋简体"/>
          <w:b/>
          <w:sz w:val="44"/>
          <w:szCs w:val="44"/>
        </w:rPr>
      </w:pPr>
      <w:r>
        <w:rPr>
          <w:rFonts w:hint="eastAsia" w:ascii="方正小标宋简体" w:eastAsia="方正小标宋简体"/>
          <w:b/>
          <w:sz w:val="44"/>
          <w:szCs w:val="44"/>
        </w:rPr>
        <w:t>第</w:t>
      </w:r>
      <w:r>
        <w:rPr>
          <w:rFonts w:hint="eastAsia" w:ascii="方正小标宋简体" w:eastAsia="方正小标宋简体"/>
          <w:b/>
          <w:sz w:val="44"/>
          <w:szCs w:val="44"/>
          <w:lang w:eastAsia="zh-CN"/>
        </w:rPr>
        <w:t>四</w:t>
      </w:r>
      <w:r>
        <w:rPr>
          <w:rFonts w:hint="eastAsia" w:ascii="方正小标宋简体" w:eastAsia="方正小标宋简体"/>
          <w:b/>
          <w:sz w:val="44"/>
          <w:szCs w:val="44"/>
        </w:rPr>
        <w:t>次会议第</w:t>
      </w:r>
      <w:r>
        <w:rPr>
          <w:rFonts w:hint="eastAsia" w:ascii="方正小标宋简体" w:eastAsia="方正小标宋简体"/>
          <w:b/>
          <w:sz w:val="44"/>
          <w:szCs w:val="44"/>
          <w:lang w:val="en-US" w:eastAsia="zh-CN"/>
        </w:rPr>
        <w:t>149</w:t>
      </w:r>
      <w:r>
        <w:rPr>
          <w:rFonts w:hint="eastAsia" w:ascii="方正小标宋简体" w:eastAsia="方正小标宋简体"/>
          <w:b/>
          <w:sz w:val="44"/>
          <w:szCs w:val="44"/>
        </w:rPr>
        <w:t>号建议的</w:t>
      </w:r>
      <w:r>
        <w:rPr>
          <w:rFonts w:hint="eastAsia" w:ascii="方正小标宋简体" w:eastAsia="方正小标宋简体"/>
          <w:b/>
          <w:sz w:val="44"/>
          <w:szCs w:val="44"/>
          <w:lang w:eastAsia="zh-CN"/>
        </w:rPr>
        <w:t>答复</w:t>
      </w:r>
    </w:p>
    <w:p>
      <w:pPr>
        <w:spacing w:line="560" w:lineRule="exact"/>
        <w:rPr>
          <w:rFonts w:hint="eastAsia" w:ascii="仿宋_GB2312" w:eastAsia="仿宋_GB2312"/>
          <w:sz w:val="32"/>
          <w:szCs w:val="32"/>
          <w:lang w:eastAsia="zh-CN"/>
        </w:rPr>
      </w:pPr>
    </w:p>
    <w:p>
      <w:pPr>
        <w:spacing w:line="560" w:lineRule="exact"/>
        <w:rPr>
          <w:rFonts w:hint="eastAsia" w:ascii="仿宋_GB2312" w:eastAsia="仿宋_GB2312"/>
          <w:sz w:val="32"/>
          <w:szCs w:val="32"/>
        </w:rPr>
      </w:pPr>
      <w:r>
        <w:rPr>
          <w:rFonts w:hint="eastAsia" w:ascii="仿宋_GB2312" w:eastAsia="仿宋_GB2312"/>
          <w:sz w:val="32"/>
          <w:szCs w:val="32"/>
          <w:lang w:eastAsia="zh-CN"/>
        </w:rPr>
        <w:t>杨振东代表</w:t>
      </w:r>
      <w:r>
        <w:rPr>
          <w:rFonts w:hint="eastAsia" w:ascii="仿宋_GB2312" w:eastAsia="仿宋_GB2312"/>
          <w:sz w:val="32"/>
          <w:szCs w:val="32"/>
        </w:rPr>
        <w:t>：</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 xml:space="preserve"> 您</w:t>
      </w:r>
      <w:r>
        <w:rPr>
          <w:rFonts w:hint="eastAsia" w:ascii="仿宋_GB2312" w:eastAsia="仿宋_GB2312"/>
          <w:sz w:val="32"/>
          <w:szCs w:val="32"/>
        </w:rPr>
        <w:t>提出的《</w:t>
      </w:r>
      <w:r>
        <w:rPr>
          <w:rFonts w:hint="eastAsia" w:ascii="仿宋_GB2312" w:hAnsi="宋体" w:eastAsia="仿宋_GB2312"/>
          <w:sz w:val="32"/>
          <w:szCs w:val="32"/>
          <w:lang w:eastAsia="zh-CN"/>
        </w:rPr>
        <w:t>关于加大金融支持创新力度推动县域经济社会高质量发展的建议</w:t>
      </w: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〕第</w:t>
      </w:r>
      <w:r>
        <w:rPr>
          <w:rFonts w:hint="eastAsia" w:ascii="仿宋_GB2312" w:eastAsia="仿宋_GB2312"/>
          <w:sz w:val="32"/>
          <w:szCs w:val="32"/>
          <w:lang w:val="en-US" w:eastAsia="zh-CN"/>
        </w:rPr>
        <w:t>149</w:t>
      </w:r>
      <w:r>
        <w:rPr>
          <w:rFonts w:hint="eastAsia" w:ascii="仿宋_GB2312" w:eastAsia="仿宋_GB2312"/>
          <w:sz w:val="32"/>
          <w:szCs w:val="32"/>
        </w:rPr>
        <w:t>号）</w:t>
      </w:r>
      <w:r>
        <w:rPr>
          <w:rFonts w:hint="eastAsia" w:ascii="仿宋_GB2312" w:eastAsia="仿宋_GB2312"/>
          <w:sz w:val="32"/>
          <w:szCs w:val="32"/>
          <w:lang w:eastAsia="zh-CN"/>
        </w:rPr>
        <w:t>已</w:t>
      </w:r>
      <w:r>
        <w:rPr>
          <w:rFonts w:hint="eastAsia" w:ascii="仿宋_GB2312" w:eastAsia="仿宋_GB2312"/>
          <w:sz w:val="32"/>
          <w:szCs w:val="32"/>
        </w:rPr>
        <w:t>收悉，我中心支行高度重视，组织相关部门针对建议提出的问题进行了认真研究，现</w:t>
      </w:r>
      <w:r>
        <w:rPr>
          <w:rFonts w:hint="eastAsia" w:ascii="仿宋_GB2312" w:eastAsia="仿宋_GB2312"/>
          <w:sz w:val="32"/>
          <w:szCs w:val="32"/>
          <w:lang w:eastAsia="zh-CN"/>
        </w:rPr>
        <w:t>反馈</w:t>
      </w:r>
      <w:r>
        <w:rPr>
          <w:rFonts w:hint="eastAsia" w:ascii="仿宋_GB2312" w:eastAsia="仿宋_GB2312"/>
          <w:sz w:val="32"/>
          <w:szCs w:val="32"/>
        </w:rPr>
        <w:t>如下：</w:t>
      </w:r>
    </w:p>
    <w:p>
      <w:pPr>
        <w:widowControl w:val="0"/>
        <w:wordWrap/>
        <w:adjustRightInd/>
        <w:snapToGrid/>
        <w:spacing w:line="560" w:lineRule="exact"/>
        <w:ind w:left="0" w:leftChars="0" w:right="0" w:firstLine="643" w:firstLineChars="200"/>
        <w:textAlignment w:val="auto"/>
        <w:outlineLvl w:val="9"/>
        <w:rPr>
          <w:rFonts w:hint="eastAsia" w:ascii="仿宋_GB2312" w:hAnsi="仿宋_GB2312" w:eastAsia="仿宋_GB2312"/>
          <w:b w:val="0"/>
          <w:bCs w:val="0"/>
          <w:sz w:val="32"/>
          <w:lang w:val="zh-CN"/>
        </w:rPr>
      </w:pPr>
      <w:r>
        <w:rPr>
          <w:rFonts w:hint="eastAsia" w:ascii="仿宋_GB2312" w:hAnsi="仿宋_GB2312" w:eastAsia="仿宋_GB2312" w:cs="仿宋_GB2312"/>
          <w:color w:val="000000"/>
          <w:sz w:val="32"/>
          <w:szCs w:val="32"/>
          <w:lang w:val="en-US" w:eastAsia="zh-CN"/>
        </w:rPr>
        <w:t>农业农村农民问题是关系国计民生的根本性问题，是全党工作的重中之重。我中心支行严格贯彻金融支持乡村振兴的各项决策部署，把做好农村地区金融服务作为落实乡村振兴战略的重要一环，多措并举，稳步推进脱贫攻坚与乡村振兴的有效衔接，切实提升农村地区金融服务效率和水平。</w:t>
      </w:r>
    </w:p>
    <w:p>
      <w:pPr>
        <w:widowControl/>
        <w:numPr>
          <w:numId w:val="0"/>
        </w:numPr>
        <w:wordWrap/>
        <w:adjustRightInd/>
        <w:snapToGrid/>
        <w:spacing w:line="560" w:lineRule="exact"/>
        <w:ind w:left="0" w:leftChars="0" w:right="0" w:firstLine="640" w:firstLineChars="200"/>
        <w:jc w:val="left"/>
        <w:textAlignment w:val="auto"/>
        <w:outlineLvl w:val="9"/>
        <w:rPr>
          <w:rFonts w:hint="eastAsia" w:ascii="仿宋_GB2312" w:eastAsia="仿宋_GB2312"/>
          <w:sz w:val="32"/>
          <w:szCs w:val="32"/>
          <w:lang w:val="en-US" w:eastAsia="zh-CN"/>
        </w:rPr>
      </w:pPr>
      <w:r>
        <w:rPr>
          <w:rFonts w:hint="eastAsia" w:ascii="仿宋_GB2312" w:hAnsi="仿宋_GB2312" w:eastAsia="仿宋_GB2312" w:cs="仿宋_GB2312"/>
          <w:sz w:val="32"/>
          <w:szCs w:val="32"/>
          <w:lang w:val="en-US" w:eastAsia="zh-CN"/>
        </w:rPr>
        <w:t>一是</w:t>
      </w:r>
      <w:r>
        <w:rPr>
          <w:rFonts w:hint="eastAsia" w:ascii="仿宋_GB2312" w:hAnsi="仿宋_GB2312" w:eastAsia="仿宋_GB2312" w:cs="仿宋_GB2312"/>
          <w:sz w:val="32"/>
          <w:szCs w:val="32"/>
          <w:lang w:val="en-US"/>
        </w:rPr>
        <w:t>精准谋划部署，</w:t>
      </w:r>
      <w:r>
        <w:rPr>
          <w:rFonts w:hint="eastAsia" w:ascii="仿宋_GB2312" w:hAnsi="仿宋_GB2312" w:eastAsia="仿宋_GB2312" w:cs="仿宋_GB2312"/>
          <w:sz w:val="32"/>
          <w:szCs w:val="32"/>
          <w:lang w:val="en-US" w:eastAsia="zh-CN"/>
        </w:rPr>
        <w:t>抓紧抓实抓细各项工作落实。我中心支行</w:t>
      </w:r>
      <w:r>
        <w:rPr>
          <w:rFonts w:hint="eastAsia" w:ascii="仿宋_GB2312" w:hAnsi="仿宋_GB2312" w:eastAsia="仿宋_GB2312" w:cs="仿宋_GB2312"/>
          <w:sz w:val="32"/>
          <w:szCs w:val="32"/>
          <w:lang w:val="en-US"/>
        </w:rPr>
        <w:t>始终把金融助推巩固拓展脱贫攻坚成果同乡村振兴有效衔接作为一项重点工作来抓，组织召开专题会议学习相关文件精神，研究部署落实措施。通过召开金融形势分析会、金融支持乡村振兴工作推进会议等，及时传达各项支持政策。制定《关于做好2022年金融支持邢台市全面推进乡村振兴重点工作的实施意见》《邢台市金融支持新型农业经营主体发展行动方案（2022—2024年）》《邢台市金融支持巨鹿乡村振兴行动方案》等，引导金融机构加大对“三农”领域的金融支持力度。</w:t>
      </w:r>
      <w:r>
        <w:rPr>
          <w:rFonts w:hint="eastAsia" w:ascii="仿宋_GB2312" w:hAnsi="仿宋_GB2312" w:eastAsia="仿宋_GB2312" w:cs="仿宋_GB2312"/>
          <w:color w:val="000000"/>
          <w:sz w:val="32"/>
          <w:szCs w:val="32"/>
          <w:lang w:val="en-US"/>
        </w:rPr>
        <w:t>截至</w:t>
      </w:r>
      <w:r>
        <w:rPr>
          <w:rFonts w:hint="eastAsia" w:ascii="仿宋_GB2312" w:hAnsi="仿宋_GB2312" w:eastAsia="仿宋_GB2312" w:cs="仿宋_GB2312"/>
          <w:color w:val="000000"/>
          <w:sz w:val="32"/>
          <w:szCs w:val="32"/>
          <w:lang w:val="en-US" w:eastAsia="zh-CN"/>
        </w:rPr>
        <w:t>2022年12</w:t>
      </w:r>
      <w:r>
        <w:rPr>
          <w:rFonts w:hint="eastAsia" w:ascii="仿宋_GB2312" w:hAnsi="仿宋_GB2312" w:eastAsia="仿宋_GB2312" w:cs="仿宋_GB2312"/>
          <w:color w:val="000000"/>
          <w:sz w:val="32"/>
          <w:szCs w:val="32"/>
          <w:lang w:val="en-US"/>
        </w:rPr>
        <w:t>月末，全市涉农贷款余额19</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lang w:val="en-US"/>
        </w:rPr>
        <w:t>7.</w:t>
      </w:r>
      <w:r>
        <w:rPr>
          <w:rFonts w:hint="eastAsia" w:ascii="仿宋_GB2312" w:hAnsi="仿宋_GB2312" w:eastAsia="仿宋_GB2312" w:cs="仿宋_GB2312"/>
          <w:color w:val="000000"/>
          <w:sz w:val="32"/>
          <w:szCs w:val="32"/>
          <w:lang w:val="en-US" w:eastAsia="zh-CN"/>
        </w:rPr>
        <w:t>32</w:t>
      </w:r>
      <w:r>
        <w:rPr>
          <w:rFonts w:hint="eastAsia" w:ascii="仿宋_GB2312" w:hAnsi="仿宋_GB2312" w:eastAsia="仿宋_GB2312" w:cs="仿宋_GB2312"/>
          <w:color w:val="000000"/>
          <w:sz w:val="32"/>
          <w:szCs w:val="32"/>
          <w:lang w:val="en-US"/>
        </w:rPr>
        <w:t>亿元，同比增长</w:t>
      </w:r>
      <w:r>
        <w:rPr>
          <w:rFonts w:hint="default" w:ascii="仿宋_GB2312" w:eastAsia="仿宋_GB2312"/>
          <w:color w:val="000000"/>
          <w:sz w:val="32"/>
          <w:szCs w:val="32"/>
        </w:rPr>
        <w:t>18.47</w:t>
      </w:r>
      <w:r>
        <w:rPr>
          <w:rFonts w:hint="eastAsia" w:ascii="仿宋_GB2312" w:hAnsi="仿宋_GB2312" w:eastAsia="仿宋_GB2312" w:cs="仿宋_GB2312"/>
          <w:color w:val="000000"/>
          <w:sz w:val="32"/>
          <w:szCs w:val="32"/>
          <w:lang w:val="en-US"/>
        </w:rPr>
        <w:t>%，高于各项贷款增速</w:t>
      </w:r>
      <w:r>
        <w:rPr>
          <w:rFonts w:hint="eastAsia" w:ascii="仿宋_GB2312" w:hAnsi="仿宋_GB2312" w:eastAsia="仿宋_GB2312" w:cs="仿宋_GB2312"/>
          <w:color w:val="000000"/>
          <w:sz w:val="32"/>
          <w:szCs w:val="32"/>
          <w:lang w:val="en-US" w:eastAsia="zh-CN"/>
        </w:rPr>
        <w:t>4.99</w:t>
      </w:r>
      <w:r>
        <w:rPr>
          <w:rFonts w:hint="eastAsia" w:ascii="仿宋_GB2312" w:hAnsi="仿宋_GB2312" w:eastAsia="仿宋_GB2312" w:cs="仿宋_GB2312"/>
          <w:color w:val="000000"/>
          <w:sz w:val="32"/>
          <w:szCs w:val="32"/>
          <w:lang w:val="en-US"/>
        </w:rPr>
        <w:t>个百分点</w:t>
      </w:r>
      <w:r>
        <w:rPr>
          <w:rFonts w:hint="eastAsia" w:ascii="仿宋_GB2312" w:hAnsi="仿宋_GB2312" w:eastAsia="仿宋_GB2312" w:cs="仿宋_GB2312"/>
          <w:color w:val="000000"/>
          <w:sz w:val="32"/>
          <w:szCs w:val="32"/>
          <w:lang w:val="en-US" w:eastAsia="zh-CN"/>
        </w:rPr>
        <w:t>.</w:t>
      </w:r>
    </w:p>
    <w:p>
      <w:pPr>
        <w:widowControl/>
        <w:numPr>
          <w:numId w:val="0"/>
        </w:numPr>
        <w:wordWrap/>
        <w:adjustRightInd/>
        <w:snapToGrid/>
        <w:spacing w:beforeAutospacing="0" w:afterAutospacing="0" w:line="560" w:lineRule="exact"/>
        <w:ind w:left="0" w:leftChars="0" w:right="0" w:firstLine="640" w:firstLineChars="200"/>
        <w:jc w:val="left"/>
        <w:textAlignment w:val="auto"/>
        <w:outlineLvl w:val="9"/>
        <w:rPr>
          <w:rFonts w:hint="eastAsia" w:ascii="仿宋_GB2312" w:hAnsi="仿宋_GB2312" w:eastAsia="仿宋_GB2312" w:cs="仿宋_GB2312"/>
          <w:color w:val="auto"/>
          <w:kern w:val="2"/>
          <w:sz w:val="32"/>
          <w:szCs w:val="32"/>
          <w:lang w:val="zh-CN"/>
        </w:rPr>
      </w:pPr>
      <w:r>
        <w:rPr>
          <w:rFonts w:hint="eastAsia" w:ascii="仿宋_GB2312" w:hAnsi="仿宋_GB2312" w:eastAsia="仿宋_GB2312" w:cs="仿宋_GB2312"/>
          <w:sz w:val="32"/>
          <w:szCs w:val="32"/>
          <w:lang w:val="en-US" w:eastAsia="zh-CN"/>
        </w:rPr>
        <w:t>二是</w:t>
      </w:r>
      <w:r>
        <w:rPr>
          <w:rFonts w:hint="eastAsia" w:ascii="仿宋_GB2312" w:hAnsi="仿宋_GB2312" w:eastAsia="仿宋_GB2312" w:cs="仿宋_GB2312"/>
          <w:sz w:val="32"/>
          <w:szCs w:val="32"/>
          <w:lang w:val="en-US"/>
        </w:rPr>
        <w:t>精准工具运用，加大重点领域支持力度</w:t>
      </w:r>
      <w:r>
        <w:rPr>
          <w:rFonts w:hint="default" w:ascii="仿宋_GB2312" w:hAnsi="仿宋_GB2312" w:eastAsia="仿宋_GB2312" w:cs="仿宋_GB2312"/>
          <w:sz w:val="32"/>
          <w:szCs w:val="32"/>
          <w:lang w:val="en-US"/>
        </w:rPr>
        <w:t>。</w:t>
      </w:r>
      <w:r>
        <w:rPr>
          <w:rFonts w:hint="eastAsia" w:ascii="仿宋_GB2312" w:hAnsi="仿宋_GB2312" w:eastAsia="仿宋_GB2312" w:cs="仿宋_GB2312"/>
          <w:sz w:val="32"/>
          <w:szCs w:val="32"/>
          <w:lang w:val="en-US"/>
        </w:rPr>
        <w:t>聚焦巩固提升脱贫攻坚成果，</w:t>
      </w:r>
      <w:r>
        <w:rPr>
          <w:rFonts w:hint="eastAsia" w:ascii="仿宋_GB2312" w:hAnsi="仿宋_GB2312" w:eastAsia="仿宋_GB2312" w:cs="仿宋_GB2312"/>
          <w:sz w:val="32"/>
          <w:szCs w:val="32"/>
          <w:lang w:val="en-US" w:eastAsia="zh-CN"/>
        </w:rPr>
        <w:t>用足用好各项货币政策工具，坚持现有再</w:t>
      </w:r>
      <w:r>
        <w:rPr>
          <w:rFonts w:hint="eastAsia" w:ascii="仿宋_GB2312" w:hAnsi="仿宋_GB2312" w:eastAsia="仿宋_GB2312" w:cs="仿宋_GB2312"/>
          <w:color w:val="000000"/>
          <w:kern w:val="2"/>
          <w:sz w:val="32"/>
          <w:szCs w:val="32"/>
          <w:lang w:val="en-US" w:eastAsia="zh-CN"/>
        </w:rPr>
        <w:t>贷款帮扶政策在展期期间保持不变。</w:t>
      </w:r>
      <w:r>
        <w:rPr>
          <w:rFonts w:hint="default" w:ascii="仿宋_GB2312" w:hAnsi="仿宋_GB2312" w:eastAsia="仿宋_GB2312" w:cs="仿宋_GB2312"/>
          <w:color w:val="000000"/>
          <w:sz w:val="32"/>
          <w:szCs w:val="32"/>
          <w:lang w:eastAsia="zh-CN"/>
        </w:rPr>
        <w:t>2022年，累计发放再贷款60.5亿元</w:t>
      </w:r>
      <w:r>
        <w:rPr>
          <w:rFonts w:hint="eastAsia" w:ascii="仿宋_GB2312" w:hAnsi="仿宋_GB2312" w:eastAsia="仿宋_GB2312" w:cs="仿宋_GB2312"/>
          <w:color w:val="000000"/>
          <w:sz w:val="32"/>
          <w:szCs w:val="32"/>
          <w:lang w:eastAsia="zh-CN"/>
        </w:rPr>
        <w:t>（其中支小再贷款31.8亿元，支农再贷款20.32亿元，扶贫再贷款展期8.38亿元）</w:t>
      </w:r>
      <w:r>
        <w:rPr>
          <w:rFonts w:hint="default" w:ascii="仿宋_GB2312" w:hAnsi="仿宋_GB2312" w:eastAsia="仿宋_GB2312" w:cs="仿宋_GB2312"/>
          <w:color w:val="000000"/>
          <w:sz w:val="32"/>
          <w:szCs w:val="32"/>
          <w:lang w:eastAsia="zh-CN"/>
        </w:rPr>
        <w:t>，办理再贴现20.96亿元，高效运用央行政策资金精准滴灌“三农”领域。为全市符合条件的地方法人金融机构发放普惠小微贷款支持工具激励资金1.72亿元，带动普惠小微贷款新增101.21亿元，全省排名第一。为全市符合条件的地方法人金融机构发放普惠小微贷款阶段性减息激励资金6029万元。</w:t>
      </w:r>
    </w:p>
    <w:p>
      <w:pPr>
        <w:widowControl/>
        <w:numPr>
          <w:numId w:val="0"/>
        </w:numPr>
        <w:wordWrap/>
        <w:snapToGrid/>
        <w:spacing w:line="560" w:lineRule="exact"/>
        <w:ind w:right="0"/>
        <w:jc w:val="left"/>
        <w:textAlignment w:val="auto"/>
        <w:outlineLvl w:val="9"/>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三</w:t>
      </w:r>
      <w:r>
        <w:rPr>
          <w:rFonts w:hint="eastAsia" w:ascii="仿宋_GB2312" w:hAnsi="仿宋_GB2312" w:eastAsia="仿宋_GB2312" w:cs="仿宋_GB2312"/>
          <w:color w:val="000000"/>
          <w:sz w:val="32"/>
          <w:szCs w:val="32"/>
          <w:lang w:val="en-US" w:eastAsia="zh-CN"/>
        </w:rPr>
        <w:t>是</w:t>
      </w:r>
      <w:r>
        <w:rPr>
          <w:rFonts w:hint="eastAsia" w:ascii="仿宋_GB2312" w:hAnsi="仿宋_GB2312" w:eastAsia="仿宋_GB2312" w:cs="仿宋_GB2312"/>
          <w:color w:val="000000"/>
          <w:sz w:val="32"/>
          <w:szCs w:val="32"/>
          <w:lang w:eastAsia="zh-CN"/>
        </w:rPr>
        <w:t>精准政策落实，探索农村金融服务新模式</w:t>
      </w:r>
      <w:r>
        <w:rPr>
          <w:rFonts w:hint="default"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eastAsia="zh-CN"/>
        </w:rPr>
        <w:t>鼓励金</w:t>
      </w:r>
      <w:r>
        <w:rPr>
          <w:rFonts w:hint="eastAsia" w:ascii="仿宋_GB2312" w:hAnsi="仿宋_GB2312" w:eastAsia="仿宋_GB2312" w:cs="仿宋_GB2312"/>
          <w:color w:val="000000"/>
          <w:sz w:val="32"/>
          <w:szCs w:val="32"/>
        </w:rPr>
        <w:t>融机构针对农村发展特点，丰富贷款产品体系，满足多元融资需求。积极开展农村土地承包经营权抵押贷款等业务，截至</w:t>
      </w:r>
      <w:r>
        <w:rPr>
          <w:rFonts w:hint="eastAsia" w:ascii="仿宋_GB2312" w:hAnsi="仿宋_GB2312" w:eastAsia="仿宋_GB2312" w:cs="仿宋_GB2312"/>
          <w:color w:val="000000"/>
          <w:sz w:val="32"/>
          <w:szCs w:val="32"/>
          <w:lang w:val="en-US" w:eastAsia="zh-CN"/>
        </w:rPr>
        <w:t>2022年12</w:t>
      </w:r>
      <w:r>
        <w:rPr>
          <w:rFonts w:hint="eastAsia" w:ascii="仿宋_GB2312" w:hAnsi="仿宋_GB2312" w:eastAsia="仿宋_GB2312" w:cs="仿宋_GB2312"/>
          <w:color w:val="000000"/>
          <w:sz w:val="32"/>
          <w:szCs w:val="32"/>
        </w:rPr>
        <w:t>月末，全市农村承包土地的经营权抵押贷款余额为</w:t>
      </w:r>
      <w:r>
        <w:rPr>
          <w:rFonts w:hint="eastAsia" w:ascii="仿宋_GB2312" w:hAnsi="仿宋_GB2312" w:eastAsia="仿宋_GB2312" w:cs="仿宋_GB2312"/>
          <w:color w:val="000000"/>
          <w:sz w:val="32"/>
          <w:szCs w:val="32"/>
          <w:lang w:val="en-US" w:eastAsia="zh-CN"/>
        </w:rPr>
        <w:t>6680.17</w:t>
      </w:r>
      <w:r>
        <w:rPr>
          <w:rFonts w:hint="eastAsia" w:ascii="仿宋_GB2312" w:hAnsi="仿宋_GB2312" w:eastAsia="仿宋_GB2312" w:cs="仿宋_GB2312"/>
          <w:color w:val="000000"/>
          <w:sz w:val="32"/>
          <w:szCs w:val="32"/>
        </w:rPr>
        <w:t>万元。深入开展“行长走基层”“金融活水润万企”等专项行动，加大银企对接力度。落实好脱贫人口小额信贷政策，满足脱贫人口小额信贷需求，截至</w:t>
      </w:r>
      <w:r>
        <w:rPr>
          <w:rFonts w:hint="eastAsia" w:ascii="仿宋_GB2312" w:hAnsi="仿宋_GB2312" w:eastAsia="仿宋_GB2312" w:cs="仿宋_GB2312"/>
          <w:color w:val="000000"/>
          <w:sz w:val="32"/>
          <w:szCs w:val="32"/>
          <w:lang w:val="en-US" w:eastAsia="zh-CN"/>
        </w:rPr>
        <w:t>2022年12</w:t>
      </w:r>
      <w:r>
        <w:rPr>
          <w:rFonts w:hint="eastAsia" w:ascii="仿宋_GB2312" w:hAnsi="仿宋_GB2312" w:eastAsia="仿宋_GB2312" w:cs="仿宋_GB2312"/>
          <w:color w:val="000000"/>
          <w:sz w:val="32"/>
          <w:szCs w:val="32"/>
        </w:rPr>
        <w:t>月末，全市脱贫人口小额信贷余额为1</w:t>
      </w:r>
      <w:r>
        <w:rPr>
          <w:rFonts w:hint="default"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eastAsia="zh-CN"/>
        </w:rPr>
        <w:t>27</w:t>
      </w:r>
      <w:r>
        <w:rPr>
          <w:rFonts w:hint="eastAsia" w:ascii="仿宋_GB2312" w:hAnsi="仿宋_GB2312" w:eastAsia="仿宋_GB2312" w:cs="仿宋_GB2312"/>
          <w:color w:val="000000"/>
          <w:sz w:val="32"/>
          <w:szCs w:val="32"/>
          <w:lang w:val="en-US"/>
        </w:rPr>
        <w:t>亿</w:t>
      </w:r>
      <w:r>
        <w:rPr>
          <w:rFonts w:hint="eastAsia" w:ascii="仿宋_GB2312" w:hAnsi="仿宋_GB2312" w:eastAsia="仿宋_GB2312" w:cs="仿宋_GB2312"/>
          <w:color w:val="000000"/>
          <w:sz w:val="32"/>
          <w:szCs w:val="32"/>
        </w:rPr>
        <w:t>元，贷款户数2</w:t>
      </w:r>
      <w:r>
        <w:rPr>
          <w:rFonts w:hint="eastAsia" w:ascii="仿宋_GB2312" w:hAnsi="仿宋_GB2312" w:eastAsia="仿宋_GB2312" w:cs="仿宋_GB2312"/>
          <w:color w:val="000000"/>
          <w:sz w:val="32"/>
          <w:szCs w:val="32"/>
          <w:lang w:val="en-US" w:eastAsia="zh-CN"/>
        </w:rPr>
        <w:t>622</w:t>
      </w:r>
      <w:r>
        <w:rPr>
          <w:rFonts w:hint="eastAsia" w:ascii="仿宋_GB2312" w:hAnsi="仿宋_GB2312" w:eastAsia="仿宋_GB2312" w:cs="仿宋_GB2312"/>
          <w:color w:val="000000"/>
          <w:sz w:val="32"/>
          <w:szCs w:val="32"/>
        </w:rPr>
        <w:t>户。落实好创业担保贷款政策，支持脱贫人口创业就业，截至</w:t>
      </w:r>
      <w:r>
        <w:rPr>
          <w:rFonts w:hint="eastAsia" w:ascii="仿宋_GB2312" w:hAnsi="仿宋_GB2312" w:eastAsia="仿宋_GB2312" w:cs="仿宋_GB2312"/>
          <w:color w:val="000000"/>
          <w:sz w:val="32"/>
          <w:szCs w:val="32"/>
          <w:lang w:val="en-US" w:eastAsia="zh-CN"/>
        </w:rPr>
        <w:t>2022年12</w:t>
      </w:r>
      <w:r>
        <w:rPr>
          <w:rFonts w:hint="eastAsia" w:ascii="仿宋_GB2312" w:hAnsi="仿宋_GB2312" w:eastAsia="仿宋_GB2312" w:cs="仿宋_GB2312"/>
          <w:color w:val="000000"/>
          <w:sz w:val="32"/>
          <w:szCs w:val="32"/>
        </w:rPr>
        <w:t>月末，全市创业担保贷款余额4.</w:t>
      </w:r>
      <w:r>
        <w:rPr>
          <w:rFonts w:hint="eastAsia" w:ascii="仿宋_GB2312" w:hAnsi="仿宋_GB2312" w:eastAsia="仿宋_GB2312" w:cs="仿宋_GB2312"/>
          <w:color w:val="000000"/>
          <w:sz w:val="32"/>
          <w:szCs w:val="32"/>
          <w:lang w:val="en-US" w:eastAsia="zh-CN"/>
        </w:rPr>
        <w:t>72</w:t>
      </w:r>
      <w:r>
        <w:rPr>
          <w:rFonts w:hint="eastAsia" w:ascii="仿宋_GB2312" w:hAnsi="仿宋_GB2312" w:eastAsia="仿宋_GB2312" w:cs="仿宋_GB2312"/>
          <w:color w:val="000000"/>
          <w:sz w:val="32"/>
          <w:szCs w:val="32"/>
        </w:rPr>
        <w:t>亿元，其中返乡创业农民工贷款占比为9.</w:t>
      </w:r>
      <w:r>
        <w:rPr>
          <w:rFonts w:hint="eastAsia" w:ascii="仿宋_GB2312" w:hAnsi="仿宋_GB2312" w:eastAsia="仿宋_GB2312" w:cs="仿宋_GB2312"/>
          <w:color w:val="000000"/>
          <w:sz w:val="32"/>
          <w:szCs w:val="32"/>
          <w:lang w:val="en-US" w:eastAsia="zh-CN"/>
        </w:rPr>
        <w:t>06</w:t>
      </w:r>
      <w:r>
        <w:rPr>
          <w:rFonts w:hint="eastAsia" w:ascii="仿宋_GB2312" w:hAnsi="仿宋_GB2312" w:eastAsia="仿宋_GB2312" w:cs="仿宋_GB2312"/>
          <w:color w:val="000000"/>
          <w:sz w:val="32"/>
          <w:szCs w:val="32"/>
        </w:rPr>
        <w:t>%。</w:t>
      </w:r>
    </w:p>
    <w:p>
      <w:pPr>
        <w:widowControl/>
        <w:numPr>
          <w:numId w:val="0"/>
        </w:numPr>
        <w:wordWrap/>
        <w:snapToGrid/>
        <w:spacing w:line="560" w:lineRule="exact"/>
        <w:ind w:right="0" w:firstLine="640" w:firstLineChars="200"/>
        <w:jc w:val="left"/>
        <w:textAlignment w:val="auto"/>
        <w:outlineLvl w:val="9"/>
        <w:rPr>
          <w:rFonts w:hint="eastAsia" w:ascii="仿宋_GB2312" w:eastAsia="仿宋_GB2312" w:cs="仿宋_GB2312"/>
          <w:color w:val="000000"/>
          <w:sz w:val="32"/>
          <w:szCs w:val="32"/>
        </w:rPr>
      </w:pPr>
      <w:r>
        <w:rPr>
          <w:rFonts w:hint="eastAsia" w:ascii="仿宋_GB2312" w:eastAsia="仿宋_GB2312" w:cs="仿宋_GB2312"/>
          <w:color w:val="000000"/>
          <w:sz w:val="32"/>
          <w:szCs w:val="32"/>
          <w:lang w:val="en-US" w:eastAsia="zh-CN"/>
        </w:rPr>
        <w:t>四是</w:t>
      </w:r>
      <w:r>
        <w:rPr>
          <w:rFonts w:hint="eastAsia" w:ascii="仿宋_GB2312" w:eastAsia="仿宋_GB2312" w:cs="仿宋_GB2312"/>
          <w:color w:val="000000"/>
          <w:sz w:val="32"/>
          <w:szCs w:val="32"/>
        </w:rPr>
        <w:t>精准服务保障，</w:t>
      </w:r>
      <w:r>
        <w:rPr>
          <w:rFonts w:hint="eastAsia" w:ascii="仿宋_GB2312" w:eastAsia="仿宋_GB2312" w:cs="仿宋_GB2312"/>
          <w:color w:val="000000"/>
          <w:sz w:val="32"/>
          <w:szCs w:val="32"/>
          <w:lang w:val="en-US"/>
        </w:rPr>
        <w:t>优化农村金融生态环境</w:t>
      </w:r>
      <w:r>
        <w:rPr>
          <w:rFonts w:hint="default" w:ascii="仿宋_GB2312" w:eastAsia="仿宋_GB2312" w:cs="仿宋_GB2312"/>
          <w:color w:val="000000"/>
          <w:sz w:val="32"/>
          <w:szCs w:val="32"/>
        </w:rPr>
        <w:t>。</w:t>
      </w:r>
      <w:r>
        <w:rPr>
          <w:rFonts w:hint="eastAsia" w:ascii="仿宋_GB2312" w:eastAsia="仿宋_GB2312" w:cs="仿宋_GB2312"/>
          <w:color w:val="000000"/>
          <w:sz w:val="32"/>
          <w:szCs w:val="32"/>
        </w:rPr>
        <w:t>致力农村信用体系建设，实现农户信用建档、评级全覆盖。支持辖内农信系统开展“双基”共建农村信用工程，将“双基”共建农村信用工程与金融支持乡村振兴工作有机结合起来。加强农村金融服务基础设施建设，全面提升金融服务效率和水平，实现“基础金融服务不出村”。截至</w:t>
      </w:r>
      <w:r>
        <w:rPr>
          <w:rFonts w:hint="eastAsia" w:ascii="仿宋_GB2312" w:eastAsia="仿宋_GB2312" w:cs="仿宋_GB2312"/>
          <w:color w:val="000000"/>
          <w:sz w:val="32"/>
          <w:szCs w:val="32"/>
          <w:lang w:val="en-US" w:eastAsia="zh-CN"/>
        </w:rPr>
        <w:t>2022年12</w:t>
      </w:r>
      <w:r>
        <w:rPr>
          <w:rFonts w:hint="eastAsia" w:ascii="仿宋_GB2312" w:eastAsia="仿宋_GB2312" w:cs="仿宋_GB2312"/>
          <w:color w:val="000000"/>
          <w:sz w:val="32"/>
          <w:szCs w:val="32"/>
        </w:rPr>
        <w:t>月末，全市共设立助农取款服务点</w:t>
      </w:r>
      <w:r>
        <w:rPr>
          <w:rFonts w:hint="eastAsia" w:ascii="仿宋_GB2312" w:eastAsia="仿宋_GB2312" w:cs="仿宋_GB2312"/>
          <w:color w:val="000000"/>
          <w:sz w:val="32"/>
          <w:szCs w:val="32"/>
          <w:lang w:val="en-US" w:eastAsia="zh-CN"/>
        </w:rPr>
        <w:t>12841</w:t>
      </w:r>
      <w:r>
        <w:rPr>
          <w:rFonts w:hint="eastAsia" w:ascii="仿宋_GB2312" w:eastAsia="仿宋_GB2312" w:cs="仿宋_GB2312"/>
          <w:color w:val="000000"/>
          <w:sz w:val="32"/>
          <w:szCs w:val="32"/>
        </w:rPr>
        <w:t>个，其中加载了电商功能的服务点2</w:t>
      </w:r>
      <w:r>
        <w:rPr>
          <w:rFonts w:hint="eastAsia" w:ascii="仿宋_GB2312" w:eastAsia="仿宋_GB2312" w:cs="仿宋_GB2312"/>
          <w:color w:val="000000"/>
          <w:sz w:val="32"/>
          <w:szCs w:val="32"/>
          <w:lang w:val="en-US" w:eastAsia="zh-CN"/>
        </w:rPr>
        <w:t>199</w:t>
      </w:r>
      <w:r>
        <w:rPr>
          <w:rFonts w:hint="eastAsia" w:ascii="仿宋_GB2312" w:eastAsia="仿宋_GB2312" w:cs="仿宋_GB2312"/>
          <w:color w:val="000000"/>
          <w:sz w:val="32"/>
          <w:szCs w:val="32"/>
        </w:rPr>
        <w:t>个，助农取款服务村级行政区覆盖率达100%。强化政策宣传，以多种形式宣传推介金融支持政策，唱响央行好声音。开展2021年度邢台市金融机构服务乡村振兴考核评估，引导各金融机构不断提升金融服务水平。</w:t>
      </w:r>
    </w:p>
    <w:p>
      <w:pPr>
        <w:widowControl/>
        <w:numPr>
          <w:numId w:val="0"/>
        </w:numPr>
        <w:wordWrap/>
        <w:snapToGrid/>
        <w:spacing w:line="560" w:lineRule="exact"/>
        <w:ind w:right="0" w:firstLine="640" w:firstLineChars="200"/>
        <w:jc w:val="left"/>
        <w:textAlignment w:val="auto"/>
        <w:outlineLvl w:val="9"/>
        <w:rPr>
          <w:rFonts w:hint="eastAsia" w:ascii="仿宋_GB2312" w:eastAsia="仿宋_GB2312" w:cs="仿宋_GB2312"/>
          <w:color w:val="000000"/>
          <w:sz w:val="32"/>
          <w:szCs w:val="32"/>
          <w:lang w:val="en-US" w:eastAsia="zh-CN"/>
        </w:rPr>
      </w:pPr>
      <w:r>
        <w:rPr>
          <w:rFonts w:hint="eastAsia" w:ascii="仿宋_GB2312" w:eastAsia="仿宋_GB2312" w:cs="仿宋_GB2312"/>
          <w:color w:val="000000"/>
          <w:sz w:val="32"/>
          <w:szCs w:val="32"/>
          <w:lang w:val="en-US" w:eastAsia="zh-CN"/>
        </w:rPr>
        <w:t>五是精准对接支持，金融助力巨鹿县乡村振兴。制定《邢台市金融支持巨鹿乡村振兴行动方案》，凝聚合力，着力打造全市金融支持乡村振兴发展示范县。与巨鹿县人民政府签订战略合作协议，持续深化政银企对接。召开金融支持巨鹿涉外经济发展座谈会，实地调研走访企业，着力解决企业面临的融资难题。截至2022年12月末，巨鹿县各项贷款余额156.73亿元，同比增长25.45%，贷款增速在16个县中位居第一。金融支持巨鹿乡村振兴相关工作被人民银行总行《金融定点帮扶乡村振兴简报》刊载。</w:t>
      </w:r>
    </w:p>
    <w:p>
      <w:pPr>
        <w:wordWrap/>
        <w:adjustRightInd/>
        <w:snapToGrid/>
        <w:spacing w:line="560" w:lineRule="exact"/>
        <w:ind w:left="0" w:leftChars="0" w:right="0" w:firstLine="636"/>
        <w:textAlignment w:val="auto"/>
        <w:outlineLvl w:val="9"/>
        <w:rPr>
          <w:rFonts w:hint="eastAsia" w:ascii="仿宋_GB2312" w:eastAsia="仿宋_GB2312"/>
          <w:sz w:val="32"/>
          <w:szCs w:val="32"/>
          <w:lang w:val="en-US" w:eastAsia="zh-CN"/>
        </w:rPr>
      </w:pPr>
      <w:r>
        <w:rPr>
          <w:rFonts w:hint="eastAsia" w:ascii="仿宋_GB2312" w:eastAsia="仿宋_GB2312"/>
          <w:sz w:val="32"/>
          <w:szCs w:val="32"/>
          <w:lang w:eastAsia="zh-CN"/>
        </w:rPr>
        <w:t>下一步，</w:t>
      </w:r>
      <w:r>
        <w:rPr>
          <w:rFonts w:hint="eastAsia" w:ascii="仿宋_GB2312" w:eastAsia="仿宋_GB2312"/>
          <w:sz w:val="32"/>
          <w:szCs w:val="32"/>
        </w:rPr>
        <w:t>我中心支行将继续按照市委市政府及上级行相关工作要求</w:t>
      </w:r>
      <w:r>
        <w:rPr>
          <w:rFonts w:hint="eastAsia" w:ascii="仿宋_GB2312" w:eastAsia="仿宋_GB2312"/>
          <w:color w:val="000000"/>
          <w:sz w:val="32"/>
          <w:szCs w:val="32"/>
          <w:lang w:eastAsia="zh-CN"/>
        </w:rPr>
        <w:t>，</w:t>
      </w:r>
      <w:r>
        <w:rPr>
          <w:rFonts w:hint="eastAsia" w:ascii="仿宋_GB2312" w:eastAsia="仿宋_GB2312"/>
          <w:color w:val="000000"/>
          <w:sz w:val="32"/>
          <w:szCs w:val="32"/>
        </w:rPr>
        <w:t>坚持稳健的货币政策精准有力，</w:t>
      </w:r>
      <w:r>
        <w:rPr>
          <w:rFonts w:hint="eastAsia" w:ascii="仿宋_GB2312" w:hAnsi="仿宋_GB2312" w:eastAsia="仿宋_GB2312" w:cs="仿宋_GB2312"/>
          <w:color w:val="000000"/>
          <w:sz w:val="32"/>
          <w:szCs w:val="32"/>
          <w:lang w:val="en-US" w:eastAsia="zh-CN"/>
        </w:rPr>
        <w:t>用足用好支农、支小再贷款和再贴现等货币政策工具，落实</w:t>
      </w:r>
      <w:r>
        <w:rPr>
          <w:rFonts w:hint="eastAsia" w:ascii="仿宋_GB2312" w:eastAsia="仿宋_GB2312"/>
          <w:color w:val="000000"/>
          <w:sz w:val="32"/>
          <w:szCs w:val="32"/>
        </w:rPr>
        <w:t>扶贫再贷款展期政策</w:t>
      </w:r>
      <w:r>
        <w:rPr>
          <w:rFonts w:hint="eastAsia" w:ascii="仿宋_GB2312" w:eastAsia="仿宋_GB2312"/>
          <w:color w:val="000000"/>
          <w:sz w:val="32"/>
          <w:szCs w:val="32"/>
          <w:lang w:eastAsia="zh-CN"/>
        </w:rPr>
        <w:t>，着力</w:t>
      </w:r>
      <w:r>
        <w:rPr>
          <w:rFonts w:hint="eastAsia" w:ascii="仿宋_GB2312" w:hAnsi="仿宋_GB2312" w:eastAsia="仿宋_GB2312" w:cs="仿宋_GB2312"/>
          <w:color w:val="000000"/>
          <w:sz w:val="32"/>
          <w:szCs w:val="32"/>
          <w:lang w:val="en-US" w:eastAsia="zh-CN"/>
        </w:rPr>
        <w:t>降低涉农主体的信贷融资成本。</w:t>
      </w:r>
      <w:r>
        <w:rPr>
          <w:rFonts w:hint="eastAsia" w:ascii="仿宋_GB2312" w:hAnsi="Times New Roman" w:eastAsia="仿宋_GB2312" w:cs="Times New Roman"/>
          <w:color w:val="000000"/>
          <w:sz w:val="32"/>
          <w:szCs w:val="32"/>
          <w:lang w:eastAsia="zh-CN"/>
        </w:rPr>
        <w:t>引导金融机构加强政银企对接，切实满足县域涉农企业融资需求。鼓励农业银行邢台分行深化三农金融事业部改革，调整优化信贷结构，提升“三农”和县域金融服务水平。</w:t>
      </w:r>
      <w:r>
        <w:rPr>
          <w:rFonts w:hint="eastAsia" w:ascii="仿宋_GB2312" w:hAnsi="仿宋_GB2312" w:eastAsia="仿宋_GB2312" w:cs="仿宋_GB2312"/>
          <w:color w:val="000000"/>
          <w:sz w:val="32"/>
          <w:szCs w:val="32"/>
          <w:lang w:val="en-US" w:eastAsia="zh-CN"/>
        </w:rPr>
        <w:t>在风险可控的前提下，鼓励各金融机构积极探索乡村金融服务新模式，丰富金融产品体系，逐步形成优势互补、相互促进的乡村金融新生态。配合地方政府，健全乡村振兴工作配套机制，</w:t>
      </w:r>
      <w:r>
        <w:rPr>
          <w:rFonts w:hint="eastAsia" w:ascii="仿宋_GB2312" w:hAnsi="Times New Roman" w:eastAsia="仿宋_GB2312" w:cs="Times New Roman"/>
          <w:color w:val="000000"/>
          <w:sz w:val="32"/>
          <w:szCs w:val="32"/>
          <w:lang w:eastAsia="zh-CN"/>
        </w:rPr>
        <w:t>鼓励有条件的金融机构增设普惠金融服务窗口</w:t>
      </w:r>
      <w:r>
        <w:rPr>
          <w:rFonts w:hint="eastAsia" w:ascii="仿宋_GB2312" w:hAnsi="仿宋_GB2312" w:eastAsia="仿宋_GB2312" w:cs="仿宋_GB2312"/>
          <w:color w:val="000000"/>
          <w:sz w:val="32"/>
          <w:szCs w:val="32"/>
        </w:rPr>
        <w:t>。</w:t>
      </w:r>
      <w:r>
        <w:rPr>
          <w:rFonts w:hint="eastAsia" w:ascii="仿宋_GB2312" w:hAnsi="Times New Roman" w:eastAsia="仿宋_GB2312" w:cs="Times New Roman"/>
          <w:color w:val="000000"/>
          <w:sz w:val="32"/>
          <w:szCs w:val="32"/>
          <w:lang w:eastAsia="zh-CN"/>
        </w:rPr>
        <w:t>深化农村信用体系、支付服务环境建设，持续优化农村金融环境。利用</w:t>
      </w:r>
      <w:r>
        <w:rPr>
          <w:rFonts w:hint="eastAsia" w:ascii="仿宋_GB2312" w:eastAsia="仿宋_GB2312" w:cs="Times New Roman"/>
          <w:color w:val="000000"/>
          <w:sz w:val="32"/>
          <w:szCs w:val="32"/>
          <w:lang w:eastAsia="zh-CN"/>
        </w:rPr>
        <w:t>普及金融知识</w:t>
      </w:r>
      <w:r>
        <w:rPr>
          <w:rFonts w:hint="eastAsia" w:ascii="仿宋_GB2312" w:hAnsi="Times New Roman" w:eastAsia="仿宋_GB2312" w:cs="Times New Roman"/>
          <w:color w:val="000000"/>
          <w:sz w:val="32"/>
          <w:szCs w:val="32"/>
          <w:lang w:eastAsia="zh-CN"/>
        </w:rPr>
        <w:t>守住“钱袋子”主题宣传活动、“金融知识普及月”等重要时间节点，积极开展普惠金融知识宣传活动，提升金融知识普及覆盖率。</w:t>
      </w:r>
    </w:p>
    <w:p>
      <w:pPr>
        <w:spacing w:line="560" w:lineRule="exact"/>
        <w:ind w:firstLine="480" w:firstLineChars="150"/>
        <w:jc w:val="right"/>
        <w:rPr>
          <w:rFonts w:hint="eastAsia" w:ascii="仿宋_GB2312" w:eastAsia="仿宋_GB2312"/>
          <w:sz w:val="32"/>
          <w:szCs w:val="32"/>
        </w:rPr>
      </w:pPr>
    </w:p>
    <w:p>
      <w:pPr>
        <w:spacing w:line="560" w:lineRule="exact"/>
        <w:ind w:firstLine="480" w:firstLineChars="150"/>
        <w:jc w:val="right"/>
        <w:rPr>
          <w:rFonts w:hint="eastAsia" w:ascii="仿宋_GB2312" w:eastAsia="仿宋_GB2312"/>
          <w:sz w:val="32"/>
          <w:szCs w:val="32"/>
        </w:rPr>
      </w:pPr>
      <w:bookmarkStart w:id="0" w:name="_GoBack"/>
      <w:bookmarkEnd w:id="0"/>
    </w:p>
    <w:p>
      <w:pPr>
        <w:spacing w:line="560" w:lineRule="exact"/>
        <w:ind w:firstLine="480" w:firstLineChars="150"/>
        <w:jc w:val="right"/>
        <w:rPr>
          <w:rFonts w:ascii="仿宋_GB2312" w:eastAsia="仿宋_GB2312"/>
          <w:sz w:val="32"/>
          <w:szCs w:val="32"/>
        </w:rPr>
      </w:pPr>
      <w:r>
        <w:rPr>
          <w:rFonts w:hint="eastAsia" w:ascii="仿宋_GB2312" w:eastAsia="仿宋_GB2312"/>
          <w:sz w:val="32"/>
          <w:szCs w:val="32"/>
        </w:rPr>
        <w:t>中国人民银行邢台市中心支行</w:t>
      </w:r>
    </w:p>
    <w:p>
      <w:pPr>
        <w:spacing w:line="560" w:lineRule="exact"/>
        <w:ind w:firstLine="3520" w:firstLineChars="1100"/>
        <w:jc w:val="center"/>
        <w:rPr>
          <w:rFonts w:ascii="仿宋_GB2312" w:eastAsia="仿宋_GB2312"/>
          <w:sz w:val="32"/>
          <w:szCs w:val="32"/>
        </w:rPr>
      </w:pPr>
      <w:r>
        <w:rPr>
          <w:rFonts w:hint="eastAsia" w:ascii="仿宋_GB2312" w:eastAsia="仿宋_GB2312"/>
          <w:sz w:val="32"/>
          <w:szCs w:val="32"/>
        </w:rPr>
        <w:t xml:space="preserve">       202</w:t>
      </w:r>
      <w:r>
        <w:rPr>
          <w:rFonts w:hint="eastAsia" w:ascii="仿宋_GB2312" w:eastAsia="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eastAsia="仿宋_GB2312"/>
          <w:sz w:val="32"/>
          <w:szCs w:val="32"/>
        </w:rPr>
        <w:t>4月26日</w:t>
      </w:r>
    </w:p>
    <w:p>
      <w:pPr>
        <w:rPr>
          <w:rFonts w:hint="eastAsia" w:ascii="仿宋_GB2312" w:eastAsia="仿宋_GB2312"/>
          <w:sz w:val="32"/>
          <w:szCs w:val="32"/>
        </w:rPr>
      </w:pPr>
    </w:p>
    <w:p>
      <w:pPr>
        <w:ind w:firstLine="640"/>
      </w:pPr>
    </w:p>
    <w:sectPr>
      <w:pgSz w:w="11906" w:h="16838"/>
      <w:pgMar w:top="2155" w:right="1531" w:bottom="1701"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auto"/>
    <w:pitch w:val="default"/>
    <w:sig w:usb0="E00002FF" w:usb1="400004FF"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Calibri">
    <w:panose1 w:val="020F0502020204030204"/>
    <w:charset w:val="00"/>
    <w:family w:val="auto"/>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924AA9"/>
    <w:rsid w:val="00030B7E"/>
    <w:rsid w:val="00050ECD"/>
    <w:rsid w:val="00051FF7"/>
    <w:rsid w:val="00095C26"/>
    <w:rsid w:val="000D6B02"/>
    <w:rsid w:val="000E5102"/>
    <w:rsid w:val="001D1E85"/>
    <w:rsid w:val="001F4D71"/>
    <w:rsid w:val="00256BF9"/>
    <w:rsid w:val="003032B7"/>
    <w:rsid w:val="00417141"/>
    <w:rsid w:val="00442ECD"/>
    <w:rsid w:val="004C2ED1"/>
    <w:rsid w:val="004D7943"/>
    <w:rsid w:val="005803AC"/>
    <w:rsid w:val="005D64F6"/>
    <w:rsid w:val="0067249F"/>
    <w:rsid w:val="006E176A"/>
    <w:rsid w:val="0072030F"/>
    <w:rsid w:val="00745F08"/>
    <w:rsid w:val="007564BD"/>
    <w:rsid w:val="007B7E5E"/>
    <w:rsid w:val="00835318"/>
    <w:rsid w:val="008857CB"/>
    <w:rsid w:val="008A2F79"/>
    <w:rsid w:val="008A4387"/>
    <w:rsid w:val="0090761A"/>
    <w:rsid w:val="00924AA9"/>
    <w:rsid w:val="00962A06"/>
    <w:rsid w:val="00A355DE"/>
    <w:rsid w:val="00A40543"/>
    <w:rsid w:val="00B079A8"/>
    <w:rsid w:val="00B45BC2"/>
    <w:rsid w:val="00B47BA1"/>
    <w:rsid w:val="00BC5505"/>
    <w:rsid w:val="00C03E0C"/>
    <w:rsid w:val="00C62A4F"/>
    <w:rsid w:val="00D51B2C"/>
    <w:rsid w:val="00D575F6"/>
    <w:rsid w:val="00D900B8"/>
    <w:rsid w:val="00E37303"/>
    <w:rsid w:val="00EC1082"/>
    <w:rsid w:val="00F6440A"/>
    <w:rsid w:val="00FB1CAB"/>
    <w:rsid w:val="00FF0402"/>
    <w:rsid w:val="00FF0E47"/>
    <w:rsid w:val="00FF0E9C"/>
    <w:rsid w:val="01472F50"/>
    <w:rsid w:val="0FD43985"/>
    <w:rsid w:val="11794465"/>
    <w:rsid w:val="142D10D5"/>
    <w:rsid w:val="1A2F2848"/>
    <w:rsid w:val="1A941E2E"/>
    <w:rsid w:val="1A9C03B9"/>
    <w:rsid w:val="1BB064A3"/>
    <w:rsid w:val="39F542DF"/>
    <w:rsid w:val="3BB4702F"/>
    <w:rsid w:val="43436496"/>
    <w:rsid w:val="450E5BB9"/>
    <w:rsid w:val="4699193F"/>
    <w:rsid w:val="4D4020CD"/>
    <w:rsid w:val="52557E1E"/>
    <w:rsid w:val="5379512B"/>
    <w:rsid w:val="53EE6D7F"/>
    <w:rsid w:val="54436DE9"/>
    <w:rsid w:val="5842546B"/>
    <w:rsid w:val="59AA79C7"/>
    <w:rsid w:val="66071B8A"/>
    <w:rsid w:val="6C7024AF"/>
    <w:rsid w:val="6FB035D3"/>
    <w:rsid w:val="79EB55A7"/>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
    <w:qFormat/>
    <w:uiPriority w:val="0"/>
    <w:pPr>
      <w:keepNext/>
      <w:keepLines/>
      <w:spacing w:before="340" w:after="330" w:line="578" w:lineRule="auto"/>
      <w:outlineLvl w:val="0"/>
    </w:pPr>
    <w:rPr>
      <w:bCs/>
      <w:kern w:val="44"/>
      <w:szCs w:val="44"/>
    </w:rPr>
  </w:style>
  <w:style w:type="paragraph" w:styleId="3">
    <w:name w:val="heading 2"/>
    <w:basedOn w:val="1"/>
    <w:next w:val="1"/>
    <w:link w:val="15"/>
    <w:unhideWhenUsed/>
    <w:qFormat/>
    <w:uiPriority w:val="9"/>
    <w:pPr>
      <w:keepNext/>
      <w:keepLines/>
      <w:outlineLvl w:val="1"/>
    </w:pPr>
    <w:rPr>
      <w:rFonts w:ascii="Cambria" w:hAnsi="Cambria" w:cs="黑体"/>
      <w:b/>
      <w:bCs/>
      <w:szCs w:val="32"/>
    </w:rPr>
  </w:style>
  <w:style w:type="character" w:default="1" w:styleId="7">
    <w:name w:val="Default Paragraph Font"/>
    <w:unhideWhenUsed/>
    <w:uiPriority w:val="1"/>
  </w:style>
  <w:style w:type="table" w:default="1" w:styleId="11">
    <w:name w:val="Normal Table"/>
    <w:unhideWhenUsed/>
    <w:qFormat/>
    <w:uiPriority w:val="99"/>
    <w:tblPr>
      <w:tblStyle w:val="11"/>
      <w:tblLayout w:type="fixed"/>
      <w:tblCellMar>
        <w:top w:w="0" w:type="dxa"/>
        <w:left w:w="108" w:type="dxa"/>
        <w:bottom w:w="0" w:type="dxa"/>
        <w:right w:w="108" w:type="dxa"/>
      </w:tblCellMar>
    </w:tblPr>
    <w:tcPr>
      <w:textDirection w:val="lrTb"/>
    </w:tcPr>
  </w:style>
  <w:style w:type="paragraph" w:styleId="4">
    <w:name w:val="footer"/>
    <w:basedOn w:val="1"/>
    <w:link w:val="17"/>
    <w:unhideWhenUsed/>
    <w:uiPriority w:val="99"/>
    <w:pPr>
      <w:tabs>
        <w:tab w:val="center" w:pos="4153"/>
        <w:tab w:val="right" w:pos="8306"/>
      </w:tabs>
      <w:snapToGrid w:val="0"/>
      <w:jc w:val="left"/>
    </w:pPr>
    <w:rPr>
      <w:sz w:val="18"/>
      <w:szCs w:val="18"/>
    </w:rPr>
  </w:style>
  <w:style w:type="paragraph" w:styleId="5">
    <w:name w:val="header"/>
    <w:basedOn w:val="1"/>
    <w:link w:val="16"/>
    <w:unhideWhenUsed/>
    <w:uiPriority w:val="99"/>
    <w:pPr>
      <w:pBdr>
        <w:bottom w:val="single" w:color="auto" w:sz="6" w:space="1"/>
      </w:pBdr>
      <w:tabs>
        <w:tab w:val="center" w:pos="4153"/>
        <w:tab w:val="right" w:pos="8306"/>
      </w:tabs>
      <w:snapToGrid w:val="0"/>
      <w:jc w:val="center"/>
    </w:pPr>
    <w:rPr>
      <w:sz w:val="18"/>
      <w:szCs w:val="18"/>
    </w:rPr>
  </w:style>
  <w:style w:type="paragraph" w:styleId="6">
    <w:name w:val="Title"/>
    <w:basedOn w:val="1"/>
    <w:next w:val="1"/>
    <w:link w:val="13"/>
    <w:qFormat/>
    <w:uiPriority w:val="0"/>
    <w:pPr>
      <w:spacing w:before="240" w:after="60"/>
      <w:jc w:val="center"/>
      <w:outlineLvl w:val="0"/>
    </w:pPr>
    <w:rPr>
      <w:rFonts w:ascii="Cambria" w:hAnsi="Cambria" w:eastAsia="方正小标宋简体" w:cs="黑体"/>
      <w:b/>
      <w:bCs/>
      <w:sz w:val="44"/>
      <w:szCs w:val="32"/>
    </w:rPr>
  </w:style>
  <w:style w:type="character" w:styleId="8">
    <w:name w:val="Strong"/>
    <w:basedOn w:val="7"/>
    <w:qFormat/>
    <w:uiPriority w:val="0"/>
    <w:rPr>
      <w:rFonts w:eastAsia="仿宋_GB2312"/>
      <w:b/>
      <w:bCs/>
      <w:sz w:val="32"/>
    </w:rPr>
  </w:style>
  <w:style w:type="character" w:styleId="9">
    <w:name w:val="page number"/>
    <w:basedOn w:val="7"/>
    <w:unhideWhenUsed/>
    <w:uiPriority w:val="0"/>
    <w:rPr/>
  </w:style>
  <w:style w:type="character" w:styleId="10">
    <w:name w:val="Emphasis"/>
    <w:qFormat/>
    <w:uiPriority w:val="0"/>
    <w:rPr>
      <w:rFonts w:eastAsia="楷体_GB2312"/>
      <w:b/>
      <w:iCs/>
      <w:sz w:val="32"/>
    </w:rPr>
  </w:style>
  <w:style w:type="paragraph" w:customStyle="1" w:styleId="12">
    <w:name w:val="No Spacing"/>
    <w:qFormat/>
    <w:uiPriority w:val="1"/>
    <w:pPr>
      <w:widowControl w:val="0"/>
      <w:jc w:val="both"/>
    </w:pPr>
    <w:rPr>
      <w:rFonts w:ascii="Calibri" w:hAnsi="Calibri" w:eastAsia="黑体" w:cs="黑体"/>
      <w:kern w:val="2"/>
      <w:sz w:val="30"/>
      <w:szCs w:val="22"/>
      <w:lang w:val="en-US" w:eastAsia="zh-CN" w:bidi="ar-SA"/>
    </w:rPr>
  </w:style>
  <w:style w:type="character" w:customStyle="1" w:styleId="13">
    <w:name w:val="标题 Char"/>
    <w:aliases w:val="大标题 Char"/>
    <w:basedOn w:val="7"/>
    <w:link w:val="6"/>
    <w:uiPriority w:val="0"/>
    <w:rPr>
      <w:rFonts w:ascii="Cambria" w:hAnsi="Cambria" w:eastAsia="方正小标宋简体" w:cs="黑体"/>
      <w:b/>
      <w:bCs/>
      <w:kern w:val="2"/>
      <w:sz w:val="44"/>
      <w:szCs w:val="32"/>
    </w:rPr>
  </w:style>
  <w:style w:type="character" w:customStyle="1" w:styleId="14">
    <w:name w:val="标题 1 Char"/>
    <w:aliases w:val="一级标题 Char"/>
    <w:basedOn w:val="7"/>
    <w:link w:val="2"/>
    <w:uiPriority w:val="0"/>
    <w:rPr>
      <w:rFonts w:eastAsia="黑体"/>
      <w:bCs/>
      <w:kern w:val="44"/>
      <w:sz w:val="32"/>
      <w:szCs w:val="44"/>
    </w:rPr>
  </w:style>
  <w:style w:type="character" w:customStyle="1" w:styleId="15">
    <w:name w:val="标题 2 Char"/>
    <w:aliases w:val="二级标题1 Char"/>
    <w:basedOn w:val="7"/>
    <w:link w:val="3"/>
    <w:semiHidden/>
    <w:uiPriority w:val="9"/>
    <w:rPr>
      <w:rFonts w:ascii="Cambria" w:hAnsi="Cambria" w:eastAsia="黑体" w:cs="黑体"/>
      <w:b/>
      <w:bCs/>
      <w:sz w:val="30"/>
      <w:szCs w:val="32"/>
    </w:rPr>
  </w:style>
  <w:style w:type="character" w:customStyle="1" w:styleId="16">
    <w:name w:val="页眉 Char"/>
    <w:basedOn w:val="7"/>
    <w:link w:val="5"/>
    <w:semiHidden/>
    <w:uiPriority w:val="99"/>
    <w:rPr>
      <w:rFonts w:ascii="Times New Roman" w:hAnsi="Times New Roman" w:eastAsia="宋体" w:cs="Times New Roman"/>
      <w:sz w:val="18"/>
      <w:szCs w:val="18"/>
    </w:rPr>
  </w:style>
  <w:style w:type="character" w:customStyle="1" w:styleId="17">
    <w:name w:val="页脚 Char"/>
    <w:basedOn w:val="7"/>
    <w:link w:val="4"/>
    <w:semiHidden/>
    <w:uiPriority w:val="99"/>
    <w:rPr>
      <w:rFonts w:ascii="Times New Roman" w:hAnsi="Times New Roman" w:eastAsia="宋体" w:cs="Times New Roman"/>
      <w:sz w:val="18"/>
      <w:szCs w:val="18"/>
    </w:rPr>
  </w:style>
</w:styles>
</file>

<file path=word/_rels/document.xml.rels><?xml version="1.0" encoding="UTF-8" standalone="no"?><Relationships xmlns="http://schemas.openxmlformats.org/package/2006/relationships"><Relationship Id="rId1" Target="fontTable.xml" Type="http://schemas.openxmlformats.org/officeDocument/2006/relationships/fontTable"/><Relationship Id="rId2" Target="styles.xml" Type="http://schemas.openxmlformats.org/officeDocument/2006/relationships/styles"/><Relationship Id="rId3" Target="settings.xml" Type="http://schemas.openxmlformats.org/officeDocument/2006/relationships/settings"/><Relationship Id="rId4" Target="theme/theme1.xml" Type="http://schemas.openxmlformats.org/officeDocument/2006/relationships/theme"/><Relationship Id="rId5" Target="../customXml/item1.xml" Type="http://schemas.openxmlformats.org/officeDocument/2006/relationships/custom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5</Pages>
  <Words>334</Words>
  <Characters>1907</Characters>
  <Lines>15</Lines>
  <Paragraphs>4</Paragraphs>
  <ScaleCrop>false</ScaleCrop>
  <LinksUpToDate>false</LinksUpToDate>
  <CharactersWithSpaces>0</CharactersWithSpaces>
  <Application>WPS Office 专业版_9.1.0.4795_{F1E327BC-269C-435d-A152-05C5408002CA}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2022-03-25T08:26:00Z</dcterms:created>
  <dc:creator>杜静花</dc:creator>
  <cp:lastModifiedBy>郝政</cp:lastModifiedBy>
  <cp:lastPrinted>2022-04-26T03:43:00Z</cp:lastPrinted>
  <dcterms:modified xsi:type="dcterms:W3CDTF">2024-09-11T01:30:07Z</dcterms:modified>
  <dc:title>是否同意公开：否</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2052-9.1.0.4795</vt:lpwstr>
  </property>
</Properties>
</file>