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bookmarkStart w:id="17" w:name="_GoBack"/>
      <w:bookmarkEnd w:id="17"/>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7</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1</w:t>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eastAsia"/>
          <w:lang w:val="en-US" w:eastAsia="zh-CN"/>
        </w:rPr>
        <w:t>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eastAsia"/>
          <w:lang w:val="en-US" w:eastAsia="zh-CN"/>
        </w:rPr>
        <w:t>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w:t>
      </w:r>
      <w:r>
        <w:rPr>
          <w:rFonts w:hint="eastAsia"/>
          <w:lang w:val="en-US" w:eastAsia="zh-CN"/>
        </w:rPr>
        <w:t>9</w:t>
      </w:r>
      <w:r>
        <w:fldChar w:fldCharType="end"/>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rPr>
          <w:rFonts w:hint="eastAsia"/>
          <w:lang w:val="en-US" w:eastAsia="zh-CN"/>
        </w:rPr>
        <w:t>2</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7</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7</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7</w:t>
      </w:r>
      <w:r>
        <w:fldChar w:fldCharType="end"/>
      </w:r>
      <w:r>
        <w:rPr>
          <w:rFonts w:hint="eastAsia"/>
          <w:lang w:val="en-US" w:eastAsia="zh-CN"/>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137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0"/>
        <w:gridCol w:w="3660"/>
        <w:gridCol w:w="2280"/>
        <w:gridCol w:w="4305"/>
        <w:gridCol w:w="18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40" w:type="dxa"/>
            <w:gridSpan w:val="2"/>
            <w:tcBorders>
              <w:top w:val="single" w:color="FFFFFF" w:sz="6" w:space="0"/>
              <w:left w:val="single" w:color="FFFFFF" w:sz="6" w:space="0"/>
              <w:right w:val="single" w:color="FFFFFF" w:sz="6" w:space="0"/>
            </w:tcBorders>
            <w:vAlign w:val="center"/>
          </w:tcPr>
          <w:p>
            <w:pPr>
              <w:pStyle w:val="13"/>
            </w:pPr>
            <w:r>
              <w:t>501邢台市工业和信息化局</w:t>
            </w:r>
          </w:p>
        </w:tc>
        <w:tc>
          <w:tcPr>
            <w:tcW w:w="2280"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615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6" w:hRule="atLeast"/>
          <w:tblHeader/>
          <w:jc w:val="center"/>
        </w:trPr>
        <w:tc>
          <w:tcPr>
            <w:tcW w:w="1680" w:type="dxa"/>
            <w:vMerge w:val="restart"/>
            <w:vAlign w:val="center"/>
          </w:tcPr>
          <w:p>
            <w:pPr>
              <w:pStyle w:val="14"/>
            </w:pPr>
            <w:r>
              <w:t>序号</w:t>
            </w:r>
          </w:p>
        </w:tc>
        <w:tc>
          <w:tcPr>
            <w:tcW w:w="5940" w:type="dxa"/>
            <w:gridSpan w:val="2"/>
            <w:vAlign w:val="center"/>
          </w:tcPr>
          <w:p>
            <w:pPr>
              <w:pStyle w:val="14"/>
            </w:pPr>
            <w:r>
              <w:t>收入</w:t>
            </w:r>
          </w:p>
        </w:tc>
        <w:tc>
          <w:tcPr>
            <w:tcW w:w="615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0" w:type="dxa"/>
            <w:vMerge w:val="continue"/>
          </w:tcPr>
          <w:p/>
        </w:tc>
        <w:tc>
          <w:tcPr>
            <w:tcW w:w="3660" w:type="dxa"/>
            <w:vAlign w:val="center"/>
          </w:tcPr>
          <w:p>
            <w:pPr>
              <w:pStyle w:val="14"/>
            </w:pPr>
            <w:r>
              <w:t>项  目</w:t>
            </w:r>
          </w:p>
        </w:tc>
        <w:tc>
          <w:tcPr>
            <w:tcW w:w="2280" w:type="dxa"/>
            <w:vAlign w:val="center"/>
          </w:tcPr>
          <w:p>
            <w:pPr>
              <w:pStyle w:val="14"/>
            </w:pPr>
            <w:r>
              <w:t>预算数</w:t>
            </w:r>
          </w:p>
        </w:tc>
        <w:tc>
          <w:tcPr>
            <w:tcW w:w="4305" w:type="dxa"/>
            <w:vAlign w:val="center"/>
          </w:tcPr>
          <w:p>
            <w:pPr>
              <w:pStyle w:val="14"/>
            </w:pPr>
            <w:r>
              <w:t>项  目</w:t>
            </w:r>
          </w:p>
        </w:tc>
        <w:tc>
          <w:tcPr>
            <w:tcW w:w="184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0" w:type="dxa"/>
            <w:vAlign w:val="center"/>
          </w:tcPr>
          <w:p>
            <w:pPr>
              <w:pStyle w:val="14"/>
            </w:pPr>
            <w:r>
              <w:t>栏次</w:t>
            </w:r>
          </w:p>
        </w:tc>
        <w:tc>
          <w:tcPr>
            <w:tcW w:w="3660" w:type="dxa"/>
            <w:vAlign w:val="center"/>
          </w:tcPr>
          <w:p>
            <w:pPr>
              <w:pStyle w:val="14"/>
            </w:pPr>
            <w:r>
              <w:t>1</w:t>
            </w:r>
          </w:p>
        </w:tc>
        <w:tc>
          <w:tcPr>
            <w:tcW w:w="2280" w:type="dxa"/>
            <w:vAlign w:val="center"/>
          </w:tcPr>
          <w:p>
            <w:pPr>
              <w:pStyle w:val="14"/>
            </w:pPr>
            <w:r>
              <w:t>2</w:t>
            </w:r>
          </w:p>
        </w:tc>
        <w:tc>
          <w:tcPr>
            <w:tcW w:w="4305" w:type="dxa"/>
            <w:vAlign w:val="center"/>
          </w:tcPr>
          <w:p>
            <w:pPr>
              <w:pStyle w:val="14"/>
            </w:pPr>
            <w:r>
              <w:t>3</w:t>
            </w:r>
          </w:p>
        </w:tc>
        <w:tc>
          <w:tcPr>
            <w:tcW w:w="184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w:t>
            </w:r>
          </w:p>
        </w:tc>
        <w:tc>
          <w:tcPr>
            <w:tcW w:w="3660" w:type="dxa"/>
            <w:vAlign w:val="center"/>
          </w:tcPr>
          <w:p>
            <w:pPr>
              <w:pStyle w:val="16"/>
            </w:pPr>
            <w:r>
              <w:t>一、一般公共预算拨款收入</w:t>
            </w:r>
          </w:p>
        </w:tc>
        <w:tc>
          <w:tcPr>
            <w:tcW w:w="2280" w:type="dxa"/>
            <w:vAlign w:val="center"/>
          </w:tcPr>
          <w:p>
            <w:pPr>
              <w:pStyle w:val="15"/>
              <w:rPr>
                <w:rFonts w:hint="default" w:eastAsia="方正书宋_GBK"/>
                <w:lang w:val="en-US" w:eastAsia="zh-CN"/>
              </w:rPr>
            </w:pPr>
            <w:r>
              <w:rPr>
                <w:rFonts w:hint="eastAsia"/>
                <w:lang w:val="en-US" w:eastAsia="zh-CN"/>
              </w:rPr>
              <w:t>1152.8</w:t>
            </w:r>
          </w:p>
        </w:tc>
        <w:tc>
          <w:tcPr>
            <w:tcW w:w="4305" w:type="dxa"/>
            <w:vAlign w:val="center"/>
          </w:tcPr>
          <w:p>
            <w:pPr>
              <w:pStyle w:val="16"/>
            </w:pPr>
            <w:r>
              <w:t>一、一般公共服务支出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w:t>
            </w:r>
          </w:p>
        </w:tc>
        <w:tc>
          <w:tcPr>
            <w:tcW w:w="3660" w:type="dxa"/>
            <w:vAlign w:val="center"/>
          </w:tcPr>
          <w:p>
            <w:pPr>
              <w:pStyle w:val="16"/>
            </w:pPr>
            <w:r>
              <w:t>二、政府性基金预算拨款收入</w:t>
            </w:r>
          </w:p>
        </w:tc>
        <w:tc>
          <w:tcPr>
            <w:tcW w:w="2280" w:type="dxa"/>
            <w:vAlign w:val="center"/>
          </w:tcPr>
          <w:p>
            <w:pPr>
              <w:pStyle w:val="15"/>
            </w:pPr>
          </w:p>
        </w:tc>
        <w:tc>
          <w:tcPr>
            <w:tcW w:w="4305" w:type="dxa"/>
            <w:vAlign w:val="center"/>
          </w:tcPr>
          <w:p>
            <w:pPr>
              <w:pStyle w:val="16"/>
            </w:pPr>
            <w:r>
              <w:t>二、外交支出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w:t>
            </w:r>
          </w:p>
        </w:tc>
        <w:tc>
          <w:tcPr>
            <w:tcW w:w="3660" w:type="dxa"/>
            <w:vAlign w:val="center"/>
          </w:tcPr>
          <w:p>
            <w:pPr>
              <w:pStyle w:val="16"/>
            </w:pPr>
            <w:r>
              <w:t>三、国有资本经营预算拨款收入</w:t>
            </w:r>
          </w:p>
        </w:tc>
        <w:tc>
          <w:tcPr>
            <w:tcW w:w="2280" w:type="dxa"/>
            <w:vAlign w:val="center"/>
          </w:tcPr>
          <w:p>
            <w:pPr>
              <w:pStyle w:val="15"/>
            </w:pPr>
          </w:p>
        </w:tc>
        <w:tc>
          <w:tcPr>
            <w:tcW w:w="4305" w:type="dxa"/>
            <w:vAlign w:val="center"/>
          </w:tcPr>
          <w:p>
            <w:pPr>
              <w:pStyle w:val="16"/>
            </w:pPr>
            <w:r>
              <w:t>三、国防支出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4</w:t>
            </w:r>
          </w:p>
        </w:tc>
        <w:tc>
          <w:tcPr>
            <w:tcW w:w="3660" w:type="dxa"/>
            <w:vAlign w:val="center"/>
          </w:tcPr>
          <w:p>
            <w:pPr>
              <w:pStyle w:val="16"/>
            </w:pPr>
            <w:r>
              <w:t>四、财政专户管理资金收入</w:t>
            </w:r>
          </w:p>
        </w:tc>
        <w:tc>
          <w:tcPr>
            <w:tcW w:w="2280" w:type="dxa"/>
            <w:vAlign w:val="center"/>
          </w:tcPr>
          <w:p>
            <w:pPr>
              <w:pStyle w:val="15"/>
            </w:pPr>
          </w:p>
        </w:tc>
        <w:tc>
          <w:tcPr>
            <w:tcW w:w="4305" w:type="dxa"/>
            <w:vAlign w:val="center"/>
          </w:tcPr>
          <w:p>
            <w:pPr>
              <w:pStyle w:val="16"/>
            </w:pPr>
            <w:r>
              <w:t>四、公共安全支出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80" w:type="dxa"/>
            <w:vAlign w:val="center"/>
          </w:tcPr>
          <w:p>
            <w:pPr>
              <w:pStyle w:val="17"/>
            </w:pPr>
            <w:r>
              <w:t>5</w:t>
            </w:r>
          </w:p>
        </w:tc>
        <w:tc>
          <w:tcPr>
            <w:tcW w:w="3660" w:type="dxa"/>
            <w:vAlign w:val="center"/>
          </w:tcPr>
          <w:p>
            <w:pPr>
              <w:pStyle w:val="16"/>
            </w:pPr>
            <w:r>
              <w:t>五、事业收入</w:t>
            </w:r>
          </w:p>
        </w:tc>
        <w:tc>
          <w:tcPr>
            <w:tcW w:w="2280" w:type="dxa"/>
            <w:vAlign w:val="center"/>
          </w:tcPr>
          <w:p>
            <w:pPr>
              <w:pStyle w:val="15"/>
            </w:pPr>
          </w:p>
        </w:tc>
        <w:tc>
          <w:tcPr>
            <w:tcW w:w="4305" w:type="dxa"/>
            <w:vAlign w:val="center"/>
          </w:tcPr>
          <w:p>
            <w:pPr>
              <w:pStyle w:val="16"/>
            </w:pPr>
            <w:r>
              <w:t>五、教育支出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6</w:t>
            </w:r>
          </w:p>
        </w:tc>
        <w:tc>
          <w:tcPr>
            <w:tcW w:w="3660" w:type="dxa"/>
            <w:vAlign w:val="center"/>
          </w:tcPr>
          <w:p>
            <w:pPr>
              <w:pStyle w:val="16"/>
            </w:pPr>
            <w:r>
              <w:t>六、事业单位经营收入</w:t>
            </w:r>
          </w:p>
        </w:tc>
        <w:tc>
          <w:tcPr>
            <w:tcW w:w="2280" w:type="dxa"/>
            <w:vAlign w:val="center"/>
          </w:tcPr>
          <w:p>
            <w:pPr>
              <w:pStyle w:val="15"/>
            </w:pPr>
          </w:p>
        </w:tc>
        <w:tc>
          <w:tcPr>
            <w:tcW w:w="4305" w:type="dxa"/>
            <w:vAlign w:val="center"/>
          </w:tcPr>
          <w:p>
            <w:pPr>
              <w:pStyle w:val="16"/>
            </w:pPr>
            <w:r>
              <w:t>六、科学技术支出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7</w:t>
            </w:r>
          </w:p>
        </w:tc>
        <w:tc>
          <w:tcPr>
            <w:tcW w:w="3660" w:type="dxa"/>
            <w:vAlign w:val="center"/>
          </w:tcPr>
          <w:p>
            <w:pPr>
              <w:pStyle w:val="16"/>
            </w:pPr>
            <w:r>
              <w:t>七、上级补助收入</w:t>
            </w:r>
          </w:p>
        </w:tc>
        <w:tc>
          <w:tcPr>
            <w:tcW w:w="2280" w:type="dxa"/>
            <w:vAlign w:val="center"/>
          </w:tcPr>
          <w:p>
            <w:pPr>
              <w:pStyle w:val="15"/>
            </w:pPr>
          </w:p>
        </w:tc>
        <w:tc>
          <w:tcPr>
            <w:tcW w:w="4305" w:type="dxa"/>
            <w:vAlign w:val="center"/>
          </w:tcPr>
          <w:p>
            <w:pPr>
              <w:pStyle w:val="16"/>
            </w:pPr>
            <w:r>
              <w:t>七、文化旅游体育与传媒支出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8</w:t>
            </w:r>
          </w:p>
        </w:tc>
        <w:tc>
          <w:tcPr>
            <w:tcW w:w="3660" w:type="dxa"/>
            <w:vAlign w:val="center"/>
          </w:tcPr>
          <w:p>
            <w:pPr>
              <w:pStyle w:val="16"/>
            </w:pPr>
            <w:r>
              <w:t>八、附属单位上缴收入</w:t>
            </w:r>
          </w:p>
        </w:tc>
        <w:tc>
          <w:tcPr>
            <w:tcW w:w="2280" w:type="dxa"/>
            <w:vAlign w:val="center"/>
          </w:tcPr>
          <w:p>
            <w:pPr>
              <w:pStyle w:val="15"/>
            </w:pPr>
          </w:p>
        </w:tc>
        <w:tc>
          <w:tcPr>
            <w:tcW w:w="4305" w:type="dxa"/>
            <w:vAlign w:val="center"/>
          </w:tcPr>
          <w:p>
            <w:pPr>
              <w:pStyle w:val="16"/>
            </w:pPr>
            <w:r>
              <w:t>八、社会保障和就业支出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9</w:t>
            </w:r>
          </w:p>
        </w:tc>
        <w:tc>
          <w:tcPr>
            <w:tcW w:w="3660" w:type="dxa"/>
            <w:vAlign w:val="center"/>
          </w:tcPr>
          <w:p>
            <w:pPr>
              <w:pStyle w:val="16"/>
            </w:pPr>
            <w:r>
              <w:t>九、其他收入</w:t>
            </w:r>
          </w:p>
        </w:tc>
        <w:tc>
          <w:tcPr>
            <w:tcW w:w="2280" w:type="dxa"/>
            <w:vAlign w:val="center"/>
          </w:tcPr>
          <w:p>
            <w:pPr>
              <w:pStyle w:val="15"/>
            </w:pPr>
          </w:p>
        </w:tc>
        <w:tc>
          <w:tcPr>
            <w:tcW w:w="4305" w:type="dxa"/>
            <w:vAlign w:val="center"/>
          </w:tcPr>
          <w:p>
            <w:pPr>
              <w:pStyle w:val="16"/>
            </w:pPr>
            <w:r>
              <w:t>九、社会保险基金支出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10</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十、卫生健康支出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11</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十一、节能环保支出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12</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十二、城乡社区支出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13</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十三、农林水支出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14</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十四、交通运输支出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15</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十五、资源勘探工业信息等支出</w:t>
            </w:r>
          </w:p>
        </w:tc>
        <w:tc>
          <w:tcPr>
            <w:tcW w:w="1846" w:type="dxa"/>
            <w:vAlign w:val="center"/>
          </w:tcPr>
          <w:p>
            <w:pPr>
              <w:pStyle w:val="15"/>
              <w:rPr>
                <w:rFonts w:hint="default" w:eastAsia="方正书宋_GBK"/>
                <w:lang w:val="en-US" w:eastAsia="zh-CN"/>
              </w:rPr>
            </w:pPr>
            <w:r>
              <w:rPr>
                <w:rFonts w:hint="eastAsia"/>
                <w:lang w:val="en-US" w:eastAsia="zh-CN"/>
              </w:rPr>
              <w:t>1195.5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16</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十六、商业服务业等支出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17</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十七、金融支出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18</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十八、援助其他地区支出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19</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十九、自然资源海洋气象等支出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20</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二十、住房保障支出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21</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二十一、粮油物资储备支出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22</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二十二、国有资本经营预算支出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23</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二十三、灾害防治及应急管理支出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24</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二十四、预备费</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25</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二十五、其他支出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26</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二十六、转移性支出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27</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二十七、债务还本支出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28</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二十八、债务付息支出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29</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二十九、债务发行费用支出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30</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三十、抗疫特别国债安排的支出</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31</w:t>
            </w:r>
          </w:p>
        </w:tc>
        <w:tc>
          <w:tcPr>
            <w:tcW w:w="3660" w:type="dxa"/>
            <w:vAlign w:val="center"/>
          </w:tcPr>
          <w:p>
            <w:pPr>
              <w:pStyle w:val="16"/>
            </w:pPr>
          </w:p>
        </w:tc>
        <w:tc>
          <w:tcPr>
            <w:tcW w:w="2280" w:type="dxa"/>
            <w:vAlign w:val="center"/>
          </w:tcPr>
          <w:p>
            <w:pPr>
              <w:pStyle w:val="15"/>
            </w:pPr>
          </w:p>
        </w:tc>
        <w:tc>
          <w:tcPr>
            <w:tcW w:w="4305" w:type="dxa"/>
            <w:vAlign w:val="center"/>
          </w:tcPr>
          <w:p>
            <w:pPr>
              <w:pStyle w:val="16"/>
            </w:pPr>
            <w:r>
              <w:t>三十一、人行专用科目</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32</w:t>
            </w:r>
          </w:p>
        </w:tc>
        <w:tc>
          <w:tcPr>
            <w:tcW w:w="3660" w:type="dxa"/>
            <w:vAlign w:val="center"/>
          </w:tcPr>
          <w:p>
            <w:pPr>
              <w:pStyle w:val="18"/>
            </w:pPr>
            <w:r>
              <w:t>本年收入合计</w:t>
            </w:r>
          </w:p>
        </w:tc>
        <w:tc>
          <w:tcPr>
            <w:tcW w:w="2280" w:type="dxa"/>
            <w:vAlign w:val="center"/>
          </w:tcPr>
          <w:p>
            <w:pPr>
              <w:pStyle w:val="19"/>
              <w:rPr>
                <w:rFonts w:hint="default" w:eastAsia="方正书宋_GBK"/>
                <w:lang w:val="en-US" w:eastAsia="zh-CN"/>
              </w:rPr>
            </w:pPr>
            <w:r>
              <w:rPr>
                <w:rFonts w:hint="eastAsia"/>
                <w:lang w:val="en-US" w:eastAsia="zh-CN"/>
              </w:rPr>
              <w:t>1152.8</w:t>
            </w:r>
          </w:p>
        </w:tc>
        <w:tc>
          <w:tcPr>
            <w:tcW w:w="4305" w:type="dxa"/>
            <w:vAlign w:val="center"/>
          </w:tcPr>
          <w:p>
            <w:pPr>
              <w:pStyle w:val="18"/>
            </w:pPr>
            <w:r>
              <w:t>本年支出合计</w:t>
            </w:r>
          </w:p>
        </w:tc>
        <w:tc>
          <w:tcPr>
            <w:tcW w:w="1846" w:type="dxa"/>
            <w:vAlign w:val="center"/>
          </w:tcPr>
          <w:p>
            <w:pPr>
              <w:pStyle w:val="19"/>
              <w:rPr>
                <w:rFonts w:hint="default" w:eastAsia="方正书宋_GBK"/>
                <w:lang w:val="en-US" w:eastAsia="zh-CN"/>
              </w:rPr>
            </w:pPr>
            <w:r>
              <w:rPr>
                <w:rFonts w:hint="eastAsia"/>
                <w:lang w:val="en-US" w:eastAsia="zh-CN"/>
              </w:rPr>
              <w:t>1195.5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33</w:t>
            </w:r>
          </w:p>
        </w:tc>
        <w:tc>
          <w:tcPr>
            <w:tcW w:w="3660" w:type="dxa"/>
            <w:vAlign w:val="center"/>
          </w:tcPr>
          <w:p>
            <w:pPr>
              <w:pStyle w:val="16"/>
            </w:pPr>
            <w:r>
              <w:t>上年结转结余</w:t>
            </w:r>
          </w:p>
        </w:tc>
        <w:tc>
          <w:tcPr>
            <w:tcW w:w="2280" w:type="dxa"/>
            <w:vAlign w:val="center"/>
          </w:tcPr>
          <w:p>
            <w:pPr>
              <w:pStyle w:val="15"/>
              <w:rPr>
                <w:rFonts w:hint="default" w:eastAsia="方正书宋_GBK"/>
                <w:lang w:val="en-US" w:eastAsia="zh-CN"/>
              </w:rPr>
            </w:pPr>
            <w:r>
              <w:rPr>
                <w:rFonts w:hint="eastAsia"/>
                <w:lang w:val="en-US" w:eastAsia="zh-CN"/>
              </w:rPr>
              <w:t>42.7</w:t>
            </w:r>
          </w:p>
        </w:tc>
        <w:tc>
          <w:tcPr>
            <w:tcW w:w="4305" w:type="dxa"/>
            <w:vAlign w:val="center"/>
          </w:tcPr>
          <w:p>
            <w:pPr>
              <w:pStyle w:val="16"/>
            </w:pPr>
            <w:r>
              <w:t>年终结转结余</w:t>
            </w:r>
          </w:p>
        </w:tc>
        <w:tc>
          <w:tcPr>
            <w:tcW w:w="184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0" w:type="dxa"/>
            <w:vAlign w:val="center"/>
          </w:tcPr>
          <w:p>
            <w:pPr>
              <w:pStyle w:val="17"/>
            </w:pPr>
            <w:r>
              <w:t>34</w:t>
            </w:r>
          </w:p>
        </w:tc>
        <w:tc>
          <w:tcPr>
            <w:tcW w:w="3660" w:type="dxa"/>
            <w:vAlign w:val="center"/>
          </w:tcPr>
          <w:p>
            <w:pPr>
              <w:pStyle w:val="18"/>
            </w:pPr>
            <w:r>
              <w:t>收入总计</w:t>
            </w:r>
          </w:p>
        </w:tc>
        <w:tc>
          <w:tcPr>
            <w:tcW w:w="2280" w:type="dxa"/>
            <w:vAlign w:val="center"/>
          </w:tcPr>
          <w:p>
            <w:pPr>
              <w:pStyle w:val="19"/>
              <w:rPr>
                <w:rFonts w:hint="default" w:eastAsia="方正书宋_GBK"/>
                <w:lang w:val="en-US" w:eastAsia="zh-CN"/>
              </w:rPr>
            </w:pPr>
            <w:r>
              <w:rPr>
                <w:rFonts w:hint="eastAsia"/>
                <w:lang w:val="en-US" w:eastAsia="zh-CN"/>
              </w:rPr>
              <w:t>1195.5</w:t>
            </w:r>
          </w:p>
        </w:tc>
        <w:tc>
          <w:tcPr>
            <w:tcW w:w="4305" w:type="dxa"/>
            <w:vAlign w:val="center"/>
          </w:tcPr>
          <w:p>
            <w:pPr>
              <w:pStyle w:val="18"/>
            </w:pPr>
            <w:r>
              <w:t>支出总计</w:t>
            </w:r>
          </w:p>
        </w:tc>
        <w:tc>
          <w:tcPr>
            <w:tcW w:w="1846" w:type="dxa"/>
            <w:vAlign w:val="center"/>
          </w:tcPr>
          <w:p>
            <w:pPr>
              <w:pStyle w:val="19"/>
              <w:rPr>
                <w:rFonts w:hint="default" w:eastAsia="方正书宋_GBK"/>
                <w:lang w:val="en-US" w:eastAsia="zh-CN"/>
              </w:rPr>
            </w:pPr>
            <w:r>
              <w:rPr>
                <w:rFonts w:hint="eastAsia"/>
                <w:lang w:val="en-US" w:eastAsia="zh-CN"/>
              </w:rPr>
              <w:t>1195.5</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14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70"/>
        <w:gridCol w:w="1176"/>
        <w:gridCol w:w="2964"/>
        <w:gridCol w:w="1212"/>
        <w:gridCol w:w="1116"/>
        <w:gridCol w:w="1128"/>
        <w:gridCol w:w="900"/>
        <w:gridCol w:w="768"/>
        <w:gridCol w:w="650"/>
        <w:gridCol w:w="816"/>
        <w:gridCol w:w="807"/>
        <w:gridCol w:w="573"/>
        <w:gridCol w:w="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8" w:type="dxa"/>
            <w:gridSpan w:val="5"/>
            <w:tcBorders>
              <w:top w:val="single" w:color="FFFFFF" w:sz="6" w:space="0"/>
              <w:left w:val="single" w:color="FFFFFF" w:sz="6" w:space="0"/>
              <w:right w:val="single" w:color="FFFFFF" w:sz="6" w:space="0"/>
            </w:tcBorders>
            <w:vAlign w:val="center"/>
          </w:tcPr>
          <w:p>
            <w:pPr>
              <w:pStyle w:val="13"/>
            </w:pPr>
            <w:r>
              <w:t>501邢台市工业和信息化局</w:t>
            </w:r>
          </w:p>
        </w:tc>
        <w:tc>
          <w:tcPr>
            <w:tcW w:w="2796" w:type="dxa"/>
            <w:gridSpan w:val="3"/>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378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restart"/>
            <w:vAlign w:val="center"/>
          </w:tcPr>
          <w:p>
            <w:pPr>
              <w:pStyle w:val="14"/>
            </w:pPr>
            <w:r>
              <w:t>序号</w:t>
            </w:r>
          </w:p>
        </w:tc>
        <w:tc>
          <w:tcPr>
            <w:tcW w:w="4140" w:type="dxa"/>
            <w:gridSpan w:val="2"/>
            <w:vAlign w:val="center"/>
          </w:tcPr>
          <w:p>
            <w:pPr>
              <w:pStyle w:val="14"/>
            </w:pPr>
            <w:r>
              <w:t>功能分类科目</w:t>
            </w:r>
          </w:p>
        </w:tc>
        <w:tc>
          <w:tcPr>
            <w:tcW w:w="1212" w:type="dxa"/>
            <w:vMerge w:val="restart"/>
            <w:vAlign w:val="center"/>
          </w:tcPr>
          <w:p>
            <w:pPr>
              <w:pStyle w:val="14"/>
            </w:pPr>
            <w:r>
              <w:t>合计</w:t>
            </w:r>
          </w:p>
        </w:tc>
        <w:tc>
          <w:tcPr>
            <w:tcW w:w="6758" w:type="dxa"/>
            <w:gridSpan w:val="8"/>
            <w:vAlign w:val="center"/>
          </w:tcPr>
          <w:p>
            <w:pPr>
              <w:pStyle w:val="14"/>
            </w:pPr>
            <w:r>
              <w:t>本年收入</w:t>
            </w:r>
          </w:p>
        </w:tc>
        <w:tc>
          <w:tcPr>
            <w:tcW w:w="943"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Merge w:val="continue"/>
          </w:tcPr>
          <w:p/>
        </w:tc>
        <w:tc>
          <w:tcPr>
            <w:tcW w:w="1176" w:type="dxa"/>
            <w:vAlign w:val="center"/>
          </w:tcPr>
          <w:p>
            <w:pPr>
              <w:pStyle w:val="14"/>
              <w:rPr>
                <w:rFonts w:hint="eastAsia"/>
                <w:lang w:val="en-US" w:eastAsia="zh-CN"/>
              </w:rPr>
            </w:pPr>
            <w:r>
              <w:t>科目</w:t>
            </w:r>
            <w:r>
              <w:rPr>
                <w:rFonts w:hint="eastAsia"/>
                <w:lang w:val="en-US" w:eastAsia="zh-CN"/>
              </w:rPr>
              <w:t xml:space="preserve"> </w:t>
            </w:r>
          </w:p>
          <w:p>
            <w:pPr>
              <w:pStyle w:val="14"/>
            </w:pPr>
            <w:r>
              <w:t>编码</w:t>
            </w:r>
          </w:p>
        </w:tc>
        <w:tc>
          <w:tcPr>
            <w:tcW w:w="2964" w:type="dxa"/>
            <w:vAlign w:val="center"/>
          </w:tcPr>
          <w:p>
            <w:pPr>
              <w:pStyle w:val="14"/>
            </w:pPr>
            <w:r>
              <w:t>科目名称</w:t>
            </w:r>
          </w:p>
        </w:tc>
        <w:tc>
          <w:tcPr>
            <w:tcW w:w="1212" w:type="dxa"/>
            <w:vMerge w:val="continue"/>
          </w:tcPr>
          <w:p/>
        </w:tc>
        <w:tc>
          <w:tcPr>
            <w:tcW w:w="1116" w:type="dxa"/>
            <w:vAlign w:val="center"/>
          </w:tcPr>
          <w:p>
            <w:pPr>
              <w:pStyle w:val="14"/>
            </w:pPr>
            <w:r>
              <w:t>小计</w:t>
            </w:r>
          </w:p>
        </w:tc>
        <w:tc>
          <w:tcPr>
            <w:tcW w:w="1128" w:type="dxa"/>
            <w:vAlign w:val="center"/>
          </w:tcPr>
          <w:p>
            <w:pPr>
              <w:pStyle w:val="14"/>
            </w:pPr>
            <w:r>
              <w:t>财政拨款 收入</w:t>
            </w:r>
          </w:p>
        </w:tc>
        <w:tc>
          <w:tcPr>
            <w:tcW w:w="900" w:type="dxa"/>
            <w:vAlign w:val="center"/>
          </w:tcPr>
          <w:p>
            <w:pPr>
              <w:pStyle w:val="14"/>
            </w:pPr>
            <w:r>
              <w:t>财政专户 收入</w:t>
            </w:r>
          </w:p>
        </w:tc>
        <w:tc>
          <w:tcPr>
            <w:tcW w:w="768" w:type="dxa"/>
            <w:vAlign w:val="center"/>
          </w:tcPr>
          <w:p>
            <w:pPr>
              <w:pStyle w:val="14"/>
            </w:pPr>
            <w:r>
              <w:t>事业收入</w:t>
            </w:r>
          </w:p>
        </w:tc>
        <w:tc>
          <w:tcPr>
            <w:tcW w:w="650" w:type="dxa"/>
            <w:vAlign w:val="center"/>
          </w:tcPr>
          <w:p>
            <w:pPr>
              <w:pStyle w:val="14"/>
            </w:pPr>
            <w:r>
              <w:t>经营收入</w:t>
            </w:r>
          </w:p>
        </w:tc>
        <w:tc>
          <w:tcPr>
            <w:tcW w:w="816" w:type="dxa"/>
            <w:vAlign w:val="center"/>
          </w:tcPr>
          <w:p>
            <w:pPr>
              <w:pStyle w:val="14"/>
            </w:pPr>
            <w:r>
              <w:t>上级补助收入</w:t>
            </w:r>
          </w:p>
        </w:tc>
        <w:tc>
          <w:tcPr>
            <w:tcW w:w="807" w:type="dxa"/>
            <w:vAlign w:val="center"/>
          </w:tcPr>
          <w:p>
            <w:pPr>
              <w:pStyle w:val="14"/>
            </w:pPr>
            <w:r>
              <w:t>附属单位上缴收入</w:t>
            </w:r>
          </w:p>
        </w:tc>
        <w:tc>
          <w:tcPr>
            <w:tcW w:w="573" w:type="dxa"/>
            <w:vAlign w:val="center"/>
          </w:tcPr>
          <w:p>
            <w:pPr>
              <w:pStyle w:val="14"/>
            </w:pPr>
            <w:r>
              <w:t>其他收入</w:t>
            </w:r>
          </w:p>
        </w:tc>
        <w:tc>
          <w:tcPr>
            <w:tcW w:w="9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70" w:type="dxa"/>
            <w:vAlign w:val="center"/>
          </w:tcPr>
          <w:p>
            <w:pPr>
              <w:pStyle w:val="14"/>
            </w:pPr>
            <w:r>
              <w:t>栏次</w:t>
            </w:r>
          </w:p>
        </w:tc>
        <w:tc>
          <w:tcPr>
            <w:tcW w:w="1176" w:type="dxa"/>
            <w:vAlign w:val="center"/>
          </w:tcPr>
          <w:p>
            <w:pPr>
              <w:pStyle w:val="14"/>
            </w:pPr>
            <w:r>
              <w:t>1</w:t>
            </w:r>
          </w:p>
        </w:tc>
        <w:tc>
          <w:tcPr>
            <w:tcW w:w="2964" w:type="dxa"/>
            <w:vAlign w:val="center"/>
          </w:tcPr>
          <w:p>
            <w:pPr>
              <w:pStyle w:val="14"/>
            </w:pPr>
            <w:r>
              <w:t>2</w:t>
            </w:r>
          </w:p>
        </w:tc>
        <w:tc>
          <w:tcPr>
            <w:tcW w:w="1212" w:type="dxa"/>
            <w:vAlign w:val="center"/>
          </w:tcPr>
          <w:p>
            <w:pPr>
              <w:pStyle w:val="14"/>
            </w:pPr>
            <w:r>
              <w:t>3</w:t>
            </w:r>
          </w:p>
        </w:tc>
        <w:tc>
          <w:tcPr>
            <w:tcW w:w="1116" w:type="dxa"/>
            <w:vAlign w:val="center"/>
          </w:tcPr>
          <w:p>
            <w:pPr>
              <w:pStyle w:val="14"/>
            </w:pPr>
            <w:r>
              <w:t>4</w:t>
            </w:r>
          </w:p>
        </w:tc>
        <w:tc>
          <w:tcPr>
            <w:tcW w:w="1128" w:type="dxa"/>
            <w:vAlign w:val="center"/>
          </w:tcPr>
          <w:p>
            <w:pPr>
              <w:pStyle w:val="14"/>
            </w:pPr>
            <w:r>
              <w:t>5</w:t>
            </w:r>
          </w:p>
        </w:tc>
        <w:tc>
          <w:tcPr>
            <w:tcW w:w="900" w:type="dxa"/>
            <w:vAlign w:val="center"/>
          </w:tcPr>
          <w:p>
            <w:pPr>
              <w:pStyle w:val="14"/>
            </w:pPr>
            <w:r>
              <w:t>6</w:t>
            </w:r>
          </w:p>
        </w:tc>
        <w:tc>
          <w:tcPr>
            <w:tcW w:w="768" w:type="dxa"/>
            <w:vAlign w:val="center"/>
          </w:tcPr>
          <w:p>
            <w:pPr>
              <w:pStyle w:val="14"/>
            </w:pPr>
            <w:r>
              <w:t>7</w:t>
            </w:r>
          </w:p>
        </w:tc>
        <w:tc>
          <w:tcPr>
            <w:tcW w:w="650" w:type="dxa"/>
            <w:vAlign w:val="center"/>
          </w:tcPr>
          <w:p>
            <w:pPr>
              <w:pStyle w:val="14"/>
            </w:pPr>
            <w:r>
              <w:t>8</w:t>
            </w:r>
          </w:p>
        </w:tc>
        <w:tc>
          <w:tcPr>
            <w:tcW w:w="816" w:type="dxa"/>
            <w:vAlign w:val="center"/>
          </w:tcPr>
          <w:p>
            <w:pPr>
              <w:pStyle w:val="14"/>
            </w:pPr>
            <w:r>
              <w:t>9</w:t>
            </w:r>
          </w:p>
        </w:tc>
        <w:tc>
          <w:tcPr>
            <w:tcW w:w="807" w:type="dxa"/>
            <w:vAlign w:val="center"/>
          </w:tcPr>
          <w:p>
            <w:pPr>
              <w:pStyle w:val="14"/>
            </w:pPr>
            <w:r>
              <w:t>10</w:t>
            </w:r>
          </w:p>
        </w:tc>
        <w:tc>
          <w:tcPr>
            <w:tcW w:w="573" w:type="dxa"/>
            <w:vAlign w:val="center"/>
          </w:tcPr>
          <w:p>
            <w:pPr>
              <w:pStyle w:val="14"/>
            </w:pPr>
            <w:r>
              <w:t>11</w:t>
            </w:r>
          </w:p>
        </w:tc>
        <w:tc>
          <w:tcPr>
            <w:tcW w:w="943"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1</w:t>
            </w:r>
          </w:p>
        </w:tc>
        <w:tc>
          <w:tcPr>
            <w:tcW w:w="1176" w:type="dxa"/>
            <w:vAlign w:val="center"/>
          </w:tcPr>
          <w:p>
            <w:pPr>
              <w:pStyle w:val="20"/>
            </w:pPr>
          </w:p>
        </w:tc>
        <w:tc>
          <w:tcPr>
            <w:tcW w:w="2964" w:type="dxa"/>
            <w:vAlign w:val="center"/>
          </w:tcPr>
          <w:p>
            <w:pPr>
              <w:pStyle w:val="18"/>
            </w:pPr>
            <w:r>
              <w:t>合计</w:t>
            </w:r>
          </w:p>
        </w:tc>
        <w:tc>
          <w:tcPr>
            <w:tcW w:w="1212" w:type="dxa"/>
            <w:vAlign w:val="center"/>
          </w:tcPr>
          <w:p>
            <w:pPr>
              <w:pStyle w:val="19"/>
              <w:rPr>
                <w:rFonts w:hint="default" w:eastAsia="方正书宋_GBK"/>
                <w:lang w:val="en-US" w:eastAsia="zh-CN"/>
              </w:rPr>
            </w:pPr>
            <w:r>
              <w:rPr>
                <w:rFonts w:hint="eastAsia"/>
                <w:lang w:val="en-US" w:eastAsia="zh-CN"/>
              </w:rPr>
              <w:t>1195.50</w:t>
            </w:r>
          </w:p>
        </w:tc>
        <w:tc>
          <w:tcPr>
            <w:tcW w:w="1116" w:type="dxa"/>
            <w:vAlign w:val="center"/>
          </w:tcPr>
          <w:p>
            <w:pPr>
              <w:pStyle w:val="19"/>
              <w:rPr>
                <w:rFonts w:hint="default" w:eastAsia="方正书宋_GBK"/>
                <w:lang w:val="en-US" w:eastAsia="zh-CN"/>
              </w:rPr>
            </w:pPr>
            <w:r>
              <w:rPr>
                <w:rFonts w:hint="eastAsia"/>
                <w:lang w:val="en-US" w:eastAsia="zh-CN"/>
              </w:rPr>
              <w:t>1152.80</w:t>
            </w:r>
          </w:p>
        </w:tc>
        <w:tc>
          <w:tcPr>
            <w:tcW w:w="1128" w:type="dxa"/>
            <w:vAlign w:val="center"/>
          </w:tcPr>
          <w:p>
            <w:pPr>
              <w:pStyle w:val="19"/>
              <w:ind w:firstLine="0" w:firstLineChars="0"/>
            </w:pPr>
            <w:r>
              <w:rPr>
                <w:rFonts w:hint="eastAsia"/>
                <w:lang w:val="en-US" w:eastAsia="zh-CN"/>
              </w:rPr>
              <w:t>1152.80</w:t>
            </w:r>
          </w:p>
        </w:tc>
        <w:tc>
          <w:tcPr>
            <w:tcW w:w="900" w:type="dxa"/>
            <w:vAlign w:val="center"/>
          </w:tcPr>
          <w:p>
            <w:pPr>
              <w:pStyle w:val="19"/>
            </w:pPr>
          </w:p>
        </w:tc>
        <w:tc>
          <w:tcPr>
            <w:tcW w:w="768" w:type="dxa"/>
            <w:vAlign w:val="center"/>
          </w:tcPr>
          <w:p>
            <w:pPr>
              <w:pStyle w:val="19"/>
            </w:pPr>
          </w:p>
        </w:tc>
        <w:tc>
          <w:tcPr>
            <w:tcW w:w="650" w:type="dxa"/>
            <w:vAlign w:val="center"/>
          </w:tcPr>
          <w:p>
            <w:pPr>
              <w:pStyle w:val="19"/>
            </w:pPr>
          </w:p>
        </w:tc>
        <w:tc>
          <w:tcPr>
            <w:tcW w:w="816" w:type="dxa"/>
            <w:vAlign w:val="center"/>
          </w:tcPr>
          <w:p>
            <w:pPr>
              <w:pStyle w:val="19"/>
            </w:pPr>
          </w:p>
        </w:tc>
        <w:tc>
          <w:tcPr>
            <w:tcW w:w="807" w:type="dxa"/>
            <w:vAlign w:val="center"/>
          </w:tcPr>
          <w:p>
            <w:pPr>
              <w:pStyle w:val="19"/>
            </w:pPr>
          </w:p>
        </w:tc>
        <w:tc>
          <w:tcPr>
            <w:tcW w:w="573" w:type="dxa"/>
            <w:vAlign w:val="center"/>
          </w:tcPr>
          <w:p>
            <w:pPr>
              <w:pStyle w:val="19"/>
            </w:pPr>
          </w:p>
        </w:tc>
        <w:tc>
          <w:tcPr>
            <w:tcW w:w="943" w:type="dxa"/>
            <w:vAlign w:val="center"/>
          </w:tcPr>
          <w:p>
            <w:pPr>
              <w:pStyle w:val="19"/>
              <w:rPr>
                <w:rFonts w:hint="default" w:eastAsia="方正书宋_GBK"/>
                <w:lang w:val="en-US" w:eastAsia="zh-CN"/>
              </w:rPr>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2</w:t>
            </w:r>
          </w:p>
        </w:tc>
        <w:tc>
          <w:tcPr>
            <w:tcW w:w="1176" w:type="dxa"/>
            <w:vAlign w:val="center"/>
          </w:tcPr>
          <w:p>
            <w:pPr>
              <w:pStyle w:val="16"/>
            </w:pPr>
            <w:r>
              <w:t>215</w:t>
            </w:r>
          </w:p>
        </w:tc>
        <w:tc>
          <w:tcPr>
            <w:tcW w:w="2964" w:type="dxa"/>
            <w:vAlign w:val="center"/>
          </w:tcPr>
          <w:p>
            <w:pPr>
              <w:pStyle w:val="16"/>
            </w:pPr>
            <w:r>
              <w:t>资源勘探工业信息等支出</w:t>
            </w:r>
          </w:p>
        </w:tc>
        <w:tc>
          <w:tcPr>
            <w:tcW w:w="1212" w:type="dxa"/>
            <w:vAlign w:val="center"/>
          </w:tcPr>
          <w:p>
            <w:pPr>
              <w:pStyle w:val="15"/>
              <w:rPr>
                <w:rFonts w:hint="default"/>
                <w:lang w:val="en-US" w:eastAsia="zh-CN"/>
              </w:rPr>
            </w:pPr>
            <w:r>
              <w:rPr>
                <w:rFonts w:hint="eastAsia"/>
                <w:lang w:val="en-US" w:eastAsia="zh-CN"/>
              </w:rPr>
              <w:t>1195.5</w:t>
            </w:r>
          </w:p>
        </w:tc>
        <w:tc>
          <w:tcPr>
            <w:tcW w:w="1116" w:type="dxa"/>
            <w:vAlign w:val="center"/>
          </w:tcPr>
          <w:p>
            <w:pPr>
              <w:pStyle w:val="15"/>
              <w:rPr>
                <w:rFonts w:hint="default" w:eastAsia="方正书宋_GBK"/>
                <w:lang w:val="en-US" w:eastAsia="zh-CN"/>
              </w:rPr>
            </w:pPr>
            <w:r>
              <w:rPr>
                <w:rFonts w:hint="eastAsia"/>
                <w:lang w:val="en-US" w:eastAsia="zh-CN"/>
              </w:rPr>
              <w:t>1152.8</w:t>
            </w:r>
          </w:p>
        </w:tc>
        <w:tc>
          <w:tcPr>
            <w:tcW w:w="1128" w:type="dxa"/>
            <w:vAlign w:val="center"/>
          </w:tcPr>
          <w:p>
            <w:pPr>
              <w:pStyle w:val="15"/>
              <w:ind w:firstLine="0" w:firstLineChars="0"/>
            </w:pPr>
            <w:r>
              <w:rPr>
                <w:rFonts w:hint="eastAsia"/>
                <w:lang w:val="en-US" w:eastAsia="zh-CN"/>
              </w:rPr>
              <w:t>1152.8</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rPr>
                <w:rFonts w:hint="default" w:eastAsia="方正书宋_GBK"/>
                <w:lang w:val="en-US" w:eastAsia="zh-CN"/>
              </w:rPr>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3</w:t>
            </w:r>
          </w:p>
        </w:tc>
        <w:tc>
          <w:tcPr>
            <w:tcW w:w="1176" w:type="dxa"/>
            <w:vAlign w:val="center"/>
          </w:tcPr>
          <w:p>
            <w:pPr>
              <w:pStyle w:val="16"/>
            </w:pPr>
            <w:r>
              <w:t>21505</w:t>
            </w:r>
          </w:p>
        </w:tc>
        <w:tc>
          <w:tcPr>
            <w:tcW w:w="2964" w:type="dxa"/>
            <w:vAlign w:val="center"/>
          </w:tcPr>
          <w:p>
            <w:pPr>
              <w:pStyle w:val="16"/>
            </w:pPr>
            <w:r>
              <w:t>工业和信息产业监管</w:t>
            </w:r>
          </w:p>
        </w:tc>
        <w:tc>
          <w:tcPr>
            <w:tcW w:w="1212" w:type="dxa"/>
            <w:vAlign w:val="center"/>
          </w:tcPr>
          <w:p>
            <w:pPr>
              <w:pStyle w:val="15"/>
              <w:rPr>
                <w:rFonts w:hint="default"/>
                <w:lang w:val="en-US" w:eastAsia="zh-CN"/>
              </w:rPr>
            </w:pPr>
            <w:r>
              <w:rPr>
                <w:rFonts w:hint="eastAsia"/>
                <w:lang w:val="en-US" w:eastAsia="zh-CN"/>
              </w:rPr>
              <w:t>1080.81</w:t>
            </w:r>
          </w:p>
        </w:tc>
        <w:tc>
          <w:tcPr>
            <w:tcW w:w="1116" w:type="dxa"/>
            <w:vAlign w:val="center"/>
          </w:tcPr>
          <w:p>
            <w:pPr>
              <w:pStyle w:val="15"/>
              <w:rPr>
                <w:rFonts w:hint="default" w:eastAsia="方正书宋_GBK"/>
                <w:lang w:val="en-US" w:eastAsia="zh-CN"/>
              </w:rPr>
            </w:pPr>
            <w:r>
              <w:rPr>
                <w:rFonts w:hint="eastAsia"/>
                <w:lang w:val="en-US" w:eastAsia="zh-CN"/>
              </w:rPr>
              <w:t>1080.81</w:t>
            </w:r>
          </w:p>
        </w:tc>
        <w:tc>
          <w:tcPr>
            <w:tcW w:w="1128" w:type="dxa"/>
            <w:vAlign w:val="center"/>
          </w:tcPr>
          <w:p>
            <w:pPr>
              <w:pStyle w:val="15"/>
              <w:ind w:firstLine="0" w:firstLineChars="0"/>
            </w:pPr>
            <w:r>
              <w:rPr>
                <w:rFonts w:hint="eastAsia"/>
                <w:lang w:val="en-US" w:eastAsia="zh-CN"/>
              </w:rPr>
              <w:t>1080.81</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4" w:hRule="atLeast"/>
          <w:jc w:val="center"/>
        </w:trPr>
        <w:tc>
          <w:tcPr>
            <w:tcW w:w="970" w:type="dxa"/>
            <w:vAlign w:val="center"/>
          </w:tcPr>
          <w:p>
            <w:pPr>
              <w:pStyle w:val="17"/>
            </w:pPr>
            <w:r>
              <w:t>4</w:t>
            </w:r>
          </w:p>
        </w:tc>
        <w:tc>
          <w:tcPr>
            <w:tcW w:w="1176" w:type="dxa"/>
            <w:vAlign w:val="center"/>
          </w:tcPr>
          <w:p>
            <w:pPr>
              <w:pStyle w:val="16"/>
            </w:pPr>
            <w:r>
              <w:t>2150501</w:t>
            </w:r>
          </w:p>
        </w:tc>
        <w:tc>
          <w:tcPr>
            <w:tcW w:w="2964" w:type="dxa"/>
            <w:vAlign w:val="center"/>
          </w:tcPr>
          <w:p>
            <w:pPr>
              <w:pStyle w:val="16"/>
            </w:pPr>
            <w:r>
              <w:t>行政运行</w:t>
            </w:r>
          </w:p>
        </w:tc>
        <w:tc>
          <w:tcPr>
            <w:tcW w:w="1212" w:type="dxa"/>
            <w:vAlign w:val="center"/>
          </w:tcPr>
          <w:p>
            <w:pPr>
              <w:pStyle w:val="15"/>
              <w:rPr>
                <w:rFonts w:hint="default"/>
                <w:lang w:val="en-US" w:eastAsia="zh-CN"/>
              </w:rPr>
            </w:pPr>
            <w:r>
              <w:rPr>
                <w:rFonts w:hint="eastAsia"/>
                <w:lang w:val="en-US" w:eastAsia="zh-CN"/>
              </w:rPr>
              <w:t>904.01</w:t>
            </w:r>
          </w:p>
        </w:tc>
        <w:tc>
          <w:tcPr>
            <w:tcW w:w="1116" w:type="dxa"/>
            <w:vAlign w:val="center"/>
          </w:tcPr>
          <w:p>
            <w:pPr>
              <w:pStyle w:val="15"/>
              <w:rPr>
                <w:rFonts w:hint="default" w:eastAsia="方正书宋_GBK"/>
                <w:lang w:val="en-US" w:eastAsia="zh-CN"/>
              </w:rPr>
            </w:pPr>
            <w:r>
              <w:rPr>
                <w:rFonts w:hint="eastAsia"/>
                <w:lang w:val="en-US" w:eastAsia="zh-CN"/>
              </w:rPr>
              <w:t>904.01</w:t>
            </w:r>
          </w:p>
        </w:tc>
        <w:tc>
          <w:tcPr>
            <w:tcW w:w="1128" w:type="dxa"/>
            <w:vAlign w:val="center"/>
          </w:tcPr>
          <w:p>
            <w:pPr>
              <w:pStyle w:val="15"/>
              <w:ind w:firstLine="0" w:firstLineChars="0"/>
            </w:pPr>
            <w:r>
              <w:rPr>
                <w:rFonts w:hint="eastAsia"/>
                <w:lang w:val="en-US" w:eastAsia="zh-CN"/>
              </w:rPr>
              <w:t>904.01</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pPr>
            <w:r>
              <w:t>5</w:t>
            </w:r>
          </w:p>
        </w:tc>
        <w:tc>
          <w:tcPr>
            <w:tcW w:w="1176" w:type="dxa"/>
            <w:vAlign w:val="center"/>
          </w:tcPr>
          <w:p>
            <w:pPr>
              <w:pStyle w:val="16"/>
            </w:pPr>
            <w:r>
              <w:t>2150502</w:t>
            </w:r>
          </w:p>
        </w:tc>
        <w:tc>
          <w:tcPr>
            <w:tcW w:w="2964" w:type="dxa"/>
            <w:vAlign w:val="center"/>
          </w:tcPr>
          <w:p>
            <w:pPr>
              <w:pStyle w:val="16"/>
            </w:pPr>
            <w:r>
              <w:t>一般行政管理事务</w:t>
            </w:r>
          </w:p>
        </w:tc>
        <w:tc>
          <w:tcPr>
            <w:tcW w:w="1212" w:type="dxa"/>
            <w:vAlign w:val="center"/>
          </w:tcPr>
          <w:p>
            <w:pPr>
              <w:pStyle w:val="15"/>
              <w:rPr>
                <w:rFonts w:hint="default"/>
                <w:lang w:val="en-US" w:eastAsia="zh-CN"/>
              </w:rPr>
            </w:pPr>
            <w:r>
              <w:rPr>
                <w:rFonts w:hint="eastAsia"/>
                <w:lang w:val="en-US" w:eastAsia="zh-CN"/>
              </w:rPr>
              <w:t>146.8</w:t>
            </w:r>
          </w:p>
        </w:tc>
        <w:tc>
          <w:tcPr>
            <w:tcW w:w="1116" w:type="dxa"/>
            <w:vAlign w:val="center"/>
          </w:tcPr>
          <w:p>
            <w:pPr>
              <w:pStyle w:val="15"/>
              <w:rPr>
                <w:rFonts w:hint="default" w:eastAsia="方正书宋_GBK"/>
                <w:lang w:val="en-US" w:eastAsia="zh-CN"/>
              </w:rPr>
            </w:pPr>
            <w:r>
              <w:rPr>
                <w:rFonts w:hint="eastAsia"/>
                <w:lang w:val="en-US" w:eastAsia="zh-CN"/>
              </w:rPr>
              <w:t>146.8</w:t>
            </w:r>
          </w:p>
        </w:tc>
        <w:tc>
          <w:tcPr>
            <w:tcW w:w="1128" w:type="dxa"/>
            <w:vAlign w:val="center"/>
          </w:tcPr>
          <w:p>
            <w:pPr>
              <w:pStyle w:val="15"/>
              <w:ind w:firstLine="0" w:firstLineChars="0"/>
            </w:pPr>
            <w:r>
              <w:rPr>
                <w:rFonts w:hint="eastAsia"/>
                <w:lang w:val="en-US" w:eastAsia="zh-CN"/>
              </w:rPr>
              <w:t>146.8</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4" w:hRule="atLeast"/>
          <w:jc w:val="center"/>
        </w:trPr>
        <w:tc>
          <w:tcPr>
            <w:tcW w:w="970" w:type="dxa"/>
            <w:vAlign w:val="center"/>
          </w:tcPr>
          <w:p>
            <w:pPr>
              <w:pStyle w:val="17"/>
              <w:rPr>
                <w:rFonts w:hint="eastAsia" w:eastAsia="方正书宋_GBK"/>
                <w:lang w:val="en-US" w:eastAsia="zh-CN"/>
              </w:rPr>
            </w:pPr>
            <w:r>
              <w:rPr>
                <w:rFonts w:hint="eastAsia"/>
                <w:lang w:val="en-US" w:eastAsia="zh-CN"/>
              </w:rPr>
              <w:t>6</w:t>
            </w:r>
          </w:p>
        </w:tc>
        <w:tc>
          <w:tcPr>
            <w:tcW w:w="1176" w:type="dxa"/>
            <w:vAlign w:val="center"/>
          </w:tcPr>
          <w:p>
            <w:pPr>
              <w:pStyle w:val="16"/>
              <w:rPr>
                <w:rFonts w:hint="default" w:eastAsia="方正书宋_GBK"/>
                <w:lang w:val="en-US" w:eastAsia="zh-CN"/>
              </w:rPr>
            </w:pPr>
            <w:r>
              <w:rPr>
                <w:rFonts w:hint="eastAsia"/>
                <w:lang w:val="en-US" w:eastAsia="zh-CN"/>
              </w:rPr>
              <w:t>2150517</w:t>
            </w:r>
          </w:p>
        </w:tc>
        <w:tc>
          <w:tcPr>
            <w:tcW w:w="2964" w:type="dxa"/>
            <w:vAlign w:val="center"/>
          </w:tcPr>
          <w:p>
            <w:pPr>
              <w:pStyle w:val="16"/>
              <w:rPr>
                <w:rFonts w:hint="default" w:eastAsia="方正书宋_GBK"/>
                <w:lang w:val="en-US" w:eastAsia="zh-CN"/>
              </w:rPr>
            </w:pPr>
            <w:r>
              <w:rPr>
                <w:rFonts w:hint="eastAsia"/>
                <w:lang w:val="en-US" w:eastAsia="zh-CN"/>
              </w:rPr>
              <w:t>产业发展</w:t>
            </w:r>
          </w:p>
        </w:tc>
        <w:tc>
          <w:tcPr>
            <w:tcW w:w="1212" w:type="dxa"/>
            <w:vAlign w:val="center"/>
          </w:tcPr>
          <w:p>
            <w:pPr>
              <w:pStyle w:val="15"/>
              <w:rPr>
                <w:rFonts w:hint="default"/>
                <w:lang w:val="en-US" w:eastAsia="zh-CN"/>
              </w:rPr>
            </w:pPr>
            <w:r>
              <w:rPr>
                <w:rFonts w:hint="eastAsia"/>
                <w:lang w:val="en-US" w:eastAsia="zh-CN"/>
              </w:rPr>
              <w:t>30.00</w:t>
            </w:r>
          </w:p>
        </w:tc>
        <w:tc>
          <w:tcPr>
            <w:tcW w:w="1116" w:type="dxa"/>
            <w:vAlign w:val="center"/>
          </w:tcPr>
          <w:p>
            <w:pPr>
              <w:pStyle w:val="15"/>
              <w:rPr>
                <w:rFonts w:hint="default" w:eastAsia="方正书宋_GBK"/>
                <w:lang w:val="en-US" w:eastAsia="zh-CN"/>
              </w:rPr>
            </w:pPr>
            <w:r>
              <w:rPr>
                <w:rFonts w:hint="eastAsia"/>
                <w:lang w:val="en-US" w:eastAsia="zh-CN"/>
              </w:rPr>
              <w:t>30.00</w:t>
            </w:r>
          </w:p>
        </w:tc>
        <w:tc>
          <w:tcPr>
            <w:tcW w:w="1128" w:type="dxa"/>
            <w:vAlign w:val="center"/>
          </w:tcPr>
          <w:p>
            <w:pPr>
              <w:pStyle w:val="15"/>
              <w:ind w:firstLine="0" w:firstLineChars="0"/>
              <w:rPr>
                <w:rFonts w:hint="default" w:eastAsia="方正书宋_GBK"/>
                <w:lang w:val="en-US" w:eastAsia="zh-CN"/>
              </w:rPr>
            </w:pPr>
            <w:r>
              <w:rPr>
                <w:rFonts w:hint="eastAsia"/>
                <w:lang w:val="en-US" w:eastAsia="zh-CN"/>
              </w:rPr>
              <w:t>30.00</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rPr>
                <w:rFonts w:hint="eastAsia" w:eastAsia="方正书宋_GBK"/>
                <w:lang w:eastAsia="zh-CN"/>
              </w:rPr>
            </w:pPr>
            <w:r>
              <w:rPr>
                <w:rFonts w:hint="eastAsia"/>
                <w:lang w:val="en-US" w:eastAsia="zh-CN"/>
              </w:rPr>
              <w:t>7</w:t>
            </w:r>
          </w:p>
        </w:tc>
        <w:tc>
          <w:tcPr>
            <w:tcW w:w="1176" w:type="dxa"/>
            <w:vAlign w:val="center"/>
          </w:tcPr>
          <w:p>
            <w:pPr>
              <w:pStyle w:val="16"/>
            </w:pPr>
            <w:r>
              <w:t>21508</w:t>
            </w:r>
          </w:p>
        </w:tc>
        <w:tc>
          <w:tcPr>
            <w:tcW w:w="2964" w:type="dxa"/>
            <w:vAlign w:val="center"/>
          </w:tcPr>
          <w:p>
            <w:pPr>
              <w:pStyle w:val="16"/>
            </w:pPr>
            <w:r>
              <w:t>支持中小企业发展和管理支出</w:t>
            </w:r>
          </w:p>
        </w:tc>
        <w:tc>
          <w:tcPr>
            <w:tcW w:w="1212" w:type="dxa"/>
            <w:vAlign w:val="center"/>
          </w:tcPr>
          <w:p>
            <w:pPr>
              <w:pStyle w:val="15"/>
              <w:rPr>
                <w:rFonts w:hint="default" w:eastAsia="方正书宋_GBK"/>
                <w:lang w:val="en-US" w:eastAsia="zh-CN"/>
              </w:rPr>
            </w:pPr>
            <w:r>
              <w:rPr>
                <w:rFonts w:hint="eastAsia"/>
                <w:lang w:val="en-US" w:eastAsia="zh-CN"/>
              </w:rPr>
              <w:t>84.69</w:t>
            </w:r>
          </w:p>
        </w:tc>
        <w:tc>
          <w:tcPr>
            <w:tcW w:w="1116" w:type="dxa"/>
            <w:vAlign w:val="center"/>
          </w:tcPr>
          <w:p>
            <w:pPr>
              <w:pStyle w:val="15"/>
              <w:rPr>
                <w:rFonts w:hint="default" w:eastAsia="方正书宋_GBK"/>
                <w:lang w:val="en-US" w:eastAsia="zh-CN"/>
              </w:rPr>
            </w:pPr>
            <w:r>
              <w:rPr>
                <w:rFonts w:hint="eastAsia"/>
                <w:lang w:val="en-US" w:eastAsia="zh-CN"/>
              </w:rPr>
              <w:t>41.99</w:t>
            </w:r>
          </w:p>
        </w:tc>
        <w:tc>
          <w:tcPr>
            <w:tcW w:w="1128" w:type="dxa"/>
            <w:vAlign w:val="center"/>
          </w:tcPr>
          <w:p>
            <w:pPr>
              <w:pStyle w:val="15"/>
              <w:ind w:firstLine="0" w:firstLineChars="0"/>
            </w:pPr>
            <w:r>
              <w:rPr>
                <w:rFonts w:hint="eastAsia"/>
                <w:lang w:val="en-US" w:eastAsia="zh-CN"/>
              </w:rPr>
              <w:t>41.99</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9"/>
              <w:ind w:firstLine="0" w:firstLineChars="0"/>
            </w:pPr>
            <w:r>
              <w:rPr>
                <w:rFonts w:hint="eastAsia"/>
                <w:b w:val="0"/>
                <w:bCs/>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rPr>
                <w:rFonts w:hint="eastAsia" w:eastAsia="方正书宋_GBK"/>
                <w:lang w:eastAsia="zh-CN"/>
              </w:rPr>
            </w:pPr>
            <w:r>
              <w:rPr>
                <w:rFonts w:hint="eastAsia"/>
                <w:lang w:val="en-US" w:eastAsia="zh-CN"/>
              </w:rPr>
              <w:t>8</w:t>
            </w:r>
          </w:p>
        </w:tc>
        <w:tc>
          <w:tcPr>
            <w:tcW w:w="1176" w:type="dxa"/>
            <w:vAlign w:val="center"/>
          </w:tcPr>
          <w:p>
            <w:pPr>
              <w:pStyle w:val="16"/>
            </w:pPr>
            <w:r>
              <w:t>2150805</w:t>
            </w:r>
          </w:p>
        </w:tc>
        <w:tc>
          <w:tcPr>
            <w:tcW w:w="2964" w:type="dxa"/>
            <w:vAlign w:val="center"/>
          </w:tcPr>
          <w:p>
            <w:pPr>
              <w:pStyle w:val="16"/>
            </w:pPr>
            <w:r>
              <w:t>中小企业发展专项</w:t>
            </w:r>
          </w:p>
        </w:tc>
        <w:tc>
          <w:tcPr>
            <w:tcW w:w="1212" w:type="dxa"/>
            <w:vAlign w:val="center"/>
          </w:tcPr>
          <w:p>
            <w:pPr>
              <w:pStyle w:val="15"/>
              <w:rPr>
                <w:rFonts w:hint="default" w:eastAsia="方正书宋_GBK"/>
                <w:lang w:val="en-US" w:eastAsia="zh-CN"/>
              </w:rPr>
            </w:pPr>
            <w:r>
              <w:rPr>
                <w:rFonts w:hint="eastAsia"/>
                <w:lang w:val="en-US" w:eastAsia="zh-CN"/>
              </w:rPr>
              <w:t>84.69</w:t>
            </w:r>
          </w:p>
        </w:tc>
        <w:tc>
          <w:tcPr>
            <w:tcW w:w="1116" w:type="dxa"/>
            <w:vAlign w:val="center"/>
          </w:tcPr>
          <w:p>
            <w:pPr>
              <w:pStyle w:val="15"/>
              <w:rPr>
                <w:rFonts w:hint="default" w:eastAsia="方正书宋_GBK"/>
                <w:lang w:val="en-US" w:eastAsia="zh-CN"/>
              </w:rPr>
            </w:pPr>
            <w:r>
              <w:rPr>
                <w:rFonts w:hint="eastAsia"/>
                <w:lang w:val="en-US" w:eastAsia="zh-CN"/>
              </w:rPr>
              <w:t>41.99</w:t>
            </w:r>
          </w:p>
        </w:tc>
        <w:tc>
          <w:tcPr>
            <w:tcW w:w="1128" w:type="dxa"/>
            <w:vAlign w:val="center"/>
          </w:tcPr>
          <w:p>
            <w:pPr>
              <w:pStyle w:val="15"/>
              <w:ind w:firstLine="0" w:firstLineChars="0"/>
            </w:pPr>
            <w:r>
              <w:rPr>
                <w:rFonts w:hint="eastAsia"/>
                <w:lang w:val="en-US" w:eastAsia="zh-CN"/>
              </w:rPr>
              <w:t>41.99</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ind w:firstLine="0" w:firstLineChars="0"/>
            </w:pPr>
            <w:r>
              <w:rPr>
                <w:rFonts w:hint="eastAsia"/>
                <w:lang w:val="en-US" w:eastAsia="zh-CN"/>
              </w:rPr>
              <w:t>42.70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rPr>
                <w:rFonts w:hint="eastAsia" w:eastAsia="方正书宋_GBK"/>
                <w:lang w:eastAsia="zh-CN"/>
              </w:rPr>
            </w:pPr>
            <w:r>
              <w:rPr>
                <w:rFonts w:hint="eastAsia"/>
                <w:lang w:val="en-US" w:eastAsia="zh-CN"/>
              </w:rPr>
              <w:t>9</w:t>
            </w:r>
          </w:p>
        </w:tc>
        <w:tc>
          <w:tcPr>
            <w:tcW w:w="1176" w:type="dxa"/>
            <w:vAlign w:val="center"/>
          </w:tcPr>
          <w:p>
            <w:pPr>
              <w:pStyle w:val="16"/>
            </w:pPr>
            <w:r>
              <w:t>21599</w:t>
            </w:r>
          </w:p>
        </w:tc>
        <w:tc>
          <w:tcPr>
            <w:tcW w:w="2964" w:type="dxa"/>
            <w:vAlign w:val="center"/>
          </w:tcPr>
          <w:p>
            <w:pPr>
              <w:pStyle w:val="16"/>
            </w:pPr>
            <w:r>
              <w:t>其他资源勘探工业信息等支出</w:t>
            </w:r>
          </w:p>
        </w:tc>
        <w:tc>
          <w:tcPr>
            <w:tcW w:w="1212" w:type="dxa"/>
            <w:vAlign w:val="center"/>
          </w:tcPr>
          <w:p>
            <w:pPr>
              <w:pStyle w:val="15"/>
            </w:pPr>
            <w:r>
              <w:t>30.00</w:t>
            </w:r>
          </w:p>
        </w:tc>
        <w:tc>
          <w:tcPr>
            <w:tcW w:w="1116" w:type="dxa"/>
            <w:vAlign w:val="center"/>
          </w:tcPr>
          <w:p>
            <w:pPr>
              <w:pStyle w:val="15"/>
            </w:pPr>
            <w:r>
              <w:t>30.00</w:t>
            </w:r>
          </w:p>
        </w:tc>
        <w:tc>
          <w:tcPr>
            <w:tcW w:w="1128" w:type="dxa"/>
            <w:vAlign w:val="center"/>
          </w:tcPr>
          <w:p>
            <w:pPr>
              <w:pStyle w:val="15"/>
              <w:ind w:firstLine="0" w:firstLineChars="0"/>
            </w:pPr>
            <w:r>
              <w:t>30.00</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70" w:type="dxa"/>
            <w:vAlign w:val="center"/>
          </w:tcPr>
          <w:p>
            <w:pPr>
              <w:pStyle w:val="17"/>
              <w:rPr>
                <w:rFonts w:hint="default" w:eastAsia="方正书宋_GBK"/>
                <w:lang w:val="en-US" w:eastAsia="zh-CN"/>
              </w:rPr>
            </w:pPr>
            <w:r>
              <w:rPr>
                <w:rFonts w:hint="eastAsia"/>
                <w:lang w:val="en-US" w:eastAsia="zh-CN"/>
              </w:rPr>
              <w:t>10</w:t>
            </w:r>
          </w:p>
        </w:tc>
        <w:tc>
          <w:tcPr>
            <w:tcW w:w="1176" w:type="dxa"/>
            <w:vAlign w:val="center"/>
          </w:tcPr>
          <w:p>
            <w:pPr>
              <w:pStyle w:val="16"/>
            </w:pPr>
            <w:r>
              <w:t>2159999</w:t>
            </w:r>
          </w:p>
        </w:tc>
        <w:tc>
          <w:tcPr>
            <w:tcW w:w="2964" w:type="dxa"/>
            <w:vAlign w:val="center"/>
          </w:tcPr>
          <w:p>
            <w:pPr>
              <w:pStyle w:val="16"/>
            </w:pPr>
            <w:r>
              <w:t>其他资源勘探工业信息等支出</w:t>
            </w:r>
          </w:p>
        </w:tc>
        <w:tc>
          <w:tcPr>
            <w:tcW w:w="1212" w:type="dxa"/>
            <w:vAlign w:val="center"/>
          </w:tcPr>
          <w:p>
            <w:pPr>
              <w:pStyle w:val="15"/>
            </w:pPr>
            <w:r>
              <w:t>30.00</w:t>
            </w:r>
          </w:p>
        </w:tc>
        <w:tc>
          <w:tcPr>
            <w:tcW w:w="1116" w:type="dxa"/>
            <w:vAlign w:val="center"/>
          </w:tcPr>
          <w:p>
            <w:pPr>
              <w:pStyle w:val="15"/>
            </w:pPr>
            <w:r>
              <w:t>30.00</w:t>
            </w:r>
          </w:p>
        </w:tc>
        <w:tc>
          <w:tcPr>
            <w:tcW w:w="1128" w:type="dxa"/>
            <w:vAlign w:val="center"/>
          </w:tcPr>
          <w:p>
            <w:pPr>
              <w:pStyle w:val="15"/>
              <w:ind w:firstLine="0" w:firstLineChars="0"/>
            </w:pPr>
            <w:r>
              <w:t>30.00</w:t>
            </w:r>
          </w:p>
        </w:tc>
        <w:tc>
          <w:tcPr>
            <w:tcW w:w="900" w:type="dxa"/>
            <w:vAlign w:val="center"/>
          </w:tcPr>
          <w:p>
            <w:pPr>
              <w:pStyle w:val="15"/>
            </w:pPr>
          </w:p>
        </w:tc>
        <w:tc>
          <w:tcPr>
            <w:tcW w:w="768" w:type="dxa"/>
            <w:vAlign w:val="center"/>
          </w:tcPr>
          <w:p>
            <w:pPr>
              <w:pStyle w:val="15"/>
            </w:pPr>
          </w:p>
        </w:tc>
        <w:tc>
          <w:tcPr>
            <w:tcW w:w="650" w:type="dxa"/>
            <w:vAlign w:val="center"/>
          </w:tcPr>
          <w:p>
            <w:pPr>
              <w:pStyle w:val="15"/>
            </w:pPr>
          </w:p>
        </w:tc>
        <w:tc>
          <w:tcPr>
            <w:tcW w:w="816" w:type="dxa"/>
            <w:vAlign w:val="center"/>
          </w:tcPr>
          <w:p>
            <w:pPr>
              <w:pStyle w:val="15"/>
            </w:pPr>
          </w:p>
        </w:tc>
        <w:tc>
          <w:tcPr>
            <w:tcW w:w="807" w:type="dxa"/>
            <w:vAlign w:val="center"/>
          </w:tcPr>
          <w:p>
            <w:pPr>
              <w:pStyle w:val="15"/>
            </w:pPr>
          </w:p>
        </w:tc>
        <w:tc>
          <w:tcPr>
            <w:tcW w:w="573" w:type="dxa"/>
            <w:vAlign w:val="center"/>
          </w:tcPr>
          <w:p>
            <w:pPr>
              <w:pStyle w:val="15"/>
            </w:pPr>
          </w:p>
        </w:tc>
        <w:tc>
          <w:tcPr>
            <w:tcW w:w="943"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136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1668"/>
        <w:gridCol w:w="3444"/>
        <w:gridCol w:w="1440"/>
        <w:gridCol w:w="1296"/>
        <w:gridCol w:w="1286"/>
        <w:gridCol w:w="1093"/>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8"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2736" w:type="dxa"/>
            <w:gridSpan w:val="2"/>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569"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restart"/>
            <w:vAlign w:val="center"/>
          </w:tcPr>
          <w:p>
            <w:pPr>
              <w:pStyle w:val="14"/>
            </w:pPr>
            <w:r>
              <w:t>序号</w:t>
            </w:r>
          </w:p>
        </w:tc>
        <w:tc>
          <w:tcPr>
            <w:tcW w:w="5112" w:type="dxa"/>
            <w:gridSpan w:val="2"/>
            <w:vAlign w:val="center"/>
          </w:tcPr>
          <w:p>
            <w:pPr>
              <w:pStyle w:val="14"/>
            </w:pPr>
            <w:r>
              <w:t>功能分类科目</w:t>
            </w:r>
          </w:p>
        </w:tc>
        <w:tc>
          <w:tcPr>
            <w:tcW w:w="1440" w:type="dxa"/>
            <w:vMerge w:val="restart"/>
            <w:vAlign w:val="center"/>
          </w:tcPr>
          <w:p>
            <w:pPr>
              <w:pStyle w:val="14"/>
            </w:pPr>
            <w:r>
              <w:t>合计</w:t>
            </w:r>
          </w:p>
        </w:tc>
        <w:tc>
          <w:tcPr>
            <w:tcW w:w="1296" w:type="dxa"/>
            <w:vMerge w:val="restart"/>
            <w:vAlign w:val="center"/>
          </w:tcPr>
          <w:p>
            <w:pPr>
              <w:pStyle w:val="14"/>
            </w:pPr>
            <w:r>
              <w:t>基本支出</w:t>
            </w:r>
          </w:p>
        </w:tc>
        <w:tc>
          <w:tcPr>
            <w:tcW w:w="1286" w:type="dxa"/>
            <w:vMerge w:val="restart"/>
            <w:vAlign w:val="center"/>
          </w:tcPr>
          <w:p>
            <w:pPr>
              <w:pStyle w:val="14"/>
            </w:pPr>
            <w:r>
              <w:t>项目支出</w:t>
            </w:r>
          </w:p>
        </w:tc>
        <w:tc>
          <w:tcPr>
            <w:tcW w:w="1093"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Merge w:val="continue"/>
          </w:tcPr>
          <w:p/>
        </w:tc>
        <w:tc>
          <w:tcPr>
            <w:tcW w:w="1668" w:type="dxa"/>
            <w:vAlign w:val="center"/>
          </w:tcPr>
          <w:p>
            <w:pPr>
              <w:pStyle w:val="14"/>
            </w:pPr>
            <w:r>
              <w:t xml:space="preserve">科目    </w:t>
            </w:r>
          </w:p>
          <w:p>
            <w:pPr>
              <w:pStyle w:val="14"/>
            </w:pPr>
            <w:r>
              <w:t>编码</w:t>
            </w:r>
          </w:p>
        </w:tc>
        <w:tc>
          <w:tcPr>
            <w:tcW w:w="3444" w:type="dxa"/>
            <w:vAlign w:val="center"/>
          </w:tcPr>
          <w:p>
            <w:pPr>
              <w:pStyle w:val="14"/>
            </w:pPr>
            <w:r>
              <w:t>科目名称</w:t>
            </w:r>
          </w:p>
        </w:tc>
        <w:tc>
          <w:tcPr>
            <w:tcW w:w="1440" w:type="dxa"/>
            <w:vMerge w:val="continue"/>
          </w:tcPr>
          <w:p/>
        </w:tc>
        <w:tc>
          <w:tcPr>
            <w:tcW w:w="1296" w:type="dxa"/>
            <w:vMerge w:val="continue"/>
          </w:tcPr>
          <w:p/>
        </w:tc>
        <w:tc>
          <w:tcPr>
            <w:tcW w:w="1286" w:type="dxa"/>
            <w:vMerge w:val="continue"/>
          </w:tcPr>
          <w:p/>
        </w:tc>
        <w:tc>
          <w:tcPr>
            <w:tcW w:w="1093"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6" w:type="dxa"/>
            <w:vAlign w:val="center"/>
          </w:tcPr>
          <w:p>
            <w:pPr>
              <w:pStyle w:val="14"/>
            </w:pPr>
            <w:r>
              <w:t>栏次</w:t>
            </w:r>
          </w:p>
        </w:tc>
        <w:tc>
          <w:tcPr>
            <w:tcW w:w="1668" w:type="dxa"/>
            <w:vAlign w:val="center"/>
          </w:tcPr>
          <w:p>
            <w:pPr>
              <w:pStyle w:val="14"/>
            </w:pPr>
            <w:r>
              <w:t>1</w:t>
            </w:r>
          </w:p>
        </w:tc>
        <w:tc>
          <w:tcPr>
            <w:tcW w:w="3444" w:type="dxa"/>
            <w:vAlign w:val="center"/>
          </w:tcPr>
          <w:p>
            <w:pPr>
              <w:pStyle w:val="14"/>
            </w:pPr>
            <w:r>
              <w:t>2</w:t>
            </w:r>
          </w:p>
        </w:tc>
        <w:tc>
          <w:tcPr>
            <w:tcW w:w="1440" w:type="dxa"/>
            <w:vAlign w:val="center"/>
          </w:tcPr>
          <w:p>
            <w:pPr>
              <w:pStyle w:val="14"/>
            </w:pPr>
            <w:r>
              <w:t>3</w:t>
            </w:r>
          </w:p>
        </w:tc>
        <w:tc>
          <w:tcPr>
            <w:tcW w:w="1296" w:type="dxa"/>
            <w:vAlign w:val="center"/>
          </w:tcPr>
          <w:p>
            <w:pPr>
              <w:pStyle w:val="14"/>
            </w:pPr>
            <w:r>
              <w:t>4</w:t>
            </w:r>
          </w:p>
        </w:tc>
        <w:tc>
          <w:tcPr>
            <w:tcW w:w="1286" w:type="dxa"/>
            <w:vAlign w:val="center"/>
          </w:tcPr>
          <w:p>
            <w:pPr>
              <w:pStyle w:val="14"/>
            </w:pPr>
            <w:r>
              <w:t>5</w:t>
            </w:r>
          </w:p>
        </w:tc>
        <w:tc>
          <w:tcPr>
            <w:tcW w:w="1093"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1</w:t>
            </w:r>
          </w:p>
        </w:tc>
        <w:tc>
          <w:tcPr>
            <w:tcW w:w="1668" w:type="dxa"/>
            <w:vAlign w:val="center"/>
          </w:tcPr>
          <w:p>
            <w:pPr>
              <w:pStyle w:val="20"/>
            </w:pPr>
          </w:p>
        </w:tc>
        <w:tc>
          <w:tcPr>
            <w:tcW w:w="3444" w:type="dxa"/>
            <w:vAlign w:val="center"/>
          </w:tcPr>
          <w:p>
            <w:pPr>
              <w:pStyle w:val="18"/>
            </w:pPr>
            <w:r>
              <w:t>合计</w:t>
            </w:r>
          </w:p>
        </w:tc>
        <w:tc>
          <w:tcPr>
            <w:tcW w:w="1440" w:type="dxa"/>
            <w:vAlign w:val="center"/>
          </w:tcPr>
          <w:p>
            <w:pPr>
              <w:pStyle w:val="19"/>
              <w:rPr>
                <w:rFonts w:hint="default" w:eastAsia="方正书宋_GBK"/>
                <w:lang w:val="en-US" w:eastAsia="zh-CN"/>
              </w:rPr>
            </w:pPr>
            <w:r>
              <w:rPr>
                <w:rFonts w:hint="eastAsia"/>
                <w:lang w:val="en-US" w:eastAsia="zh-CN"/>
              </w:rPr>
              <w:t>1195.50</w:t>
            </w:r>
          </w:p>
        </w:tc>
        <w:tc>
          <w:tcPr>
            <w:tcW w:w="1296" w:type="dxa"/>
            <w:vAlign w:val="center"/>
          </w:tcPr>
          <w:p>
            <w:pPr>
              <w:pStyle w:val="19"/>
              <w:rPr>
                <w:rFonts w:hint="default" w:eastAsia="方正书宋_GBK"/>
                <w:lang w:val="en-US" w:eastAsia="zh-CN"/>
              </w:rPr>
            </w:pPr>
            <w:r>
              <w:rPr>
                <w:rFonts w:hint="eastAsia"/>
                <w:lang w:val="en-US" w:eastAsia="zh-CN"/>
              </w:rPr>
              <w:t>904.01</w:t>
            </w:r>
          </w:p>
        </w:tc>
        <w:tc>
          <w:tcPr>
            <w:tcW w:w="1286" w:type="dxa"/>
            <w:vAlign w:val="center"/>
          </w:tcPr>
          <w:p>
            <w:pPr>
              <w:pStyle w:val="19"/>
              <w:rPr>
                <w:rFonts w:hint="default" w:eastAsia="方正书宋_GBK"/>
                <w:lang w:val="en-US" w:eastAsia="zh-CN"/>
              </w:rPr>
            </w:pPr>
            <w:r>
              <w:rPr>
                <w:rFonts w:hint="eastAsia"/>
                <w:lang w:val="en-US" w:eastAsia="zh-CN"/>
              </w:rPr>
              <w:t>291.49</w:t>
            </w:r>
          </w:p>
        </w:tc>
        <w:tc>
          <w:tcPr>
            <w:tcW w:w="1093"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2</w:t>
            </w:r>
          </w:p>
        </w:tc>
        <w:tc>
          <w:tcPr>
            <w:tcW w:w="1668" w:type="dxa"/>
            <w:vAlign w:val="center"/>
          </w:tcPr>
          <w:p>
            <w:pPr>
              <w:pStyle w:val="16"/>
            </w:pPr>
            <w:r>
              <w:t>215</w:t>
            </w:r>
          </w:p>
        </w:tc>
        <w:tc>
          <w:tcPr>
            <w:tcW w:w="3444" w:type="dxa"/>
            <w:vAlign w:val="center"/>
          </w:tcPr>
          <w:p>
            <w:pPr>
              <w:pStyle w:val="16"/>
            </w:pPr>
            <w:r>
              <w:t>资源勘探工业信息等支出</w:t>
            </w:r>
          </w:p>
        </w:tc>
        <w:tc>
          <w:tcPr>
            <w:tcW w:w="1440" w:type="dxa"/>
            <w:vAlign w:val="center"/>
          </w:tcPr>
          <w:p>
            <w:pPr>
              <w:pStyle w:val="15"/>
              <w:rPr>
                <w:rFonts w:hint="default" w:eastAsia="方正书宋_GBK"/>
                <w:lang w:val="en-US" w:eastAsia="zh-CN"/>
              </w:rPr>
            </w:pPr>
            <w:r>
              <w:rPr>
                <w:rFonts w:hint="eastAsia"/>
                <w:lang w:val="en-US" w:eastAsia="zh-CN"/>
              </w:rPr>
              <w:t>1195.50</w:t>
            </w:r>
          </w:p>
        </w:tc>
        <w:tc>
          <w:tcPr>
            <w:tcW w:w="1296" w:type="dxa"/>
            <w:vAlign w:val="center"/>
          </w:tcPr>
          <w:p>
            <w:pPr>
              <w:pStyle w:val="15"/>
              <w:rPr>
                <w:rFonts w:hint="default" w:eastAsia="方正书宋_GBK"/>
                <w:lang w:val="en-US" w:eastAsia="zh-CN"/>
              </w:rPr>
            </w:pPr>
            <w:r>
              <w:rPr>
                <w:rFonts w:hint="eastAsia"/>
                <w:lang w:val="en-US" w:eastAsia="zh-CN"/>
              </w:rPr>
              <w:t>904.01</w:t>
            </w:r>
          </w:p>
        </w:tc>
        <w:tc>
          <w:tcPr>
            <w:tcW w:w="1286" w:type="dxa"/>
            <w:vAlign w:val="center"/>
          </w:tcPr>
          <w:p>
            <w:pPr>
              <w:pStyle w:val="15"/>
              <w:rPr>
                <w:rFonts w:hint="default" w:eastAsia="方正书宋_GBK"/>
                <w:lang w:val="en-US" w:eastAsia="zh-CN"/>
              </w:rPr>
            </w:pPr>
            <w:r>
              <w:rPr>
                <w:rFonts w:hint="eastAsia"/>
                <w:lang w:val="en-US" w:eastAsia="zh-CN"/>
              </w:rPr>
              <w:t>291.49</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3</w:t>
            </w:r>
          </w:p>
        </w:tc>
        <w:tc>
          <w:tcPr>
            <w:tcW w:w="1668" w:type="dxa"/>
            <w:vAlign w:val="center"/>
          </w:tcPr>
          <w:p>
            <w:pPr>
              <w:pStyle w:val="16"/>
            </w:pPr>
            <w:r>
              <w:t>21505</w:t>
            </w:r>
          </w:p>
        </w:tc>
        <w:tc>
          <w:tcPr>
            <w:tcW w:w="3444" w:type="dxa"/>
            <w:vAlign w:val="center"/>
          </w:tcPr>
          <w:p>
            <w:pPr>
              <w:pStyle w:val="16"/>
            </w:pPr>
            <w:r>
              <w:t>工业和信息产业监管</w:t>
            </w:r>
          </w:p>
        </w:tc>
        <w:tc>
          <w:tcPr>
            <w:tcW w:w="1440" w:type="dxa"/>
            <w:vAlign w:val="center"/>
          </w:tcPr>
          <w:p>
            <w:pPr>
              <w:pStyle w:val="15"/>
              <w:rPr>
                <w:rFonts w:hint="default" w:eastAsia="方正书宋_GBK"/>
                <w:lang w:val="en-US" w:eastAsia="zh-CN"/>
              </w:rPr>
            </w:pPr>
            <w:r>
              <w:rPr>
                <w:rFonts w:hint="eastAsia"/>
                <w:lang w:val="en-US" w:eastAsia="zh-CN"/>
              </w:rPr>
              <w:t>1080.81</w:t>
            </w:r>
          </w:p>
        </w:tc>
        <w:tc>
          <w:tcPr>
            <w:tcW w:w="1296" w:type="dxa"/>
            <w:vAlign w:val="center"/>
          </w:tcPr>
          <w:p>
            <w:pPr>
              <w:pStyle w:val="15"/>
              <w:rPr>
                <w:rFonts w:hint="default" w:eastAsia="方正书宋_GBK"/>
                <w:lang w:val="en-US" w:eastAsia="zh-CN"/>
              </w:rPr>
            </w:pPr>
            <w:r>
              <w:rPr>
                <w:rFonts w:hint="eastAsia"/>
                <w:lang w:val="en-US" w:eastAsia="zh-CN"/>
              </w:rPr>
              <w:t>904.01</w:t>
            </w:r>
          </w:p>
        </w:tc>
        <w:tc>
          <w:tcPr>
            <w:tcW w:w="1286" w:type="dxa"/>
            <w:vAlign w:val="center"/>
          </w:tcPr>
          <w:p>
            <w:pPr>
              <w:pStyle w:val="15"/>
              <w:rPr>
                <w:rFonts w:hint="default" w:eastAsia="方正书宋_GBK"/>
                <w:lang w:val="en-US" w:eastAsia="zh-CN"/>
              </w:rPr>
            </w:pPr>
            <w:r>
              <w:rPr>
                <w:rFonts w:hint="eastAsia"/>
                <w:lang w:val="en-US" w:eastAsia="zh-CN"/>
              </w:rPr>
              <w:t>176.8</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4</w:t>
            </w:r>
          </w:p>
        </w:tc>
        <w:tc>
          <w:tcPr>
            <w:tcW w:w="1668" w:type="dxa"/>
            <w:vAlign w:val="center"/>
          </w:tcPr>
          <w:p>
            <w:pPr>
              <w:pStyle w:val="16"/>
            </w:pPr>
            <w:r>
              <w:t>2150501</w:t>
            </w:r>
          </w:p>
        </w:tc>
        <w:tc>
          <w:tcPr>
            <w:tcW w:w="3444" w:type="dxa"/>
            <w:vAlign w:val="center"/>
          </w:tcPr>
          <w:p>
            <w:pPr>
              <w:pStyle w:val="16"/>
            </w:pPr>
            <w:r>
              <w:t>行政运行</w:t>
            </w:r>
          </w:p>
        </w:tc>
        <w:tc>
          <w:tcPr>
            <w:tcW w:w="1440" w:type="dxa"/>
            <w:vAlign w:val="center"/>
          </w:tcPr>
          <w:p>
            <w:pPr>
              <w:pStyle w:val="15"/>
              <w:rPr>
                <w:rFonts w:hint="default" w:eastAsia="方正书宋_GBK"/>
                <w:lang w:val="en-US" w:eastAsia="zh-CN"/>
              </w:rPr>
            </w:pPr>
            <w:r>
              <w:rPr>
                <w:rFonts w:hint="eastAsia"/>
                <w:lang w:val="en-US" w:eastAsia="zh-CN"/>
              </w:rPr>
              <w:t>904.01</w:t>
            </w:r>
          </w:p>
        </w:tc>
        <w:tc>
          <w:tcPr>
            <w:tcW w:w="1296" w:type="dxa"/>
            <w:vAlign w:val="center"/>
          </w:tcPr>
          <w:p>
            <w:pPr>
              <w:pStyle w:val="15"/>
              <w:rPr>
                <w:rFonts w:hint="default" w:eastAsia="方正书宋_GBK"/>
                <w:lang w:val="en-US" w:eastAsia="zh-CN"/>
              </w:rPr>
            </w:pPr>
            <w:r>
              <w:rPr>
                <w:rFonts w:hint="eastAsia"/>
                <w:lang w:val="en-US" w:eastAsia="zh-CN"/>
              </w:rPr>
              <w:t>904.01</w:t>
            </w:r>
          </w:p>
        </w:tc>
        <w:tc>
          <w:tcPr>
            <w:tcW w:w="1286" w:type="dxa"/>
            <w:vAlign w:val="center"/>
          </w:tcPr>
          <w:p>
            <w:pPr>
              <w:pStyle w:val="15"/>
            </w:pP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5</w:t>
            </w:r>
          </w:p>
        </w:tc>
        <w:tc>
          <w:tcPr>
            <w:tcW w:w="1668" w:type="dxa"/>
            <w:vAlign w:val="center"/>
          </w:tcPr>
          <w:p>
            <w:pPr>
              <w:pStyle w:val="16"/>
            </w:pPr>
            <w:r>
              <w:t>2150502</w:t>
            </w:r>
          </w:p>
        </w:tc>
        <w:tc>
          <w:tcPr>
            <w:tcW w:w="3444" w:type="dxa"/>
            <w:vAlign w:val="center"/>
          </w:tcPr>
          <w:p>
            <w:pPr>
              <w:pStyle w:val="16"/>
            </w:pPr>
            <w:r>
              <w:t>一般行政管理事务</w:t>
            </w:r>
          </w:p>
        </w:tc>
        <w:tc>
          <w:tcPr>
            <w:tcW w:w="1440" w:type="dxa"/>
            <w:vAlign w:val="center"/>
          </w:tcPr>
          <w:p>
            <w:pPr>
              <w:pStyle w:val="15"/>
              <w:rPr>
                <w:rFonts w:hint="default" w:eastAsia="方正书宋_GBK"/>
                <w:lang w:val="en-US" w:eastAsia="zh-CN"/>
              </w:rPr>
            </w:pPr>
            <w:r>
              <w:rPr>
                <w:rFonts w:hint="eastAsia"/>
                <w:lang w:val="en-US" w:eastAsia="zh-CN"/>
              </w:rPr>
              <w:t>146.80</w:t>
            </w:r>
          </w:p>
        </w:tc>
        <w:tc>
          <w:tcPr>
            <w:tcW w:w="1296" w:type="dxa"/>
            <w:vAlign w:val="center"/>
          </w:tcPr>
          <w:p>
            <w:pPr>
              <w:pStyle w:val="15"/>
            </w:pPr>
          </w:p>
        </w:tc>
        <w:tc>
          <w:tcPr>
            <w:tcW w:w="1286" w:type="dxa"/>
            <w:vAlign w:val="center"/>
          </w:tcPr>
          <w:p>
            <w:pPr>
              <w:pStyle w:val="15"/>
              <w:rPr>
                <w:rFonts w:hint="default" w:eastAsia="方正书宋_GBK"/>
                <w:lang w:val="en-US" w:eastAsia="zh-CN"/>
              </w:rPr>
            </w:pPr>
            <w:r>
              <w:rPr>
                <w:rFonts w:hint="eastAsia"/>
                <w:lang w:val="en-US" w:eastAsia="zh-CN"/>
              </w:rPr>
              <w:t>146.80</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pPr>
            <w:r>
              <w:t>6</w:t>
            </w:r>
          </w:p>
        </w:tc>
        <w:tc>
          <w:tcPr>
            <w:tcW w:w="1668" w:type="dxa"/>
            <w:vAlign w:val="center"/>
          </w:tcPr>
          <w:p>
            <w:pPr>
              <w:pStyle w:val="16"/>
              <w:rPr>
                <w:rFonts w:hint="default" w:eastAsia="方正书宋_GBK"/>
                <w:lang w:val="en-US" w:eastAsia="zh-CN"/>
              </w:rPr>
            </w:pPr>
            <w:r>
              <w:rPr>
                <w:rFonts w:hint="eastAsia"/>
                <w:lang w:val="en-US" w:eastAsia="zh-CN"/>
              </w:rPr>
              <w:t>2150517</w:t>
            </w:r>
          </w:p>
        </w:tc>
        <w:tc>
          <w:tcPr>
            <w:tcW w:w="3444" w:type="dxa"/>
            <w:vAlign w:val="center"/>
          </w:tcPr>
          <w:p>
            <w:pPr>
              <w:pStyle w:val="16"/>
              <w:rPr>
                <w:rFonts w:hint="default" w:eastAsia="方正书宋_GBK"/>
                <w:lang w:val="en-US" w:eastAsia="zh-CN"/>
              </w:rPr>
            </w:pPr>
            <w:r>
              <w:rPr>
                <w:rFonts w:hint="eastAsia"/>
                <w:lang w:val="en-US" w:eastAsia="zh-CN"/>
              </w:rPr>
              <w:t>产业发展</w:t>
            </w:r>
          </w:p>
        </w:tc>
        <w:tc>
          <w:tcPr>
            <w:tcW w:w="1440" w:type="dxa"/>
            <w:vAlign w:val="center"/>
          </w:tcPr>
          <w:p>
            <w:pPr>
              <w:pStyle w:val="15"/>
              <w:rPr>
                <w:rFonts w:hint="default" w:eastAsia="方正书宋_GBK"/>
                <w:lang w:val="en-US" w:eastAsia="zh-CN"/>
              </w:rPr>
            </w:pPr>
            <w:r>
              <w:rPr>
                <w:rFonts w:hint="eastAsia"/>
                <w:lang w:val="en-US" w:eastAsia="zh-CN"/>
              </w:rPr>
              <w:t>30.00</w:t>
            </w:r>
          </w:p>
        </w:tc>
        <w:tc>
          <w:tcPr>
            <w:tcW w:w="1296" w:type="dxa"/>
            <w:vAlign w:val="center"/>
          </w:tcPr>
          <w:p>
            <w:pPr>
              <w:pStyle w:val="15"/>
            </w:pPr>
          </w:p>
        </w:tc>
        <w:tc>
          <w:tcPr>
            <w:tcW w:w="1286" w:type="dxa"/>
            <w:vAlign w:val="center"/>
          </w:tcPr>
          <w:p>
            <w:pPr>
              <w:pStyle w:val="15"/>
              <w:rPr>
                <w:rFonts w:hint="default" w:eastAsia="方正书宋_GBK"/>
                <w:lang w:val="en-US" w:eastAsia="zh-CN"/>
              </w:rPr>
            </w:pPr>
            <w:r>
              <w:rPr>
                <w:rFonts w:hint="eastAsia"/>
                <w:lang w:val="en-US" w:eastAsia="zh-CN"/>
              </w:rPr>
              <w:t>30.00</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7</w:t>
            </w:r>
          </w:p>
        </w:tc>
        <w:tc>
          <w:tcPr>
            <w:tcW w:w="1668" w:type="dxa"/>
            <w:vAlign w:val="center"/>
          </w:tcPr>
          <w:p>
            <w:pPr>
              <w:pStyle w:val="16"/>
              <w:ind w:firstLine="0" w:firstLineChars="0"/>
              <w:rPr>
                <w:rFonts w:ascii="方正书宋_GBK" w:hAnsi="方正书宋_GBK" w:eastAsia="方正书宋_GBK" w:cs="方正书宋_GBK"/>
                <w:sz w:val="21"/>
                <w:szCs w:val="24"/>
                <w:lang w:val="en-US" w:eastAsia="uk-UA" w:bidi="ar-SA"/>
              </w:rPr>
            </w:pPr>
            <w:r>
              <w:t>21508</w:t>
            </w:r>
          </w:p>
        </w:tc>
        <w:tc>
          <w:tcPr>
            <w:tcW w:w="3444" w:type="dxa"/>
            <w:vAlign w:val="center"/>
          </w:tcPr>
          <w:p>
            <w:pPr>
              <w:pStyle w:val="16"/>
              <w:ind w:firstLine="0" w:firstLineChars="0"/>
              <w:rPr>
                <w:rFonts w:ascii="方正书宋_GBK" w:hAnsi="方正书宋_GBK" w:eastAsia="方正书宋_GBK" w:cs="方正书宋_GBK"/>
                <w:sz w:val="21"/>
                <w:szCs w:val="24"/>
                <w:lang w:val="en-US" w:eastAsia="uk-UA" w:bidi="ar-SA"/>
              </w:rPr>
            </w:pPr>
            <w:r>
              <w:t>支持中小企业发展和管理支出</w:t>
            </w:r>
          </w:p>
        </w:tc>
        <w:tc>
          <w:tcPr>
            <w:tcW w:w="1440" w:type="dxa"/>
            <w:vAlign w:val="center"/>
          </w:tcPr>
          <w:p>
            <w:pPr>
              <w:pStyle w:val="15"/>
              <w:ind w:firstLine="0" w:firstLineChars="0"/>
              <w:rPr>
                <w:rFonts w:ascii="方正书宋_GBK" w:hAnsi="方正书宋_GBK" w:eastAsia="方正书宋_GBK" w:cs="方正书宋_GBK"/>
                <w:sz w:val="21"/>
                <w:szCs w:val="24"/>
                <w:lang w:val="en-US" w:eastAsia="uk-UA" w:bidi="ar-SA"/>
              </w:rPr>
            </w:pPr>
            <w:r>
              <w:t>95.89</w:t>
            </w:r>
          </w:p>
        </w:tc>
        <w:tc>
          <w:tcPr>
            <w:tcW w:w="1296"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286" w:type="dxa"/>
            <w:vAlign w:val="center"/>
          </w:tcPr>
          <w:p>
            <w:pPr>
              <w:pStyle w:val="15"/>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84.69</w:t>
            </w:r>
          </w:p>
        </w:tc>
        <w:tc>
          <w:tcPr>
            <w:tcW w:w="1093"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c>
          <w:tcPr>
            <w:tcW w:w="1095" w:type="dxa"/>
            <w:vAlign w:val="center"/>
          </w:tcPr>
          <w:p>
            <w:pPr>
              <w:pStyle w:val="15"/>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rPr>
                <w:rFonts w:hint="eastAsia" w:eastAsia="方正书宋_GBK"/>
                <w:lang w:eastAsia="zh-CN"/>
              </w:rPr>
            </w:pPr>
            <w:r>
              <w:rPr>
                <w:rFonts w:hint="eastAsia"/>
                <w:lang w:val="en-US" w:eastAsia="zh-CN"/>
              </w:rPr>
              <w:t>8</w:t>
            </w:r>
          </w:p>
        </w:tc>
        <w:tc>
          <w:tcPr>
            <w:tcW w:w="1668" w:type="dxa"/>
            <w:vAlign w:val="center"/>
          </w:tcPr>
          <w:p>
            <w:pPr>
              <w:pStyle w:val="16"/>
            </w:pPr>
            <w:r>
              <w:t>2150805</w:t>
            </w:r>
          </w:p>
        </w:tc>
        <w:tc>
          <w:tcPr>
            <w:tcW w:w="3444" w:type="dxa"/>
            <w:vAlign w:val="center"/>
          </w:tcPr>
          <w:p>
            <w:pPr>
              <w:pStyle w:val="16"/>
            </w:pPr>
            <w:r>
              <w:t>中小企业发展专项</w:t>
            </w:r>
          </w:p>
        </w:tc>
        <w:tc>
          <w:tcPr>
            <w:tcW w:w="1440" w:type="dxa"/>
            <w:vAlign w:val="center"/>
          </w:tcPr>
          <w:p>
            <w:pPr>
              <w:pStyle w:val="15"/>
            </w:pPr>
            <w:r>
              <w:t>95.89</w:t>
            </w:r>
          </w:p>
        </w:tc>
        <w:tc>
          <w:tcPr>
            <w:tcW w:w="1296" w:type="dxa"/>
            <w:vAlign w:val="center"/>
          </w:tcPr>
          <w:p>
            <w:pPr>
              <w:pStyle w:val="15"/>
            </w:pPr>
          </w:p>
        </w:tc>
        <w:tc>
          <w:tcPr>
            <w:tcW w:w="1286" w:type="dxa"/>
            <w:vAlign w:val="center"/>
          </w:tcPr>
          <w:p>
            <w:pPr>
              <w:pStyle w:val="15"/>
              <w:rPr>
                <w:rFonts w:hint="default" w:eastAsia="方正书宋_GBK"/>
                <w:lang w:val="en-US" w:eastAsia="zh-CN"/>
              </w:rPr>
            </w:pPr>
            <w:r>
              <w:rPr>
                <w:rFonts w:hint="eastAsia"/>
                <w:lang w:val="en-US" w:eastAsia="zh-CN"/>
              </w:rPr>
              <w:t>84.69</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rPr>
                <w:rFonts w:hint="eastAsia" w:eastAsia="方正书宋_GBK"/>
                <w:lang w:eastAsia="zh-CN"/>
              </w:rPr>
            </w:pPr>
            <w:r>
              <w:rPr>
                <w:rFonts w:hint="eastAsia"/>
                <w:lang w:val="en-US" w:eastAsia="zh-CN"/>
              </w:rPr>
              <w:t>9</w:t>
            </w:r>
          </w:p>
        </w:tc>
        <w:tc>
          <w:tcPr>
            <w:tcW w:w="1668" w:type="dxa"/>
            <w:vAlign w:val="center"/>
          </w:tcPr>
          <w:p>
            <w:pPr>
              <w:pStyle w:val="16"/>
            </w:pPr>
            <w:r>
              <w:t>21599</w:t>
            </w:r>
          </w:p>
        </w:tc>
        <w:tc>
          <w:tcPr>
            <w:tcW w:w="3444" w:type="dxa"/>
            <w:vAlign w:val="center"/>
          </w:tcPr>
          <w:p>
            <w:pPr>
              <w:pStyle w:val="16"/>
            </w:pPr>
            <w:r>
              <w:t>其他资源勘探工业信息等支出</w:t>
            </w:r>
          </w:p>
        </w:tc>
        <w:tc>
          <w:tcPr>
            <w:tcW w:w="1440" w:type="dxa"/>
            <w:vAlign w:val="center"/>
          </w:tcPr>
          <w:p>
            <w:pPr>
              <w:pStyle w:val="15"/>
            </w:pPr>
            <w:r>
              <w:t>30.00</w:t>
            </w:r>
          </w:p>
        </w:tc>
        <w:tc>
          <w:tcPr>
            <w:tcW w:w="1296" w:type="dxa"/>
            <w:vAlign w:val="center"/>
          </w:tcPr>
          <w:p>
            <w:pPr>
              <w:pStyle w:val="15"/>
            </w:pPr>
          </w:p>
        </w:tc>
        <w:tc>
          <w:tcPr>
            <w:tcW w:w="1286" w:type="dxa"/>
            <w:vAlign w:val="center"/>
          </w:tcPr>
          <w:p>
            <w:pPr>
              <w:pStyle w:val="15"/>
            </w:pPr>
            <w:r>
              <w:t>30.00</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6" w:type="dxa"/>
            <w:vAlign w:val="center"/>
          </w:tcPr>
          <w:p>
            <w:pPr>
              <w:pStyle w:val="17"/>
              <w:rPr>
                <w:rFonts w:hint="default" w:eastAsia="方正书宋_GBK"/>
                <w:lang w:val="en-US" w:eastAsia="zh-CN"/>
              </w:rPr>
            </w:pPr>
            <w:r>
              <w:rPr>
                <w:rFonts w:hint="eastAsia"/>
                <w:lang w:val="en-US" w:eastAsia="zh-CN"/>
              </w:rPr>
              <w:t>10</w:t>
            </w:r>
          </w:p>
        </w:tc>
        <w:tc>
          <w:tcPr>
            <w:tcW w:w="1668" w:type="dxa"/>
            <w:vAlign w:val="center"/>
          </w:tcPr>
          <w:p>
            <w:pPr>
              <w:pStyle w:val="16"/>
            </w:pPr>
            <w:r>
              <w:t>2159999</w:t>
            </w:r>
          </w:p>
        </w:tc>
        <w:tc>
          <w:tcPr>
            <w:tcW w:w="3444" w:type="dxa"/>
            <w:vAlign w:val="center"/>
          </w:tcPr>
          <w:p>
            <w:pPr>
              <w:pStyle w:val="16"/>
            </w:pPr>
            <w:r>
              <w:t>其他资源勘探工业信息等支出</w:t>
            </w:r>
          </w:p>
        </w:tc>
        <w:tc>
          <w:tcPr>
            <w:tcW w:w="1440" w:type="dxa"/>
            <w:vAlign w:val="center"/>
          </w:tcPr>
          <w:p>
            <w:pPr>
              <w:pStyle w:val="15"/>
            </w:pPr>
            <w:r>
              <w:t>30.00</w:t>
            </w:r>
          </w:p>
        </w:tc>
        <w:tc>
          <w:tcPr>
            <w:tcW w:w="1296" w:type="dxa"/>
            <w:vAlign w:val="center"/>
          </w:tcPr>
          <w:p>
            <w:pPr>
              <w:pStyle w:val="15"/>
            </w:pPr>
          </w:p>
        </w:tc>
        <w:tc>
          <w:tcPr>
            <w:tcW w:w="1286" w:type="dxa"/>
            <w:vAlign w:val="center"/>
          </w:tcPr>
          <w:p>
            <w:pPr>
              <w:pStyle w:val="15"/>
            </w:pPr>
            <w:r>
              <w:t>30.00</w:t>
            </w:r>
          </w:p>
        </w:tc>
        <w:tc>
          <w:tcPr>
            <w:tcW w:w="1093"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131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8"/>
        <w:gridCol w:w="2940"/>
        <w:gridCol w:w="1234"/>
        <w:gridCol w:w="3372"/>
        <w:gridCol w:w="1056"/>
        <w:gridCol w:w="1140"/>
        <w:gridCol w:w="1032"/>
        <w:gridCol w:w="1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72"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337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427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restart"/>
            <w:vAlign w:val="center"/>
          </w:tcPr>
          <w:p>
            <w:pPr>
              <w:pStyle w:val="14"/>
            </w:pPr>
            <w:r>
              <w:t>序号</w:t>
            </w:r>
          </w:p>
        </w:tc>
        <w:tc>
          <w:tcPr>
            <w:tcW w:w="4174" w:type="dxa"/>
            <w:gridSpan w:val="2"/>
            <w:vAlign w:val="center"/>
          </w:tcPr>
          <w:p>
            <w:pPr>
              <w:pStyle w:val="14"/>
            </w:pPr>
            <w:r>
              <w:t>收入</w:t>
            </w:r>
          </w:p>
        </w:tc>
        <w:tc>
          <w:tcPr>
            <w:tcW w:w="764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Merge w:val="continue"/>
          </w:tcPr>
          <w:p/>
        </w:tc>
        <w:tc>
          <w:tcPr>
            <w:tcW w:w="2940" w:type="dxa"/>
            <w:vAlign w:val="center"/>
          </w:tcPr>
          <w:p>
            <w:pPr>
              <w:pStyle w:val="14"/>
            </w:pPr>
            <w:r>
              <w:t>项  目</w:t>
            </w:r>
          </w:p>
        </w:tc>
        <w:tc>
          <w:tcPr>
            <w:tcW w:w="1234" w:type="dxa"/>
            <w:vAlign w:val="center"/>
          </w:tcPr>
          <w:p>
            <w:pPr>
              <w:pStyle w:val="14"/>
            </w:pPr>
            <w:r>
              <w:t>金额</w:t>
            </w:r>
          </w:p>
        </w:tc>
        <w:tc>
          <w:tcPr>
            <w:tcW w:w="3372" w:type="dxa"/>
            <w:vAlign w:val="center"/>
          </w:tcPr>
          <w:p>
            <w:pPr>
              <w:pStyle w:val="14"/>
            </w:pPr>
            <w:r>
              <w:t>项  目</w:t>
            </w:r>
          </w:p>
        </w:tc>
        <w:tc>
          <w:tcPr>
            <w:tcW w:w="1056" w:type="dxa"/>
            <w:vAlign w:val="center"/>
          </w:tcPr>
          <w:p>
            <w:pPr>
              <w:pStyle w:val="14"/>
            </w:pPr>
            <w:r>
              <w:t>合计</w:t>
            </w:r>
          </w:p>
        </w:tc>
        <w:tc>
          <w:tcPr>
            <w:tcW w:w="1140" w:type="dxa"/>
            <w:vAlign w:val="center"/>
          </w:tcPr>
          <w:p>
            <w:pPr>
              <w:pStyle w:val="14"/>
            </w:pPr>
            <w:r>
              <w:t>一般公共预算财政拨款</w:t>
            </w:r>
          </w:p>
        </w:tc>
        <w:tc>
          <w:tcPr>
            <w:tcW w:w="1032" w:type="dxa"/>
            <w:vAlign w:val="center"/>
          </w:tcPr>
          <w:p>
            <w:pPr>
              <w:pStyle w:val="14"/>
            </w:pPr>
            <w:r>
              <w:t>政府性基金预算财政拨款</w:t>
            </w:r>
          </w:p>
        </w:tc>
        <w:tc>
          <w:tcPr>
            <w:tcW w:w="1048"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98" w:type="dxa"/>
            <w:vAlign w:val="center"/>
          </w:tcPr>
          <w:p>
            <w:pPr>
              <w:pStyle w:val="14"/>
            </w:pPr>
            <w:r>
              <w:t>栏次</w:t>
            </w:r>
          </w:p>
        </w:tc>
        <w:tc>
          <w:tcPr>
            <w:tcW w:w="2940" w:type="dxa"/>
            <w:vAlign w:val="center"/>
          </w:tcPr>
          <w:p>
            <w:pPr>
              <w:pStyle w:val="14"/>
            </w:pPr>
            <w:r>
              <w:t>1</w:t>
            </w:r>
          </w:p>
        </w:tc>
        <w:tc>
          <w:tcPr>
            <w:tcW w:w="1234" w:type="dxa"/>
            <w:vAlign w:val="center"/>
          </w:tcPr>
          <w:p>
            <w:pPr>
              <w:pStyle w:val="14"/>
            </w:pPr>
            <w:r>
              <w:t>2</w:t>
            </w:r>
          </w:p>
        </w:tc>
        <w:tc>
          <w:tcPr>
            <w:tcW w:w="3372" w:type="dxa"/>
            <w:vAlign w:val="center"/>
          </w:tcPr>
          <w:p>
            <w:pPr>
              <w:pStyle w:val="14"/>
            </w:pPr>
            <w:r>
              <w:t>3</w:t>
            </w:r>
          </w:p>
        </w:tc>
        <w:tc>
          <w:tcPr>
            <w:tcW w:w="1056" w:type="dxa"/>
            <w:vAlign w:val="center"/>
          </w:tcPr>
          <w:p>
            <w:pPr>
              <w:pStyle w:val="14"/>
            </w:pPr>
            <w:r>
              <w:t>4</w:t>
            </w:r>
          </w:p>
        </w:tc>
        <w:tc>
          <w:tcPr>
            <w:tcW w:w="1140" w:type="dxa"/>
            <w:vAlign w:val="center"/>
          </w:tcPr>
          <w:p>
            <w:pPr>
              <w:pStyle w:val="14"/>
            </w:pPr>
            <w:r>
              <w:t>5</w:t>
            </w:r>
          </w:p>
        </w:tc>
        <w:tc>
          <w:tcPr>
            <w:tcW w:w="1032" w:type="dxa"/>
            <w:vAlign w:val="center"/>
          </w:tcPr>
          <w:p>
            <w:pPr>
              <w:pStyle w:val="14"/>
            </w:pPr>
            <w:r>
              <w:t>6</w:t>
            </w:r>
          </w:p>
        </w:tc>
        <w:tc>
          <w:tcPr>
            <w:tcW w:w="1048"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w:t>
            </w:r>
          </w:p>
        </w:tc>
        <w:tc>
          <w:tcPr>
            <w:tcW w:w="2940" w:type="dxa"/>
            <w:vAlign w:val="center"/>
          </w:tcPr>
          <w:p>
            <w:pPr>
              <w:pStyle w:val="16"/>
            </w:pPr>
            <w:r>
              <w:t>一、一般公共预算拨款</w:t>
            </w:r>
          </w:p>
        </w:tc>
        <w:tc>
          <w:tcPr>
            <w:tcW w:w="1234" w:type="dxa"/>
            <w:vAlign w:val="center"/>
          </w:tcPr>
          <w:p>
            <w:pPr>
              <w:pStyle w:val="15"/>
              <w:rPr>
                <w:rFonts w:hint="default" w:eastAsia="方正书宋_GBK"/>
                <w:lang w:val="en-US" w:eastAsia="zh-CN"/>
              </w:rPr>
            </w:pPr>
            <w:r>
              <w:rPr>
                <w:rFonts w:hint="eastAsia"/>
                <w:lang w:val="en-US" w:eastAsia="zh-CN"/>
              </w:rPr>
              <w:t>1152.80</w:t>
            </w:r>
          </w:p>
        </w:tc>
        <w:tc>
          <w:tcPr>
            <w:tcW w:w="3372" w:type="dxa"/>
            <w:vAlign w:val="center"/>
          </w:tcPr>
          <w:p>
            <w:pPr>
              <w:pStyle w:val="16"/>
            </w:pPr>
            <w:r>
              <w:t>一、一般公共服务支出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w:t>
            </w:r>
          </w:p>
        </w:tc>
        <w:tc>
          <w:tcPr>
            <w:tcW w:w="2940" w:type="dxa"/>
            <w:vAlign w:val="center"/>
          </w:tcPr>
          <w:p>
            <w:pPr>
              <w:pStyle w:val="16"/>
            </w:pPr>
            <w:r>
              <w:t>二、政府性基金预算拨款</w:t>
            </w:r>
          </w:p>
        </w:tc>
        <w:tc>
          <w:tcPr>
            <w:tcW w:w="1234" w:type="dxa"/>
            <w:vAlign w:val="center"/>
          </w:tcPr>
          <w:p>
            <w:pPr>
              <w:pStyle w:val="15"/>
            </w:pPr>
          </w:p>
        </w:tc>
        <w:tc>
          <w:tcPr>
            <w:tcW w:w="3372" w:type="dxa"/>
            <w:vAlign w:val="center"/>
          </w:tcPr>
          <w:p>
            <w:pPr>
              <w:pStyle w:val="16"/>
            </w:pPr>
            <w:r>
              <w:t>二、外交支出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w:t>
            </w:r>
          </w:p>
        </w:tc>
        <w:tc>
          <w:tcPr>
            <w:tcW w:w="2940" w:type="dxa"/>
            <w:vAlign w:val="center"/>
          </w:tcPr>
          <w:p>
            <w:pPr>
              <w:pStyle w:val="16"/>
            </w:pPr>
            <w:r>
              <w:t>三、国有资本经营预算拨款</w:t>
            </w:r>
          </w:p>
        </w:tc>
        <w:tc>
          <w:tcPr>
            <w:tcW w:w="1234" w:type="dxa"/>
            <w:vAlign w:val="center"/>
          </w:tcPr>
          <w:p>
            <w:pPr>
              <w:pStyle w:val="15"/>
            </w:pPr>
          </w:p>
        </w:tc>
        <w:tc>
          <w:tcPr>
            <w:tcW w:w="3372" w:type="dxa"/>
            <w:vAlign w:val="center"/>
          </w:tcPr>
          <w:p>
            <w:pPr>
              <w:pStyle w:val="16"/>
            </w:pPr>
            <w:r>
              <w:t>三、国防支出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4</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四、公共安全支出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5</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五、教育支出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6</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六、科学技术支出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7</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七、文化旅游体育与传媒支出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8</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八、社会保障和就业支出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9</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九、社会保险基金支出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10</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十、卫生健康支出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11</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十一、节能环保支出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12</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十二、城乡社区支出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13</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十三、农林水支出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14</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十四、交通运输支出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15</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十五、资源勘探工业信息等支出</w:t>
            </w:r>
          </w:p>
        </w:tc>
        <w:tc>
          <w:tcPr>
            <w:tcW w:w="1056" w:type="dxa"/>
            <w:vAlign w:val="center"/>
          </w:tcPr>
          <w:p>
            <w:pPr>
              <w:pStyle w:val="15"/>
              <w:rPr>
                <w:rFonts w:hint="default" w:eastAsia="方正书宋_GBK"/>
                <w:lang w:val="en-US" w:eastAsia="zh-CN"/>
              </w:rPr>
            </w:pPr>
            <w:r>
              <w:rPr>
                <w:rFonts w:hint="eastAsia"/>
                <w:lang w:val="en-US" w:eastAsia="zh-CN"/>
              </w:rPr>
              <w:t>1195.50</w:t>
            </w:r>
          </w:p>
        </w:tc>
        <w:tc>
          <w:tcPr>
            <w:tcW w:w="1140" w:type="dxa"/>
            <w:vAlign w:val="center"/>
          </w:tcPr>
          <w:p>
            <w:pPr>
              <w:pStyle w:val="15"/>
              <w:rPr>
                <w:rFonts w:hint="default" w:eastAsia="方正书宋_GBK"/>
                <w:lang w:val="en-US" w:eastAsia="zh-CN"/>
              </w:rPr>
            </w:pPr>
            <w:r>
              <w:rPr>
                <w:rFonts w:hint="eastAsia"/>
                <w:lang w:val="en-US" w:eastAsia="zh-CN"/>
              </w:rPr>
              <w:t>1195.50</w:t>
            </w: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16</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十六、商业服务业等支出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17</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十七、金融支出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18</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十八、援助其他地区支出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19</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十九、自然资源海洋气象等支出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20</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二十、住房保障支出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21</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二十一、粮油物资储备支出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22</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二十二、国有资本经营预算支出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23</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二十三、灾害防治及应急管理支出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24</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二十四、预备费</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25</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二十五、其他支出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26</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二十六、转移性支出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27</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二十七、债务还本支出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28</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二十八、债务付息支出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29</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二十九、债务发行费用支出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30</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三十、抗疫特别国债安排的支出</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31</w:t>
            </w:r>
          </w:p>
        </w:tc>
        <w:tc>
          <w:tcPr>
            <w:tcW w:w="2940" w:type="dxa"/>
            <w:vAlign w:val="center"/>
          </w:tcPr>
          <w:p>
            <w:pPr>
              <w:pStyle w:val="16"/>
            </w:pPr>
          </w:p>
        </w:tc>
        <w:tc>
          <w:tcPr>
            <w:tcW w:w="1234" w:type="dxa"/>
            <w:vAlign w:val="center"/>
          </w:tcPr>
          <w:p>
            <w:pPr>
              <w:pStyle w:val="15"/>
            </w:pPr>
          </w:p>
        </w:tc>
        <w:tc>
          <w:tcPr>
            <w:tcW w:w="3372" w:type="dxa"/>
            <w:vAlign w:val="center"/>
          </w:tcPr>
          <w:p>
            <w:pPr>
              <w:pStyle w:val="16"/>
            </w:pPr>
            <w:r>
              <w:t>三十一、人行专用科目</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32</w:t>
            </w:r>
          </w:p>
        </w:tc>
        <w:tc>
          <w:tcPr>
            <w:tcW w:w="2940" w:type="dxa"/>
            <w:vAlign w:val="center"/>
          </w:tcPr>
          <w:p>
            <w:pPr>
              <w:pStyle w:val="18"/>
            </w:pPr>
            <w:r>
              <w:t>本年收入合计</w:t>
            </w:r>
          </w:p>
        </w:tc>
        <w:tc>
          <w:tcPr>
            <w:tcW w:w="1234" w:type="dxa"/>
            <w:vAlign w:val="center"/>
          </w:tcPr>
          <w:p>
            <w:pPr>
              <w:pStyle w:val="19"/>
              <w:rPr>
                <w:rFonts w:hint="default" w:eastAsia="方正书宋_GBK"/>
                <w:lang w:val="en-US" w:eastAsia="zh-CN"/>
              </w:rPr>
            </w:pPr>
            <w:r>
              <w:rPr>
                <w:rFonts w:hint="eastAsia"/>
                <w:lang w:val="en-US" w:eastAsia="zh-CN"/>
              </w:rPr>
              <w:t>1152.80</w:t>
            </w:r>
          </w:p>
        </w:tc>
        <w:tc>
          <w:tcPr>
            <w:tcW w:w="3372" w:type="dxa"/>
            <w:vAlign w:val="center"/>
          </w:tcPr>
          <w:p>
            <w:pPr>
              <w:pStyle w:val="18"/>
            </w:pPr>
            <w:r>
              <w:t>本年支出合计</w:t>
            </w:r>
          </w:p>
        </w:tc>
        <w:tc>
          <w:tcPr>
            <w:tcW w:w="1056" w:type="dxa"/>
            <w:vAlign w:val="center"/>
          </w:tcPr>
          <w:p>
            <w:pPr>
              <w:pStyle w:val="19"/>
              <w:rPr>
                <w:rFonts w:hint="default" w:eastAsia="方正书宋_GBK"/>
                <w:lang w:val="en-US" w:eastAsia="zh-CN"/>
              </w:rPr>
            </w:pPr>
            <w:r>
              <w:rPr>
                <w:rFonts w:hint="eastAsia"/>
                <w:lang w:val="en-US" w:eastAsia="zh-CN"/>
              </w:rPr>
              <w:t>1195.50</w:t>
            </w:r>
          </w:p>
        </w:tc>
        <w:tc>
          <w:tcPr>
            <w:tcW w:w="1140" w:type="dxa"/>
            <w:vAlign w:val="center"/>
          </w:tcPr>
          <w:p>
            <w:pPr>
              <w:pStyle w:val="19"/>
              <w:rPr>
                <w:rFonts w:hint="default" w:eastAsia="方正书宋_GBK"/>
                <w:lang w:val="en-US" w:eastAsia="zh-CN"/>
              </w:rPr>
            </w:pPr>
            <w:r>
              <w:rPr>
                <w:rFonts w:hint="eastAsia"/>
                <w:lang w:val="en-US" w:eastAsia="zh-CN"/>
              </w:rPr>
              <w:t>1195.50</w:t>
            </w:r>
          </w:p>
        </w:tc>
        <w:tc>
          <w:tcPr>
            <w:tcW w:w="1032" w:type="dxa"/>
            <w:vAlign w:val="center"/>
          </w:tcPr>
          <w:p>
            <w:pPr>
              <w:pStyle w:val="19"/>
            </w:pPr>
          </w:p>
        </w:tc>
        <w:tc>
          <w:tcPr>
            <w:tcW w:w="104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33</w:t>
            </w:r>
          </w:p>
        </w:tc>
        <w:tc>
          <w:tcPr>
            <w:tcW w:w="2940" w:type="dxa"/>
            <w:vAlign w:val="center"/>
          </w:tcPr>
          <w:p>
            <w:pPr>
              <w:pStyle w:val="16"/>
            </w:pPr>
            <w:r>
              <w:t>年初财政拨款结转和结余</w:t>
            </w:r>
          </w:p>
        </w:tc>
        <w:tc>
          <w:tcPr>
            <w:tcW w:w="1234" w:type="dxa"/>
            <w:vAlign w:val="center"/>
          </w:tcPr>
          <w:p>
            <w:pPr>
              <w:pStyle w:val="15"/>
              <w:rPr>
                <w:rFonts w:hint="default" w:eastAsia="方正书宋_GBK"/>
                <w:lang w:val="en-US" w:eastAsia="zh-CN"/>
              </w:rPr>
            </w:pPr>
            <w:r>
              <w:rPr>
                <w:rFonts w:hint="eastAsia"/>
                <w:lang w:val="en-US" w:eastAsia="zh-CN"/>
              </w:rPr>
              <w:t>42.70</w:t>
            </w:r>
          </w:p>
        </w:tc>
        <w:tc>
          <w:tcPr>
            <w:tcW w:w="3372" w:type="dxa"/>
            <w:vAlign w:val="center"/>
          </w:tcPr>
          <w:p>
            <w:pPr>
              <w:pStyle w:val="16"/>
            </w:pPr>
            <w:r>
              <w:t>年末财政拨款结转和结余</w:t>
            </w: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34</w:t>
            </w:r>
          </w:p>
        </w:tc>
        <w:tc>
          <w:tcPr>
            <w:tcW w:w="2940" w:type="dxa"/>
            <w:vAlign w:val="center"/>
          </w:tcPr>
          <w:p>
            <w:pPr>
              <w:pStyle w:val="16"/>
            </w:pPr>
            <w:r>
              <w:t>一、一般公共预算拨款</w:t>
            </w:r>
          </w:p>
        </w:tc>
        <w:tc>
          <w:tcPr>
            <w:tcW w:w="1234" w:type="dxa"/>
            <w:vAlign w:val="center"/>
          </w:tcPr>
          <w:p>
            <w:pPr>
              <w:pStyle w:val="15"/>
              <w:rPr>
                <w:rFonts w:hint="default" w:eastAsia="方正书宋_GBK"/>
                <w:lang w:val="en-US" w:eastAsia="zh-CN"/>
              </w:rPr>
            </w:pPr>
            <w:r>
              <w:rPr>
                <w:rFonts w:hint="eastAsia"/>
                <w:lang w:val="en-US" w:eastAsia="zh-CN"/>
              </w:rPr>
              <w:t>42.70</w:t>
            </w:r>
          </w:p>
        </w:tc>
        <w:tc>
          <w:tcPr>
            <w:tcW w:w="3372" w:type="dxa"/>
            <w:vAlign w:val="center"/>
          </w:tcPr>
          <w:p>
            <w:pPr>
              <w:pStyle w:val="16"/>
            </w:pP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35</w:t>
            </w:r>
          </w:p>
        </w:tc>
        <w:tc>
          <w:tcPr>
            <w:tcW w:w="2940" w:type="dxa"/>
            <w:vAlign w:val="center"/>
          </w:tcPr>
          <w:p>
            <w:pPr>
              <w:pStyle w:val="16"/>
            </w:pPr>
            <w:r>
              <w:t>二、政府性基金预算拨款</w:t>
            </w:r>
          </w:p>
        </w:tc>
        <w:tc>
          <w:tcPr>
            <w:tcW w:w="1234" w:type="dxa"/>
            <w:vAlign w:val="center"/>
          </w:tcPr>
          <w:p>
            <w:pPr>
              <w:pStyle w:val="15"/>
            </w:pPr>
          </w:p>
        </w:tc>
        <w:tc>
          <w:tcPr>
            <w:tcW w:w="3372" w:type="dxa"/>
            <w:vAlign w:val="center"/>
          </w:tcPr>
          <w:p>
            <w:pPr>
              <w:pStyle w:val="16"/>
            </w:pP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36</w:t>
            </w:r>
          </w:p>
        </w:tc>
        <w:tc>
          <w:tcPr>
            <w:tcW w:w="2940" w:type="dxa"/>
            <w:vAlign w:val="center"/>
          </w:tcPr>
          <w:p>
            <w:pPr>
              <w:pStyle w:val="16"/>
            </w:pPr>
            <w:r>
              <w:t>三、国有资本经营预算拨款</w:t>
            </w:r>
          </w:p>
        </w:tc>
        <w:tc>
          <w:tcPr>
            <w:tcW w:w="1234" w:type="dxa"/>
            <w:vAlign w:val="center"/>
          </w:tcPr>
          <w:p>
            <w:pPr>
              <w:pStyle w:val="15"/>
            </w:pPr>
          </w:p>
        </w:tc>
        <w:tc>
          <w:tcPr>
            <w:tcW w:w="3372" w:type="dxa"/>
            <w:vAlign w:val="center"/>
          </w:tcPr>
          <w:p>
            <w:pPr>
              <w:pStyle w:val="16"/>
            </w:pPr>
          </w:p>
        </w:tc>
        <w:tc>
          <w:tcPr>
            <w:tcW w:w="1056" w:type="dxa"/>
            <w:vAlign w:val="center"/>
          </w:tcPr>
          <w:p>
            <w:pPr>
              <w:pStyle w:val="15"/>
            </w:pPr>
          </w:p>
        </w:tc>
        <w:tc>
          <w:tcPr>
            <w:tcW w:w="1140" w:type="dxa"/>
            <w:vAlign w:val="center"/>
          </w:tcPr>
          <w:p>
            <w:pPr>
              <w:pStyle w:val="15"/>
            </w:pPr>
          </w:p>
        </w:tc>
        <w:tc>
          <w:tcPr>
            <w:tcW w:w="1032" w:type="dxa"/>
            <w:vAlign w:val="center"/>
          </w:tcPr>
          <w:p>
            <w:pPr>
              <w:pStyle w:val="15"/>
            </w:pPr>
          </w:p>
        </w:tc>
        <w:tc>
          <w:tcPr>
            <w:tcW w:w="104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98" w:type="dxa"/>
            <w:vAlign w:val="center"/>
          </w:tcPr>
          <w:p>
            <w:pPr>
              <w:pStyle w:val="17"/>
            </w:pPr>
            <w:r>
              <w:t>37</w:t>
            </w:r>
          </w:p>
        </w:tc>
        <w:tc>
          <w:tcPr>
            <w:tcW w:w="2940" w:type="dxa"/>
            <w:vAlign w:val="center"/>
          </w:tcPr>
          <w:p>
            <w:pPr>
              <w:pStyle w:val="18"/>
            </w:pPr>
            <w:r>
              <w:t>收入总计</w:t>
            </w:r>
          </w:p>
        </w:tc>
        <w:tc>
          <w:tcPr>
            <w:tcW w:w="1234" w:type="dxa"/>
            <w:vAlign w:val="center"/>
          </w:tcPr>
          <w:p>
            <w:pPr>
              <w:pStyle w:val="19"/>
              <w:rPr>
                <w:rFonts w:hint="default" w:eastAsia="方正书宋_GBK"/>
                <w:lang w:val="en-US" w:eastAsia="zh-CN"/>
              </w:rPr>
            </w:pPr>
            <w:r>
              <w:rPr>
                <w:rFonts w:hint="eastAsia"/>
                <w:lang w:val="en-US" w:eastAsia="zh-CN"/>
              </w:rPr>
              <w:t>1195.50</w:t>
            </w:r>
          </w:p>
        </w:tc>
        <w:tc>
          <w:tcPr>
            <w:tcW w:w="3372" w:type="dxa"/>
            <w:vAlign w:val="center"/>
          </w:tcPr>
          <w:p>
            <w:pPr>
              <w:pStyle w:val="18"/>
            </w:pPr>
            <w:r>
              <w:t>支出总计</w:t>
            </w:r>
          </w:p>
        </w:tc>
        <w:tc>
          <w:tcPr>
            <w:tcW w:w="1056" w:type="dxa"/>
            <w:vAlign w:val="center"/>
          </w:tcPr>
          <w:p>
            <w:pPr>
              <w:pStyle w:val="19"/>
              <w:rPr>
                <w:rFonts w:hint="default" w:eastAsia="方正书宋_GBK"/>
                <w:lang w:val="en-US" w:eastAsia="zh-CN"/>
              </w:rPr>
            </w:pPr>
            <w:r>
              <w:rPr>
                <w:rFonts w:hint="eastAsia"/>
                <w:lang w:val="en-US" w:eastAsia="zh-CN"/>
              </w:rPr>
              <w:t>1195.50</w:t>
            </w:r>
          </w:p>
        </w:tc>
        <w:tc>
          <w:tcPr>
            <w:tcW w:w="1140" w:type="dxa"/>
            <w:vAlign w:val="center"/>
          </w:tcPr>
          <w:p>
            <w:pPr>
              <w:pStyle w:val="19"/>
              <w:rPr>
                <w:rFonts w:hint="default" w:eastAsia="方正书宋_GBK"/>
                <w:lang w:val="en-US" w:eastAsia="zh-CN"/>
              </w:rPr>
            </w:pPr>
            <w:r>
              <w:rPr>
                <w:rFonts w:hint="eastAsia"/>
                <w:lang w:val="en-US" w:eastAsia="zh-CN"/>
              </w:rPr>
              <w:t>1195.50</w:t>
            </w:r>
          </w:p>
        </w:tc>
        <w:tc>
          <w:tcPr>
            <w:tcW w:w="1032" w:type="dxa"/>
            <w:vAlign w:val="center"/>
          </w:tcPr>
          <w:p>
            <w:pPr>
              <w:pStyle w:val="19"/>
            </w:pPr>
          </w:p>
        </w:tc>
        <w:tc>
          <w:tcPr>
            <w:tcW w:w="1048"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p>
      <w:pPr>
        <w:rPr>
          <w:rFonts w:hint="eastAsia"/>
        </w:rPr>
      </w:pPr>
    </w:p>
    <w:p>
      <w:pPr>
        <w:ind w:firstLine="720" w:firstLineChars="300"/>
      </w:pPr>
      <w:r>
        <w:rPr>
          <w:rFonts w:hint="eastAsia" w:eastAsia="宋体"/>
          <w:lang w:val="en-US" w:eastAsia="zh-CN"/>
        </w:rPr>
        <w:t>501</w:t>
      </w:r>
      <w:r>
        <w:rPr>
          <w:rFonts w:hint="eastAsia"/>
        </w:rPr>
        <w:t>邢台市工业和信息化局</w:t>
      </w:r>
      <w:r>
        <w:rPr>
          <w:rFonts w:hint="eastAsia" w:eastAsia="宋体"/>
          <w:lang w:val="en-US" w:eastAsia="zh-CN"/>
        </w:rPr>
        <w:t xml:space="preserve">                                                                                                          预算年度：2024      金额单位：万元</w:t>
      </w:r>
    </w:p>
    <w:tbl>
      <w:tblPr>
        <w:tblStyle w:val="8"/>
        <w:tblW w:w="13490" w:type="dxa"/>
        <w:tblInd w:w="7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0"/>
        <w:gridCol w:w="1166"/>
        <w:gridCol w:w="3550"/>
        <w:gridCol w:w="1817"/>
        <w:gridCol w:w="1650"/>
        <w:gridCol w:w="1967"/>
        <w:gridCol w:w="1516"/>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序号</w:t>
            </w:r>
          </w:p>
        </w:tc>
        <w:tc>
          <w:tcPr>
            <w:tcW w:w="47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支出功能分类科目</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合计</w:t>
            </w:r>
          </w:p>
        </w:tc>
        <w:tc>
          <w:tcPr>
            <w:tcW w:w="51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基本支出</w:t>
            </w:r>
          </w:p>
        </w:tc>
        <w:tc>
          <w:tcPr>
            <w:tcW w:w="108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科目编码</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科目名称</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小计</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人员经费</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公用经费</w:t>
            </w:r>
          </w:p>
        </w:tc>
        <w:tc>
          <w:tcPr>
            <w:tcW w:w="108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栏次</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2</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3</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5</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6</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default" w:ascii="Calibri" w:hAnsi="Calibri" w:eastAsia="宋体" w:cs="Calibri"/>
                <w:i w:val="0"/>
                <w:iCs w:val="0"/>
                <w:color w:val="000000"/>
                <w:sz w:val="22"/>
                <w:szCs w:val="22"/>
                <w:u w:val="none"/>
              </w:rPr>
            </w:pP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1195.50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1195.50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工业和信息产业监管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1080.81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2150501</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904.01</w:t>
            </w: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808.52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95.49</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2150502</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146.80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2150517</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产业发展</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21508</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支持中小企业发展和管理支出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2150805</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中小企业发展专项</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21599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40" w:type="dxa"/>
            <w:tcBorders>
              <w:top w:val="single" w:color="000000" w:sz="4" w:space="0"/>
              <w:left w:val="single" w:color="000000" w:sz="4" w:space="0"/>
              <w:bottom w:val="single" w:color="000000" w:sz="4" w:space="0"/>
              <w:right w:val="single" w:color="000000" w:sz="4" w:space="0"/>
            </w:tcBorders>
            <w:shd w:val="clear" w:color="auto" w:fill="E9EFF6"/>
            <w:noWrap/>
            <w:vAlign w:val="center"/>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2159999</w:t>
            </w:r>
          </w:p>
        </w:tc>
        <w:tc>
          <w:tcPr>
            <w:tcW w:w="3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其他资源勘探工业信息等支出</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134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2"/>
        <w:gridCol w:w="1824"/>
        <w:gridCol w:w="4224"/>
        <w:gridCol w:w="1992"/>
        <w:gridCol w:w="1920"/>
        <w:gridCol w:w="20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70"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1992"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3954"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restart"/>
            <w:vAlign w:val="center"/>
          </w:tcPr>
          <w:p>
            <w:pPr>
              <w:pStyle w:val="14"/>
            </w:pPr>
            <w:r>
              <w:t>序号</w:t>
            </w:r>
          </w:p>
        </w:tc>
        <w:tc>
          <w:tcPr>
            <w:tcW w:w="6048" w:type="dxa"/>
            <w:gridSpan w:val="2"/>
            <w:vAlign w:val="center"/>
          </w:tcPr>
          <w:p>
            <w:pPr>
              <w:pStyle w:val="14"/>
            </w:pPr>
            <w:r>
              <w:t>支出部门经济分类科目</w:t>
            </w:r>
          </w:p>
        </w:tc>
        <w:tc>
          <w:tcPr>
            <w:tcW w:w="5946"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Merge w:val="continue"/>
          </w:tcPr>
          <w:p/>
        </w:tc>
        <w:tc>
          <w:tcPr>
            <w:tcW w:w="1824" w:type="dxa"/>
            <w:vAlign w:val="center"/>
          </w:tcPr>
          <w:p>
            <w:pPr>
              <w:pStyle w:val="14"/>
            </w:pPr>
            <w:r>
              <w:t>科目编码</w:t>
            </w:r>
          </w:p>
        </w:tc>
        <w:tc>
          <w:tcPr>
            <w:tcW w:w="4224" w:type="dxa"/>
            <w:vAlign w:val="center"/>
          </w:tcPr>
          <w:p>
            <w:pPr>
              <w:pStyle w:val="14"/>
            </w:pPr>
            <w:r>
              <w:t>科目名称</w:t>
            </w:r>
          </w:p>
        </w:tc>
        <w:tc>
          <w:tcPr>
            <w:tcW w:w="1992" w:type="dxa"/>
            <w:vAlign w:val="center"/>
          </w:tcPr>
          <w:p>
            <w:pPr>
              <w:pStyle w:val="14"/>
            </w:pPr>
            <w:r>
              <w:t>合计</w:t>
            </w:r>
          </w:p>
        </w:tc>
        <w:tc>
          <w:tcPr>
            <w:tcW w:w="1920" w:type="dxa"/>
            <w:vAlign w:val="center"/>
          </w:tcPr>
          <w:p>
            <w:pPr>
              <w:pStyle w:val="14"/>
            </w:pPr>
            <w:r>
              <w:t>人员经费</w:t>
            </w:r>
          </w:p>
        </w:tc>
        <w:tc>
          <w:tcPr>
            <w:tcW w:w="2034"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22" w:type="dxa"/>
            <w:vAlign w:val="center"/>
          </w:tcPr>
          <w:p>
            <w:pPr>
              <w:pStyle w:val="14"/>
            </w:pPr>
            <w:r>
              <w:t>栏次</w:t>
            </w:r>
          </w:p>
        </w:tc>
        <w:tc>
          <w:tcPr>
            <w:tcW w:w="1824" w:type="dxa"/>
            <w:vAlign w:val="center"/>
          </w:tcPr>
          <w:p>
            <w:pPr>
              <w:pStyle w:val="14"/>
            </w:pPr>
            <w:r>
              <w:t>1</w:t>
            </w:r>
          </w:p>
        </w:tc>
        <w:tc>
          <w:tcPr>
            <w:tcW w:w="4224" w:type="dxa"/>
            <w:vAlign w:val="center"/>
          </w:tcPr>
          <w:p>
            <w:pPr>
              <w:pStyle w:val="14"/>
            </w:pPr>
            <w:r>
              <w:t>2</w:t>
            </w:r>
          </w:p>
        </w:tc>
        <w:tc>
          <w:tcPr>
            <w:tcW w:w="1992" w:type="dxa"/>
            <w:vAlign w:val="center"/>
          </w:tcPr>
          <w:p>
            <w:pPr>
              <w:pStyle w:val="14"/>
            </w:pPr>
            <w:r>
              <w:t>3</w:t>
            </w:r>
          </w:p>
        </w:tc>
        <w:tc>
          <w:tcPr>
            <w:tcW w:w="1920" w:type="dxa"/>
            <w:vAlign w:val="center"/>
          </w:tcPr>
          <w:p>
            <w:pPr>
              <w:pStyle w:val="14"/>
            </w:pPr>
            <w:r>
              <w:t>4</w:t>
            </w:r>
          </w:p>
        </w:tc>
        <w:tc>
          <w:tcPr>
            <w:tcW w:w="2034"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w:t>
            </w:r>
          </w:p>
        </w:tc>
        <w:tc>
          <w:tcPr>
            <w:tcW w:w="1824" w:type="dxa"/>
            <w:vAlign w:val="center"/>
          </w:tcPr>
          <w:p>
            <w:pPr>
              <w:pStyle w:val="20"/>
            </w:pPr>
          </w:p>
        </w:tc>
        <w:tc>
          <w:tcPr>
            <w:tcW w:w="4224" w:type="dxa"/>
            <w:vAlign w:val="center"/>
          </w:tcPr>
          <w:p>
            <w:pPr>
              <w:pStyle w:val="18"/>
            </w:pPr>
            <w:r>
              <w:t>合计</w:t>
            </w:r>
          </w:p>
        </w:tc>
        <w:tc>
          <w:tcPr>
            <w:tcW w:w="1992" w:type="dxa"/>
            <w:vAlign w:val="top"/>
          </w:tcPr>
          <w:p>
            <w:pPr>
              <w:pStyle w:val="15"/>
            </w:pPr>
            <w:r>
              <w:rPr>
                <w:rFonts w:hint="default"/>
                <w:b/>
                <w:bCs/>
                <w:lang w:val="en-US" w:eastAsia="zh-CN"/>
              </w:rPr>
              <w:t>904.01</w:t>
            </w:r>
          </w:p>
        </w:tc>
        <w:tc>
          <w:tcPr>
            <w:tcW w:w="1920" w:type="dxa"/>
            <w:vAlign w:val="top"/>
          </w:tcPr>
          <w:p>
            <w:pPr>
              <w:pStyle w:val="15"/>
              <w:rPr>
                <w:rFonts w:hint="default"/>
                <w:b/>
                <w:bCs/>
                <w:lang w:val="en-US" w:eastAsia="zh-CN"/>
              </w:rPr>
            </w:pPr>
            <w:r>
              <w:rPr>
                <w:rFonts w:hint="default"/>
                <w:b/>
                <w:bCs/>
                <w:lang w:val="en-US" w:eastAsia="zh-CN"/>
              </w:rPr>
              <w:t>808.52</w:t>
            </w:r>
          </w:p>
        </w:tc>
        <w:tc>
          <w:tcPr>
            <w:tcW w:w="2034" w:type="dxa"/>
            <w:vAlign w:val="top"/>
          </w:tcPr>
          <w:p>
            <w:pPr>
              <w:pStyle w:val="15"/>
              <w:rPr>
                <w:rFonts w:hint="default"/>
                <w:b/>
                <w:bCs/>
                <w:lang w:val="en-US" w:eastAsia="zh-CN"/>
              </w:rPr>
            </w:pPr>
            <w:r>
              <w:rPr>
                <w:rFonts w:hint="default"/>
                <w:b/>
                <w:bCs/>
                <w:lang w:val="en-US" w:eastAsia="zh-CN"/>
              </w:rPr>
              <w:t>95.49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w:t>
            </w:r>
          </w:p>
        </w:tc>
        <w:tc>
          <w:tcPr>
            <w:tcW w:w="1824" w:type="dxa"/>
            <w:vAlign w:val="center"/>
          </w:tcPr>
          <w:p>
            <w:pPr>
              <w:pStyle w:val="16"/>
            </w:pPr>
            <w:r>
              <w:t>301</w:t>
            </w:r>
          </w:p>
        </w:tc>
        <w:tc>
          <w:tcPr>
            <w:tcW w:w="4224" w:type="dxa"/>
            <w:vAlign w:val="center"/>
          </w:tcPr>
          <w:p>
            <w:pPr>
              <w:pStyle w:val="16"/>
            </w:pPr>
            <w:r>
              <w:t>工资福利支出</w:t>
            </w:r>
          </w:p>
        </w:tc>
        <w:tc>
          <w:tcPr>
            <w:tcW w:w="1992" w:type="dxa"/>
            <w:vAlign w:val="top"/>
          </w:tcPr>
          <w:p>
            <w:pPr>
              <w:pStyle w:val="15"/>
            </w:pPr>
            <w:r>
              <w:rPr>
                <w:rFonts w:hint="default"/>
                <w:lang w:val="en-US" w:eastAsia="zh-CN"/>
              </w:rPr>
              <w:t>508.32</w:t>
            </w:r>
          </w:p>
        </w:tc>
        <w:tc>
          <w:tcPr>
            <w:tcW w:w="1920" w:type="dxa"/>
            <w:vAlign w:val="top"/>
          </w:tcPr>
          <w:p>
            <w:pPr>
              <w:pStyle w:val="15"/>
              <w:rPr>
                <w:rFonts w:hint="default"/>
                <w:lang w:val="en-US" w:eastAsia="zh-CN"/>
              </w:rPr>
            </w:pPr>
            <w:r>
              <w:rPr>
                <w:rFonts w:hint="default"/>
                <w:lang w:val="en-US" w:eastAsia="zh-CN"/>
              </w:rPr>
              <w:t>508.32</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3</w:t>
            </w:r>
          </w:p>
        </w:tc>
        <w:tc>
          <w:tcPr>
            <w:tcW w:w="1824" w:type="dxa"/>
            <w:vAlign w:val="center"/>
          </w:tcPr>
          <w:p>
            <w:pPr>
              <w:pStyle w:val="16"/>
            </w:pPr>
            <w:r>
              <w:t>30101</w:t>
            </w:r>
          </w:p>
        </w:tc>
        <w:tc>
          <w:tcPr>
            <w:tcW w:w="4224" w:type="dxa"/>
            <w:vAlign w:val="center"/>
          </w:tcPr>
          <w:p>
            <w:pPr>
              <w:pStyle w:val="16"/>
            </w:pPr>
            <w:r>
              <w:t>基本工资</w:t>
            </w:r>
          </w:p>
        </w:tc>
        <w:tc>
          <w:tcPr>
            <w:tcW w:w="1992" w:type="dxa"/>
            <w:vAlign w:val="top"/>
          </w:tcPr>
          <w:p>
            <w:pPr>
              <w:pStyle w:val="15"/>
            </w:pPr>
            <w:r>
              <w:rPr>
                <w:rFonts w:hint="default"/>
                <w:lang w:val="en-US" w:eastAsia="zh-CN"/>
              </w:rPr>
              <w:t>93.63</w:t>
            </w:r>
          </w:p>
        </w:tc>
        <w:tc>
          <w:tcPr>
            <w:tcW w:w="1920" w:type="dxa"/>
            <w:vAlign w:val="top"/>
          </w:tcPr>
          <w:p>
            <w:pPr>
              <w:pStyle w:val="15"/>
              <w:rPr>
                <w:rFonts w:hint="default"/>
                <w:lang w:val="en-US" w:eastAsia="zh-CN"/>
              </w:rPr>
            </w:pPr>
            <w:r>
              <w:rPr>
                <w:rFonts w:hint="default"/>
                <w:lang w:val="en-US" w:eastAsia="zh-CN"/>
              </w:rPr>
              <w:t>93.63</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4</w:t>
            </w:r>
          </w:p>
        </w:tc>
        <w:tc>
          <w:tcPr>
            <w:tcW w:w="1824" w:type="dxa"/>
            <w:vAlign w:val="center"/>
          </w:tcPr>
          <w:p>
            <w:pPr>
              <w:pStyle w:val="16"/>
            </w:pPr>
            <w:r>
              <w:t>30102</w:t>
            </w:r>
          </w:p>
        </w:tc>
        <w:tc>
          <w:tcPr>
            <w:tcW w:w="4224" w:type="dxa"/>
            <w:vAlign w:val="center"/>
          </w:tcPr>
          <w:p>
            <w:pPr>
              <w:pStyle w:val="16"/>
            </w:pPr>
            <w:r>
              <w:t>津贴补贴</w:t>
            </w:r>
          </w:p>
        </w:tc>
        <w:tc>
          <w:tcPr>
            <w:tcW w:w="1992" w:type="dxa"/>
            <w:vAlign w:val="top"/>
          </w:tcPr>
          <w:p>
            <w:pPr>
              <w:pStyle w:val="15"/>
            </w:pPr>
            <w:r>
              <w:rPr>
                <w:rFonts w:hint="default"/>
                <w:lang w:val="en-US" w:eastAsia="zh-CN"/>
              </w:rPr>
              <w:t>89.37</w:t>
            </w:r>
          </w:p>
        </w:tc>
        <w:tc>
          <w:tcPr>
            <w:tcW w:w="1920" w:type="dxa"/>
            <w:vAlign w:val="top"/>
          </w:tcPr>
          <w:p>
            <w:pPr>
              <w:pStyle w:val="15"/>
              <w:rPr>
                <w:rFonts w:hint="default"/>
                <w:lang w:val="en-US" w:eastAsia="zh-CN"/>
              </w:rPr>
            </w:pPr>
            <w:r>
              <w:rPr>
                <w:rFonts w:hint="default"/>
                <w:lang w:val="en-US" w:eastAsia="zh-CN"/>
              </w:rPr>
              <w:t>89.37</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5</w:t>
            </w:r>
          </w:p>
        </w:tc>
        <w:tc>
          <w:tcPr>
            <w:tcW w:w="1824" w:type="dxa"/>
            <w:vAlign w:val="center"/>
          </w:tcPr>
          <w:p>
            <w:pPr>
              <w:pStyle w:val="16"/>
            </w:pPr>
            <w:r>
              <w:t>30103</w:t>
            </w:r>
          </w:p>
        </w:tc>
        <w:tc>
          <w:tcPr>
            <w:tcW w:w="4224" w:type="dxa"/>
            <w:vAlign w:val="center"/>
          </w:tcPr>
          <w:p>
            <w:pPr>
              <w:pStyle w:val="16"/>
            </w:pPr>
            <w:r>
              <w:t>奖金</w:t>
            </w:r>
          </w:p>
        </w:tc>
        <w:tc>
          <w:tcPr>
            <w:tcW w:w="1992" w:type="dxa"/>
            <w:vAlign w:val="top"/>
          </w:tcPr>
          <w:p>
            <w:pPr>
              <w:pStyle w:val="15"/>
            </w:pPr>
            <w:r>
              <w:rPr>
                <w:rFonts w:hint="default"/>
                <w:lang w:val="en-US" w:eastAsia="zh-CN"/>
              </w:rPr>
              <w:t>88.39</w:t>
            </w:r>
          </w:p>
        </w:tc>
        <w:tc>
          <w:tcPr>
            <w:tcW w:w="1920" w:type="dxa"/>
            <w:vAlign w:val="top"/>
          </w:tcPr>
          <w:p>
            <w:pPr>
              <w:pStyle w:val="15"/>
              <w:rPr>
                <w:rFonts w:hint="default"/>
                <w:lang w:val="en-US" w:eastAsia="zh-CN"/>
              </w:rPr>
            </w:pPr>
            <w:r>
              <w:rPr>
                <w:rFonts w:hint="default"/>
                <w:lang w:val="en-US" w:eastAsia="zh-CN"/>
              </w:rPr>
              <w:t>88.39</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6</w:t>
            </w:r>
          </w:p>
        </w:tc>
        <w:tc>
          <w:tcPr>
            <w:tcW w:w="1824" w:type="dxa"/>
            <w:vAlign w:val="center"/>
          </w:tcPr>
          <w:p>
            <w:pPr>
              <w:pStyle w:val="16"/>
            </w:pPr>
            <w:r>
              <w:t>30107</w:t>
            </w:r>
          </w:p>
        </w:tc>
        <w:tc>
          <w:tcPr>
            <w:tcW w:w="4224" w:type="dxa"/>
            <w:vAlign w:val="center"/>
          </w:tcPr>
          <w:p>
            <w:pPr>
              <w:pStyle w:val="16"/>
            </w:pPr>
            <w:r>
              <w:t>绩效工资</w:t>
            </w:r>
          </w:p>
        </w:tc>
        <w:tc>
          <w:tcPr>
            <w:tcW w:w="1992" w:type="dxa"/>
            <w:vAlign w:val="top"/>
          </w:tcPr>
          <w:p>
            <w:pPr>
              <w:pStyle w:val="15"/>
            </w:pPr>
            <w:r>
              <w:rPr>
                <w:rFonts w:hint="default"/>
                <w:lang w:val="en-US" w:eastAsia="zh-CN"/>
              </w:rPr>
              <w:t>43.43</w:t>
            </w:r>
          </w:p>
        </w:tc>
        <w:tc>
          <w:tcPr>
            <w:tcW w:w="1920" w:type="dxa"/>
            <w:vAlign w:val="top"/>
          </w:tcPr>
          <w:p>
            <w:pPr>
              <w:pStyle w:val="15"/>
              <w:rPr>
                <w:rFonts w:hint="default"/>
                <w:lang w:val="en-US" w:eastAsia="zh-CN"/>
              </w:rPr>
            </w:pPr>
            <w:r>
              <w:rPr>
                <w:rFonts w:hint="default"/>
                <w:lang w:val="en-US" w:eastAsia="zh-CN"/>
              </w:rPr>
              <w:t>43.43</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7</w:t>
            </w:r>
          </w:p>
        </w:tc>
        <w:tc>
          <w:tcPr>
            <w:tcW w:w="1824" w:type="dxa"/>
            <w:vAlign w:val="center"/>
          </w:tcPr>
          <w:p>
            <w:pPr>
              <w:pStyle w:val="16"/>
            </w:pPr>
            <w:r>
              <w:t>30108</w:t>
            </w:r>
          </w:p>
        </w:tc>
        <w:tc>
          <w:tcPr>
            <w:tcW w:w="4224" w:type="dxa"/>
            <w:vAlign w:val="center"/>
          </w:tcPr>
          <w:p>
            <w:pPr>
              <w:pStyle w:val="16"/>
            </w:pPr>
            <w:r>
              <w:t>机关事业单位基本养老保险缴费</w:t>
            </w:r>
          </w:p>
        </w:tc>
        <w:tc>
          <w:tcPr>
            <w:tcW w:w="1992" w:type="dxa"/>
            <w:vAlign w:val="top"/>
          </w:tcPr>
          <w:p>
            <w:pPr>
              <w:pStyle w:val="15"/>
            </w:pPr>
            <w:r>
              <w:rPr>
                <w:rFonts w:hint="default"/>
                <w:lang w:val="en-US" w:eastAsia="zh-CN"/>
              </w:rPr>
              <w:t>53.23</w:t>
            </w:r>
          </w:p>
        </w:tc>
        <w:tc>
          <w:tcPr>
            <w:tcW w:w="1920" w:type="dxa"/>
            <w:vAlign w:val="top"/>
          </w:tcPr>
          <w:p>
            <w:pPr>
              <w:pStyle w:val="15"/>
              <w:rPr>
                <w:rFonts w:hint="default"/>
                <w:lang w:val="en-US" w:eastAsia="zh-CN"/>
              </w:rPr>
            </w:pPr>
            <w:r>
              <w:rPr>
                <w:rFonts w:hint="default"/>
                <w:lang w:val="en-US" w:eastAsia="zh-CN"/>
              </w:rPr>
              <w:t>53.23</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8</w:t>
            </w:r>
          </w:p>
        </w:tc>
        <w:tc>
          <w:tcPr>
            <w:tcW w:w="1824" w:type="dxa"/>
            <w:vAlign w:val="center"/>
          </w:tcPr>
          <w:p>
            <w:pPr>
              <w:pStyle w:val="16"/>
            </w:pPr>
            <w:r>
              <w:t>30110</w:t>
            </w:r>
          </w:p>
        </w:tc>
        <w:tc>
          <w:tcPr>
            <w:tcW w:w="4224" w:type="dxa"/>
            <w:vAlign w:val="center"/>
          </w:tcPr>
          <w:p>
            <w:pPr>
              <w:pStyle w:val="16"/>
            </w:pPr>
            <w:r>
              <w:t>职工基本医疗保险缴费</w:t>
            </w:r>
          </w:p>
        </w:tc>
        <w:tc>
          <w:tcPr>
            <w:tcW w:w="1992" w:type="dxa"/>
            <w:vAlign w:val="top"/>
          </w:tcPr>
          <w:p>
            <w:pPr>
              <w:pStyle w:val="15"/>
            </w:pPr>
            <w:r>
              <w:rPr>
                <w:rFonts w:hint="default"/>
                <w:lang w:val="en-US" w:eastAsia="zh-CN"/>
              </w:rPr>
              <w:t>23.54</w:t>
            </w:r>
          </w:p>
        </w:tc>
        <w:tc>
          <w:tcPr>
            <w:tcW w:w="1920" w:type="dxa"/>
            <w:vAlign w:val="top"/>
          </w:tcPr>
          <w:p>
            <w:pPr>
              <w:pStyle w:val="15"/>
              <w:rPr>
                <w:rFonts w:hint="default"/>
                <w:lang w:val="en-US" w:eastAsia="zh-CN"/>
              </w:rPr>
            </w:pPr>
            <w:r>
              <w:rPr>
                <w:rFonts w:hint="default"/>
                <w:lang w:val="en-US" w:eastAsia="zh-CN"/>
              </w:rPr>
              <w:t>23.54</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9</w:t>
            </w:r>
          </w:p>
        </w:tc>
        <w:tc>
          <w:tcPr>
            <w:tcW w:w="1824" w:type="dxa"/>
            <w:vAlign w:val="center"/>
          </w:tcPr>
          <w:p>
            <w:pPr>
              <w:pStyle w:val="16"/>
            </w:pPr>
            <w:r>
              <w:t>30112</w:t>
            </w:r>
          </w:p>
        </w:tc>
        <w:tc>
          <w:tcPr>
            <w:tcW w:w="4224" w:type="dxa"/>
            <w:vAlign w:val="center"/>
          </w:tcPr>
          <w:p>
            <w:pPr>
              <w:pStyle w:val="16"/>
            </w:pPr>
            <w:r>
              <w:t>其他社会保障缴费</w:t>
            </w:r>
          </w:p>
        </w:tc>
        <w:tc>
          <w:tcPr>
            <w:tcW w:w="1992" w:type="dxa"/>
            <w:vAlign w:val="top"/>
          </w:tcPr>
          <w:p>
            <w:pPr>
              <w:pStyle w:val="15"/>
            </w:pPr>
            <w:r>
              <w:rPr>
                <w:rFonts w:hint="default"/>
                <w:lang w:val="en-US" w:eastAsia="zh-CN"/>
              </w:rPr>
              <w:t>73.13</w:t>
            </w:r>
          </w:p>
        </w:tc>
        <w:tc>
          <w:tcPr>
            <w:tcW w:w="1920" w:type="dxa"/>
            <w:vAlign w:val="top"/>
          </w:tcPr>
          <w:p>
            <w:pPr>
              <w:pStyle w:val="15"/>
              <w:rPr>
                <w:rFonts w:hint="default"/>
                <w:lang w:val="en-US" w:eastAsia="zh-CN"/>
              </w:rPr>
            </w:pPr>
            <w:r>
              <w:rPr>
                <w:rFonts w:hint="default"/>
                <w:lang w:val="en-US" w:eastAsia="zh-CN"/>
              </w:rPr>
              <w:t>73.13</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10</w:t>
            </w:r>
          </w:p>
        </w:tc>
        <w:tc>
          <w:tcPr>
            <w:tcW w:w="1824" w:type="dxa"/>
            <w:vAlign w:val="center"/>
          </w:tcPr>
          <w:p>
            <w:pPr>
              <w:pStyle w:val="16"/>
            </w:pPr>
            <w:r>
              <w:t>30113</w:t>
            </w:r>
          </w:p>
        </w:tc>
        <w:tc>
          <w:tcPr>
            <w:tcW w:w="4224" w:type="dxa"/>
            <w:vAlign w:val="center"/>
          </w:tcPr>
          <w:p>
            <w:pPr>
              <w:pStyle w:val="16"/>
            </w:pPr>
            <w:r>
              <w:t>住房公积金</w:t>
            </w:r>
          </w:p>
        </w:tc>
        <w:tc>
          <w:tcPr>
            <w:tcW w:w="1992" w:type="dxa"/>
            <w:vAlign w:val="top"/>
          </w:tcPr>
          <w:p>
            <w:pPr>
              <w:pStyle w:val="15"/>
            </w:pPr>
            <w:r>
              <w:rPr>
                <w:rFonts w:hint="default"/>
                <w:lang w:val="en-US" w:eastAsia="zh-CN"/>
              </w:rPr>
              <w:t>43.60</w:t>
            </w:r>
          </w:p>
        </w:tc>
        <w:tc>
          <w:tcPr>
            <w:tcW w:w="1920" w:type="dxa"/>
            <w:vAlign w:val="top"/>
          </w:tcPr>
          <w:p>
            <w:pPr>
              <w:pStyle w:val="15"/>
              <w:rPr>
                <w:rFonts w:hint="default"/>
                <w:lang w:val="en-US" w:eastAsia="zh-CN"/>
              </w:rPr>
            </w:pPr>
            <w:r>
              <w:rPr>
                <w:rFonts w:hint="default"/>
                <w:lang w:val="en-US" w:eastAsia="zh-CN"/>
              </w:rPr>
              <w:t>43.60</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11</w:t>
            </w:r>
          </w:p>
        </w:tc>
        <w:tc>
          <w:tcPr>
            <w:tcW w:w="1824" w:type="dxa"/>
            <w:vAlign w:val="center"/>
          </w:tcPr>
          <w:p>
            <w:pPr>
              <w:pStyle w:val="16"/>
            </w:pPr>
            <w:r>
              <w:t>302</w:t>
            </w:r>
          </w:p>
        </w:tc>
        <w:tc>
          <w:tcPr>
            <w:tcW w:w="4224" w:type="dxa"/>
            <w:vAlign w:val="center"/>
          </w:tcPr>
          <w:p>
            <w:pPr>
              <w:pStyle w:val="16"/>
            </w:pPr>
            <w:r>
              <w:t>商品和服务支出</w:t>
            </w:r>
          </w:p>
        </w:tc>
        <w:tc>
          <w:tcPr>
            <w:tcW w:w="1992" w:type="dxa"/>
            <w:vAlign w:val="top"/>
          </w:tcPr>
          <w:p>
            <w:pPr>
              <w:pStyle w:val="15"/>
            </w:pPr>
            <w:r>
              <w:rPr>
                <w:rFonts w:hint="default"/>
                <w:lang w:val="en-US" w:eastAsia="zh-CN"/>
              </w:rPr>
              <w:t>95.49</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95.49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12</w:t>
            </w:r>
          </w:p>
        </w:tc>
        <w:tc>
          <w:tcPr>
            <w:tcW w:w="1824" w:type="dxa"/>
            <w:vAlign w:val="center"/>
          </w:tcPr>
          <w:p>
            <w:pPr>
              <w:pStyle w:val="16"/>
            </w:pPr>
            <w:r>
              <w:t>30201</w:t>
            </w:r>
          </w:p>
        </w:tc>
        <w:tc>
          <w:tcPr>
            <w:tcW w:w="4224" w:type="dxa"/>
            <w:vAlign w:val="center"/>
          </w:tcPr>
          <w:p>
            <w:pPr>
              <w:pStyle w:val="16"/>
            </w:pPr>
            <w:r>
              <w:t>办公费</w:t>
            </w:r>
          </w:p>
        </w:tc>
        <w:tc>
          <w:tcPr>
            <w:tcW w:w="1992" w:type="dxa"/>
            <w:vAlign w:val="top"/>
          </w:tcPr>
          <w:p>
            <w:pPr>
              <w:pStyle w:val="15"/>
            </w:pPr>
            <w:r>
              <w:rPr>
                <w:rFonts w:hint="default"/>
                <w:lang w:val="en-US" w:eastAsia="zh-CN"/>
              </w:rPr>
              <w:t>23.80</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23.80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13</w:t>
            </w:r>
          </w:p>
        </w:tc>
        <w:tc>
          <w:tcPr>
            <w:tcW w:w="1824" w:type="dxa"/>
            <w:vAlign w:val="center"/>
          </w:tcPr>
          <w:p>
            <w:pPr>
              <w:pStyle w:val="16"/>
            </w:pPr>
            <w:r>
              <w:t>30207</w:t>
            </w:r>
          </w:p>
        </w:tc>
        <w:tc>
          <w:tcPr>
            <w:tcW w:w="4224" w:type="dxa"/>
            <w:vAlign w:val="center"/>
          </w:tcPr>
          <w:p>
            <w:pPr>
              <w:pStyle w:val="16"/>
            </w:pPr>
            <w:r>
              <w:t>邮电费</w:t>
            </w:r>
          </w:p>
        </w:tc>
        <w:tc>
          <w:tcPr>
            <w:tcW w:w="1992" w:type="dxa"/>
            <w:vAlign w:val="top"/>
          </w:tcPr>
          <w:p>
            <w:pPr>
              <w:pStyle w:val="15"/>
            </w:pPr>
            <w:r>
              <w:rPr>
                <w:rFonts w:hint="default"/>
                <w:lang w:val="en-US" w:eastAsia="zh-CN"/>
              </w:rPr>
              <w:t>12.72</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12.72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14</w:t>
            </w:r>
          </w:p>
        </w:tc>
        <w:tc>
          <w:tcPr>
            <w:tcW w:w="1824" w:type="dxa"/>
            <w:vAlign w:val="center"/>
          </w:tcPr>
          <w:p>
            <w:pPr>
              <w:pStyle w:val="16"/>
            </w:pPr>
            <w:r>
              <w:t>30208</w:t>
            </w:r>
          </w:p>
        </w:tc>
        <w:tc>
          <w:tcPr>
            <w:tcW w:w="4224" w:type="dxa"/>
            <w:vAlign w:val="center"/>
          </w:tcPr>
          <w:p>
            <w:pPr>
              <w:pStyle w:val="16"/>
            </w:pPr>
            <w:r>
              <w:t>取暖费</w:t>
            </w:r>
          </w:p>
        </w:tc>
        <w:tc>
          <w:tcPr>
            <w:tcW w:w="1992" w:type="dxa"/>
            <w:vAlign w:val="top"/>
          </w:tcPr>
          <w:p>
            <w:pPr>
              <w:pStyle w:val="15"/>
            </w:pPr>
            <w:r>
              <w:rPr>
                <w:rFonts w:hint="default"/>
                <w:lang w:val="en-US" w:eastAsia="zh-CN"/>
              </w:rPr>
              <w:t>3.06</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15</w:t>
            </w:r>
          </w:p>
        </w:tc>
        <w:tc>
          <w:tcPr>
            <w:tcW w:w="1824" w:type="dxa"/>
            <w:vAlign w:val="center"/>
          </w:tcPr>
          <w:p>
            <w:pPr>
              <w:pStyle w:val="16"/>
            </w:pPr>
            <w:r>
              <w:t>30216</w:t>
            </w:r>
          </w:p>
        </w:tc>
        <w:tc>
          <w:tcPr>
            <w:tcW w:w="4224" w:type="dxa"/>
            <w:vAlign w:val="center"/>
          </w:tcPr>
          <w:p>
            <w:pPr>
              <w:pStyle w:val="16"/>
            </w:pPr>
            <w:r>
              <w:t>培训费</w:t>
            </w:r>
          </w:p>
        </w:tc>
        <w:tc>
          <w:tcPr>
            <w:tcW w:w="1992" w:type="dxa"/>
            <w:vAlign w:val="top"/>
          </w:tcPr>
          <w:p>
            <w:pPr>
              <w:pStyle w:val="15"/>
            </w:pPr>
            <w:r>
              <w:rPr>
                <w:rFonts w:hint="default"/>
                <w:lang w:val="en-US" w:eastAsia="zh-CN"/>
              </w:rPr>
              <w:t>3.84</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17</w:t>
            </w:r>
          </w:p>
        </w:tc>
        <w:tc>
          <w:tcPr>
            <w:tcW w:w="1824" w:type="dxa"/>
            <w:vAlign w:val="center"/>
          </w:tcPr>
          <w:p>
            <w:pPr>
              <w:pStyle w:val="16"/>
            </w:pPr>
            <w:r>
              <w:t>30228</w:t>
            </w:r>
          </w:p>
        </w:tc>
        <w:tc>
          <w:tcPr>
            <w:tcW w:w="4224" w:type="dxa"/>
            <w:vAlign w:val="center"/>
          </w:tcPr>
          <w:p>
            <w:pPr>
              <w:pStyle w:val="16"/>
            </w:pPr>
            <w:r>
              <w:t>工会经费</w:t>
            </w:r>
          </w:p>
        </w:tc>
        <w:tc>
          <w:tcPr>
            <w:tcW w:w="1992" w:type="dxa"/>
            <w:vAlign w:val="top"/>
          </w:tcPr>
          <w:p>
            <w:pPr>
              <w:pStyle w:val="15"/>
            </w:pPr>
            <w:r>
              <w:rPr>
                <w:rFonts w:hint="default"/>
                <w:lang w:val="en-US" w:eastAsia="zh-CN"/>
              </w:rPr>
              <w:t>3.07</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18</w:t>
            </w:r>
          </w:p>
        </w:tc>
        <w:tc>
          <w:tcPr>
            <w:tcW w:w="1824" w:type="dxa"/>
            <w:vAlign w:val="center"/>
          </w:tcPr>
          <w:p>
            <w:pPr>
              <w:pStyle w:val="16"/>
            </w:pPr>
            <w:r>
              <w:t>30229</w:t>
            </w:r>
          </w:p>
        </w:tc>
        <w:tc>
          <w:tcPr>
            <w:tcW w:w="4224" w:type="dxa"/>
            <w:vAlign w:val="center"/>
          </w:tcPr>
          <w:p>
            <w:pPr>
              <w:pStyle w:val="16"/>
            </w:pPr>
            <w:r>
              <w:t>福利费</w:t>
            </w:r>
          </w:p>
        </w:tc>
        <w:tc>
          <w:tcPr>
            <w:tcW w:w="1992" w:type="dxa"/>
            <w:vAlign w:val="top"/>
          </w:tcPr>
          <w:p>
            <w:pPr>
              <w:pStyle w:val="15"/>
            </w:pPr>
            <w:r>
              <w:rPr>
                <w:rFonts w:hint="default"/>
                <w:lang w:val="en-US" w:eastAsia="zh-CN"/>
              </w:rPr>
              <w:t>4.09</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4.09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19</w:t>
            </w:r>
          </w:p>
        </w:tc>
        <w:tc>
          <w:tcPr>
            <w:tcW w:w="1824" w:type="dxa"/>
            <w:vAlign w:val="center"/>
          </w:tcPr>
          <w:p>
            <w:pPr>
              <w:pStyle w:val="16"/>
            </w:pPr>
            <w:r>
              <w:t>30231</w:t>
            </w:r>
          </w:p>
        </w:tc>
        <w:tc>
          <w:tcPr>
            <w:tcW w:w="4224" w:type="dxa"/>
            <w:vAlign w:val="center"/>
          </w:tcPr>
          <w:p>
            <w:pPr>
              <w:pStyle w:val="16"/>
            </w:pPr>
            <w:r>
              <w:t>公务用车运行维护费</w:t>
            </w:r>
          </w:p>
        </w:tc>
        <w:tc>
          <w:tcPr>
            <w:tcW w:w="1992" w:type="dxa"/>
            <w:vAlign w:val="top"/>
          </w:tcPr>
          <w:p>
            <w:pPr>
              <w:pStyle w:val="15"/>
              <w:rPr>
                <w:rFonts w:hint="default"/>
                <w:lang w:val="en-US"/>
              </w:rPr>
            </w:pPr>
            <w:r>
              <w:rPr>
                <w:rFonts w:hint="default"/>
                <w:lang w:val="en-US" w:eastAsia="zh-CN"/>
              </w:rPr>
              <w:t>6.00</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20</w:t>
            </w:r>
          </w:p>
        </w:tc>
        <w:tc>
          <w:tcPr>
            <w:tcW w:w="1824" w:type="dxa"/>
            <w:vAlign w:val="center"/>
          </w:tcPr>
          <w:p>
            <w:pPr>
              <w:pStyle w:val="16"/>
            </w:pPr>
            <w:r>
              <w:t>30239</w:t>
            </w:r>
          </w:p>
        </w:tc>
        <w:tc>
          <w:tcPr>
            <w:tcW w:w="4224" w:type="dxa"/>
            <w:vAlign w:val="center"/>
          </w:tcPr>
          <w:p>
            <w:pPr>
              <w:pStyle w:val="16"/>
            </w:pPr>
            <w:r>
              <w:t>其他交通费用</w:t>
            </w:r>
          </w:p>
        </w:tc>
        <w:tc>
          <w:tcPr>
            <w:tcW w:w="1992" w:type="dxa"/>
            <w:vAlign w:val="top"/>
          </w:tcPr>
          <w:p>
            <w:pPr>
              <w:pStyle w:val="15"/>
            </w:pPr>
            <w:r>
              <w:rPr>
                <w:rFonts w:hint="default"/>
                <w:lang w:val="en-US" w:eastAsia="zh-CN"/>
              </w:rPr>
              <w:t>20.93</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20.93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21</w:t>
            </w:r>
          </w:p>
        </w:tc>
        <w:tc>
          <w:tcPr>
            <w:tcW w:w="1824" w:type="dxa"/>
            <w:vAlign w:val="center"/>
          </w:tcPr>
          <w:p>
            <w:pPr>
              <w:pStyle w:val="16"/>
            </w:pPr>
            <w:r>
              <w:t>30299</w:t>
            </w:r>
          </w:p>
        </w:tc>
        <w:tc>
          <w:tcPr>
            <w:tcW w:w="4224" w:type="dxa"/>
            <w:vAlign w:val="center"/>
          </w:tcPr>
          <w:p>
            <w:pPr>
              <w:pStyle w:val="16"/>
            </w:pPr>
            <w:r>
              <w:t>其他商品和服务支出</w:t>
            </w:r>
          </w:p>
        </w:tc>
        <w:tc>
          <w:tcPr>
            <w:tcW w:w="1992" w:type="dxa"/>
            <w:vAlign w:val="top"/>
          </w:tcPr>
          <w:p>
            <w:pPr>
              <w:pStyle w:val="15"/>
            </w:pPr>
            <w:r>
              <w:rPr>
                <w:rFonts w:hint="default"/>
                <w:lang w:val="en-US" w:eastAsia="zh-CN"/>
              </w:rPr>
              <w:t>17.98</w:t>
            </w:r>
          </w:p>
        </w:tc>
        <w:tc>
          <w:tcPr>
            <w:tcW w:w="1920" w:type="dxa"/>
            <w:vAlign w:val="top"/>
          </w:tcPr>
          <w:p>
            <w:pPr>
              <w:pStyle w:val="15"/>
              <w:rPr>
                <w:rFonts w:hint="default"/>
                <w:lang w:val="en-US" w:eastAsia="zh-CN"/>
              </w:rPr>
            </w:pPr>
          </w:p>
        </w:tc>
        <w:tc>
          <w:tcPr>
            <w:tcW w:w="2034" w:type="dxa"/>
            <w:vAlign w:val="top"/>
          </w:tcPr>
          <w:p>
            <w:pPr>
              <w:pStyle w:val="15"/>
              <w:rPr>
                <w:rFonts w:hint="default"/>
                <w:lang w:val="en-US" w:eastAsia="zh-CN"/>
              </w:rPr>
            </w:pPr>
            <w:r>
              <w:rPr>
                <w:rFonts w:hint="default"/>
                <w:lang w:val="en-US" w:eastAsia="zh-CN"/>
              </w:rPr>
              <w:t>17.98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22</w:t>
            </w:r>
          </w:p>
        </w:tc>
        <w:tc>
          <w:tcPr>
            <w:tcW w:w="1824" w:type="dxa"/>
            <w:vAlign w:val="center"/>
          </w:tcPr>
          <w:p>
            <w:pPr>
              <w:pStyle w:val="16"/>
            </w:pPr>
            <w:r>
              <w:t>303</w:t>
            </w:r>
          </w:p>
        </w:tc>
        <w:tc>
          <w:tcPr>
            <w:tcW w:w="4224" w:type="dxa"/>
            <w:vAlign w:val="center"/>
          </w:tcPr>
          <w:p>
            <w:pPr>
              <w:pStyle w:val="16"/>
            </w:pPr>
            <w:r>
              <w:t>对个人和家庭的补助</w:t>
            </w:r>
          </w:p>
        </w:tc>
        <w:tc>
          <w:tcPr>
            <w:tcW w:w="1992" w:type="dxa"/>
            <w:vAlign w:val="top"/>
          </w:tcPr>
          <w:p>
            <w:pPr>
              <w:pStyle w:val="15"/>
            </w:pPr>
            <w:r>
              <w:rPr>
                <w:rFonts w:hint="default"/>
                <w:lang w:val="en-US" w:eastAsia="zh-CN"/>
              </w:rPr>
              <w:t>300.20</w:t>
            </w:r>
          </w:p>
        </w:tc>
        <w:tc>
          <w:tcPr>
            <w:tcW w:w="1920" w:type="dxa"/>
            <w:vAlign w:val="top"/>
          </w:tcPr>
          <w:p>
            <w:pPr>
              <w:pStyle w:val="15"/>
              <w:rPr>
                <w:rFonts w:hint="default"/>
                <w:lang w:val="en-US" w:eastAsia="zh-CN"/>
              </w:rPr>
            </w:pPr>
            <w:r>
              <w:rPr>
                <w:rFonts w:hint="default"/>
                <w:lang w:val="en-US" w:eastAsia="zh-CN"/>
              </w:rPr>
              <w:t>300.20</w:t>
            </w:r>
          </w:p>
        </w:tc>
        <w:tc>
          <w:tcPr>
            <w:tcW w:w="2034" w:type="dxa"/>
            <w:vAlign w:val="top"/>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23</w:t>
            </w:r>
          </w:p>
        </w:tc>
        <w:tc>
          <w:tcPr>
            <w:tcW w:w="1824" w:type="dxa"/>
            <w:vAlign w:val="center"/>
          </w:tcPr>
          <w:p>
            <w:pPr>
              <w:pStyle w:val="16"/>
            </w:pPr>
            <w:r>
              <w:t>30301</w:t>
            </w:r>
          </w:p>
        </w:tc>
        <w:tc>
          <w:tcPr>
            <w:tcW w:w="4224" w:type="dxa"/>
            <w:vAlign w:val="center"/>
          </w:tcPr>
          <w:p>
            <w:pPr>
              <w:pStyle w:val="16"/>
            </w:pPr>
            <w:r>
              <w:t>离休费</w:t>
            </w:r>
          </w:p>
        </w:tc>
        <w:tc>
          <w:tcPr>
            <w:tcW w:w="1992" w:type="dxa"/>
            <w:vAlign w:val="top"/>
          </w:tcPr>
          <w:p>
            <w:pPr>
              <w:pStyle w:val="15"/>
            </w:pPr>
            <w:r>
              <w:rPr>
                <w:rFonts w:hint="default"/>
                <w:lang w:val="en-US" w:eastAsia="zh-CN"/>
              </w:rPr>
              <w:t>15.92</w:t>
            </w:r>
          </w:p>
        </w:tc>
        <w:tc>
          <w:tcPr>
            <w:tcW w:w="1920" w:type="dxa"/>
            <w:vAlign w:val="top"/>
          </w:tcPr>
          <w:p>
            <w:pPr>
              <w:pStyle w:val="15"/>
              <w:rPr>
                <w:rFonts w:hint="default"/>
                <w:lang w:val="en-US" w:eastAsia="zh-CN"/>
              </w:rPr>
            </w:pPr>
            <w:r>
              <w:rPr>
                <w:rFonts w:hint="default"/>
                <w:lang w:val="en-US" w:eastAsia="zh-CN"/>
              </w:rPr>
              <w:t>15.92</w:t>
            </w:r>
          </w:p>
        </w:tc>
        <w:tc>
          <w:tcPr>
            <w:tcW w:w="2034" w:type="dxa"/>
            <w:vAlign w:val="center"/>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24</w:t>
            </w:r>
          </w:p>
        </w:tc>
        <w:tc>
          <w:tcPr>
            <w:tcW w:w="1824" w:type="dxa"/>
            <w:vAlign w:val="center"/>
          </w:tcPr>
          <w:p>
            <w:pPr>
              <w:pStyle w:val="16"/>
            </w:pPr>
            <w:r>
              <w:t>30302</w:t>
            </w:r>
          </w:p>
        </w:tc>
        <w:tc>
          <w:tcPr>
            <w:tcW w:w="4224" w:type="dxa"/>
            <w:vAlign w:val="center"/>
          </w:tcPr>
          <w:p>
            <w:pPr>
              <w:pStyle w:val="16"/>
            </w:pPr>
            <w:r>
              <w:t>退休费</w:t>
            </w:r>
          </w:p>
        </w:tc>
        <w:tc>
          <w:tcPr>
            <w:tcW w:w="1992" w:type="dxa"/>
            <w:vAlign w:val="top"/>
          </w:tcPr>
          <w:p>
            <w:pPr>
              <w:pStyle w:val="15"/>
            </w:pPr>
            <w:r>
              <w:rPr>
                <w:rFonts w:hint="default"/>
                <w:lang w:val="en-US" w:eastAsia="zh-CN"/>
              </w:rPr>
              <w:t>282.10</w:t>
            </w:r>
          </w:p>
        </w:tc>
        <w:tc>
          <w:tcPr>
            <w:tcW w:w="1920" w:type="dxa"/>
            <w:vAlign w:val="top"/>
          </w:tcPr>
          <w:p>
            <w:pPr>
              <w:pStyle w:val="15"/>
              <w:rPr>
                <w:rFonts w:hint="default"/>
                <w:lang w:val="en-US" w:eastAsia="zh-CN"/>
              </w:rPr>
            </w:pPr>
            <w:r>
              <w:rPr>
                <w:rFonts w:hint="default"/>
                <w:lang w:val="en-US" w:eastAsia="zh-CN"/>
              </w:rPr>
              <w:t>282.10</w:t>
            </w:r>
          </w:p>
        </w:tc>
        <w:tc>
          <w:tcPr>
            <w:tcW w:w="2034" w:type="dxa"/>
            <w:vAlign w:val="center"/>
          </w:tcPr>
          <w:p>
            <w:pPr>
              <w:pStyle w:val="15"/>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2" w:type="dxa"/>
            <w:vAlign w:val="center"/>
          </w:tcPr>
          <w:p>
            <w:pPr>
              <w:pStyle w:val="17"/>
            </w:pPr>
            <w:r>
              <w:t>25</w:t>
            </w:r>
          </w:p>
        </w:tc>
        <w:tc>
          <w:tcPr>
            <w:tcW w:w="1824" w:type="dxa"/>
            <w:vAlign w:val="center"/>
          </w:tcPr>
          <w:p>
            <w:pPr>
              <w:pStyle w:val="16"/>
            </w:pPr>
            <w:r>
              <w:t>30305</w:t>
            </w:r>
          </w:p>
        </w:tc>
        <w:tc>
          <w:tcPr>
            <w:tcW w:w="4224" w:type="dxa"/>
            <w:vAlign w:val="center"/>
          </w:tcPr>
          <w:p>
            <w:pPr>
              <w:pStyle w:val="16"/>
            </w:pPr>
            <w:r>
              <w:t>生活补助</w:t>
            </w:r>
          </w:p>
        </w:tc>
        <w:tc>
          <w:tcPr>
            <w:tcW w:w="1992" w:type="dxa"/>
            <w:vAlign w:val="top"/>
          </w:tcPr>
          <w:p>
            <w:pPr>
              <w:pStyle w:val="15"/>
            </w:pPr>
            <w:r>
              <w:rPr>
                <w:rFonts w:hint="default"/>
                <w:lang w:val="en-US" w:eastAsia="zh-CN"/>
              </w:rPr>
              <w:t>2.18</w:t>
            </w:r>
          </w:p>
        </w:tc>
        <w:tc>
          <w:tcPr>
            <w:tcW w:w="1920" w:type="dxa"/>
            <w:vAlign w:val="top"/>
          </w:tcPr>
          <w:p>
            <w:pPr>
              <w:pStyle w:val="15"/>
              <w:rPr>
                <w:rFonts w:hint="default"/>
                <w:lang w:val="en-US" w:eastAsia="zh-CN"/>
              </w:rPr>
            </w:pPr>
            <w:r>
              <w:rPr>
                <w:rFonts w:hint="default"/>
                <w:lang w:val="en-US" w:eastAsia="zh-CN"/>
              </w:rPr>
              <w:t>2.18</w:t>
            </w:r>
          </w:p>
        </w:tc>
        <w:tc>
          <w:tcPr>
            <w:tcW w:w="2034" w:type="dxa"/>
            <w:vAlign w:val="center"/>
          </w:tcPr>
          <w:p>
            <w:pPr>
              <w:pStyle w:val="15"/>
              <w:rPr>
                <w:rFonts w:hint="default"/>
                <w:lang w:val="en-US" w:eastAsia="zh-CN"/>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6" w:name="_Toc_2_2_0000000007"/>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部门预算政府基金预算财政拨款支出表</w:t>
      </w:r>
      <w:bookmarkEnd w:id="6"/>
    </w:p>
    <w:tbl>
      <w:tblPr>
        <w:tblStyle w:val="8"/>
        <w:tblW w:w="1247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0"/>
        <w:gridCol w:w="2592"/>
        <w:gridCol w:w="2454"/>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46"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12"/>
              <w:jc w:val="both"/>
              <w:rPr>
                <w:rFonts w:hint="eastAsia" w:eastAsia="方正小标宋_GBK"/>
                <w:lang w:val="en-US" w:eastAsia="zh-CN"/>
              </w:rPr>
            </w:pPr>
            <w:r>
              <w:t>预算年度：</w:t>
            </w:r>
            <w:r>
              <w:rPr>
                <w:rFonts w:hint="eastAsia"/>
                <w:lang w:val="en-US" w:eastAsia="zh-CN"/>
              </w:rPr>
              <w:t>2024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Merge w:val="restart"/>
            <w:vAlign w:val="center"/>
          </w:tcPr>
          <w:p>
            <w:pPr>
              <w:pStyle w:val="14"/>
            </w:pPr>
            <w:r>
              <w:t>序号</w:t>
            </w:r>
          </w:p>
        </w:tc>
        <w:tc>
          <w:tcPr>
            <w:tcW w:w="5046"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Merge w:val="continue"/>
          </w:tcPr>
          <w:p/>
        </w:tc>
        <w:tc>
          <w:tcPr>
            <w:tcW w:w="2592" w:type="dxa"/>
            <w:vAlign w:val="center"/>
          </w:tcPr>
          <w:p>
            <w:pPr>
              <w:pStyle w:val="14"/>
            </w:pPr>
            <w:r>
              <w:t>科目编码</w:t>
            </w:r>
          </w:p>
        </w:tc>
        <w:tc>
          <w:tcPr>
            <w:tcW w:w="2454"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dxa"/>
            <w:vAlign w:val="center"/>
          </w:tcPr>
          <w:p>
            <w:pPr>
              <w:pStyle w:val="14"/>
            </w:pPr>
            <w:r>
              <w:t>栏次</w:t>
            </w:r>
          </w:p>
        </w:tc>
        <w:tc>
          <w:tcPr>
            <w:tcW w:w="2592" w:type="dxa"/>
            <w:vAlign w:val="center"/>
          </w:tcPr>
          <w:p>
            <w:pPr>
              <w:pStyle w:val="14"/>
            </w:pPr>
            <w:r>
              <w:t>1</w:t>
            </w:r>
          </w:p>
        </w:tc>
        <w:tc>
          <w:tcPr>
            <w:tcW w:w="2454"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0" w:type="dxa"/>
            <w:vAlign w:val="center"/>
          </w:tcPr>
          <w:p>
            <w:pPr>
              <w:pStyle w:val="17"/>
            </w:pPr>
          </w:p>
        </w:tc>
        <w:tc>
          <w:tcPr>
            <w:tcW w:w="2592" w:type="dxa"/>
            <w:vAlign w:val="center"/>
          </w:tcPr>
          <w:p>
            <w:pPr>
              <w:pStyle w:val="16"/>
            </w:pPr>
          </w:p>
        </w:tc>
        <w:tc>
          <w:tcPr>
            <w:tcW w:w="2454"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rPr>
          <w:rFonts w:hint="default" w:eastAsia="方正书宋_GBK"/>
          <w:lang w:val="en-US" w:eastAsia="zh-CN"/>
        </w:rPr>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7" w:name="_Toc_2_2_0000000008"/>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部门预算国有资本经营预算财政拨款支出表</w:t>
      </w:r>
      <w:bookmarkEnd w:id="7"/>
    </w:p>
    <w:tbl>
      <w:tblPr>
        <w:tblStyle w:val="8"/>
        <w:tblW w:w="117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36"/>
        <w:gridCol w:w="2316"/>
        <w:gridCol w:w="222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8"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restart"/>
            <w:vAlign w:val="center"/>
          </w:tcPr>
          <w:p>
            <w:pPr>
              <w:pStyle w:val="14"/>
            </w:pPr>
            <w:r>
              <w:t>序号</w:t>
            </w:r>
          </w:p>
        </w:tc>
        <w:tc>
          <w:tcPr>
            <w:tcW w:w="4542" w:type="dxa"/>
            <w:gridSpan w:val="2"/>
            <w:vAlign w:val="center"/>
          </w:tcPr>
          <w:p>
            <w:pPr>
              <w:pStyle w:val="14"/>
            </w:pPr>
            <w:r>
              <w:t>功能分类科目</w:t>
            </w:r>
          </w:p>
        </w:tc>
        <w:tc>
          <w:tcPr>
            <w:tcW w:w="1643"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Merge w:val="continue"/>
          </w:tcPr>
          <w:p/>
        </w:tc>
        <w:tc>
          <w:tcPr>
            <w:tcW w:w="2316" w:type="dxa"/>
            <w:vAlign w:val="center"/>
          </w:tcPr>
          <w:p>
            <w:pPr>
              <w:pStyle w:val="14"/>
            </w:pPr>
            <w:r>
              <w:t>科目编码</w:t>
            </w:r>
          </w:p>
        </w:tc>
        <w:tc>
          <w:tcPr>
            <w:tcW w:w="2226" w:type="dxa"/>
            <w:vAlign w:val="center"/>
          </w:tcPr>
          <w:p>
            <w:pPr>
              <w:pStyle w:val="14"/>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36" w:type="dxa"/>
            <w:vAlign w:val="center"/>
          </w:tcPr>
          <w:p>
            <w:pPr>
              <w:pStyle w:val="14"/>
            </w:pPr>
            <w:r>
              <w:t>栏次</w:t>
            </w:r>
          </w:p>
        </w:tc>
        <w:tc>
          <w:tcPr>
            <w:tcW w:w="2316" w:type="dxa"/>
            <w:vAlign w:val="center"/>
          </w:tcPr>
          <w:p>
            <w:pPr>
              <w:pStyle w:val="14"/>
            </w:pPr>
            <w:r>
              <w:t>1</w:t>
            </w:r>
          </w:p>
        </w:tc>
        <w:tc>
          <w:tcPr>
            <w:tcW w:w="2226"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36" w:type="dxa"/>
            <w:vAlign w:val="center"/>
          </w:tcPr>
          <w:p>
            <w:pPr>
              <w:pStyle w:val="17"/>
            </w:pPr>
          </w:p>
        </w:tc>
        <w:tc>
          <w:tcPr>
            <w:tcW w:w="2316" w:type="dxa"/>
            <w:vAlign w:val="center"/>
          </w:tcPr>
          <w:p>
            <w:pPr>
              <w:pStyle w:val="16"/>
            </w:pPr>
          </w:p>
        </w:tc>
        <w:tc>
          <w:tcPr>
            <w:tcW w:w="2226" w:type="dxa"/>
            <w:vAlign w:val="center"/>
          </w:tcPr>
          <w:p>
            <w:pPr>
              <w:pStyle w:val="16"/>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127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9"/>
        <w:gridCol w:w="4936"/>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28" w:type="dxa"/>
            <w:gridSpan w:val="3"/>
            <w:tcBorders>
              <w:top w:val="single" w:color="FFFFFF" w:sz="6" w:space="0"/>
              <w:left w:val="single" w:color="FFFFFF" w:sz="6" w:space="0"/>
              <w:right w:val="single" w:color="FFFFFF" w:sz="6" w:space="0"/>
            </w:tcBorders>
            <w:vAlign w:val="center"/>
          </w:tcPr>
          <w:p>
            <w:pPr>
              <w:pStyle w:val="13"/>
            </w:pPr>
            <w:r>
              <w:t>501邢台市工业和信息化局</w:t>
            </w:r>
          </w:p>
        </w:tc>
        <w:tc>
          <w:tcPr>
            <w:tcW w:w="1643" w:type="dxa"/>
            <w:tcBorders>
              <w:top w:val="single" w:color="FFFFFF" w:sz="6" w:space="0"/>
              <w:left w:val="single" w:color="FFFFFF" w:sz="6" w:space="0"/>
              <w:right w:val="single" w:color="FFFFFF" w:sz="6" w:space="0"/>
            </w:tcBorders>
            <w:vAlign w:val="center"/>
          </w:tcPr>
          <w:p>
            <w:pPr>
              <w:pStyle w:val="12"/>
              <w:rPr>
                <w:rFonts w:hint="eastAsia" w:eastAsia="方正小标宋_GBK"/>
                <w:lang w:val="en-US"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9" w:type="dxa"/>
            <w:vMerge w:val="restart"/>
            <w:vAlign w:val="center"/>
          </w:tcPr>
          <w:p>
            <w:pPr>
              <w:pStyle w:val="14"/>
            </w:pPr>
            <w:r>
              <w:t>序号</w:t>
            </w:r>
          </w:p>
        </w:tc>
        <w:tc>
          <w:tcPr>
            <w:tcW w:w="4936"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Merge w:val="continue"/>
          </w:tcPr>
          <w:p/>
        </w:tc>
        <w:tc>
          <w:tcPr>
            <w:tcW w:w="4936" w:type="dxa"/>
            <w:vMerge w:val="continue"/>
          </w:tcPr>
          <w:p/>
        </w:tc>
        <w:tc>
          <w:tcPr>
            <w:tcW w:w="1643" w:type="dxa"/>
            <w:vAlign w:val="center"/>
          </w:tcPr>
          <w:p>
            <w:pPr>
              <w:pStyle w:val="14"/>
            </w:pPr>
            <w:r>
              <w:t>合计</w:t>
            </w:r>
          </w:p>
        </w:tc>
        <w:tc>
          <w:tcPr>
            <w:tcW w:w="1643" w:type="dxa"/>
            <w:vAlign w:val="center"/>
          </w:tcPr>
          <w:p>
            <w:pPr>
              <w:pStyle w:val="14"/>
            </w:pPr>
            <w:r>
              <w:t>一般公共预算              财政拨款</w:t>
            </w:r>
          </w:p>
        </w:tc>
        <w:tc>
          <w:tcPr>
            <w:tcW w:w="1643"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249" w:type="dxa"/>
            <w:vAlign w:val="center"/>
          </w:tcPr>
          <w:p>
            <w:pPr>
              <w:pStyle w:val="14"/>
            </w:pPr>
            <w:r>
              <w:t>栏次</w:t>
            </w:r>
          </w:p>
        </w:tc>
        <w:tc>
          <w:tcPr>
            <w:tcW w:w="4936" w:type="dxa"/>
            <w:vAlign w:val="center"/>
          </w:tcPr>
          <w:p>
            <w:pPr>
              <w:pStyle w:val="14"/>
            </w:pPr>
            <w:r>
              <w:t>1</w:t>
            </w:r>
          </w:p>
        </w:tc>
        <w:tc>
          <w:tcPr>
            <w:tcW w:w="1643" w:type="dxa"/>
            <w:vAlign w:val="center"/>
          </w:tcPr>
          <w:p>
            <w:pPr>
              <w:pStyle w:val="14"/>
            </w:pPr>
            <w:r>
              <w:t>2</w:t>
            </w:r>
          </w:p>
        </w:tc>
        <w:tc>
          <w:tcPr>
            <w:tcW w:w="1643"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1</w:t>
            </w:r>
          </w:p>
        </w:tc>
        <w:tc>
          <w:tcPr>
            <w:tcW w:w="4936" w:type="dxa"/>
            <w:vAlign w:val="center"/>
          </w:tcPr>
          <w:p>
            <w:pPr>
              <w:pStyle w:val="18"/>
            </w:pPr>
            <w:r>
              <w:t>合计</w:t>
            </w:r>
          </w:p>
        </w:tc>
        <w:tc>
          <w:tcPr>
            <w:tcW w:w="1643" w:type="dxa"/>
            <w:vAlign w:val="center"/>
          </w:tcPr>
          <w:p>
            <w:pPr>
              <w:pStyle w:val="19"/>
            </w:pPr>
            <w:r>
              <w:rPr>
                <w:rFonts w:hint="eastAsia"/>
                <w:lang w:val="en-US" w:eastAsia="zh-CN"/>
              </w:rPr>
              <w:t>6</w:t>
            </w:r>
            <w:r>
              <w:t>.00</w:t>
            </w:r>
          </w:p>
        </w:tc>
        <w:tc>
          <w:tcPr>
            <w:tcW w:w="1643" w:type="dxa"/>
            <w:vAlign w:val="center"/>
          </w:tcPr>
          <w:p>
            <w:pPr>
              <w:pStyle w:val="19"/>
            </w:pPr>
            <w:r>
              <w:rPr>
                <w:rFonts w:hint="eastAsia"/>
                <w:lang w:val="en-US" w:eastAsia="zh-CN"/>
              </w:rPr>
              <w:t>6</w:t>
            </w:r>
            <w:r>
              <w:t>.00</w:t>
            </w:r>
          </w:p>
        </w:tc>
        <w:tc>
          <w:tcPr>
            <w:tcW w:w="1643"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2</w:t>
            </w:r>
          </w:p>
        </w:tc>
        <w:tc>
          <w:tcPr>
            <w:tcW w:w="4936" w:type="dxa"/>
            <w:vAlign w:val="center"/>
          </w:tcPr>
          <w:p>
            <w:pPr>
              <w:pStyle w:val="16"/>
            </w:pPr>
            <w:r>
              <w:t>“三公”经费小计</w:t>
            </w:r>
          </w:p>
        </w:tc>
        <w:tc>
          <w:tcPr>
            <w:tcW w:w="1643" w:type="dxa"/>
            <w:vAlign w:val="center"/>
          </w:tcPr>
          <w:p>
            <w:pPr>
              <w:pStyle w:val="15"/>
            </w:pPr>
            <w:r>
              <w:rPr>
                <w:rFonts w:hint="eastAsia"/>
                <w:lang w:val="en-US" w:eastAsia="zh-CN"/>
              </w:rPr>
              <w:t>6</w:t>
            </w:r>
            <w:r>
              <w:t>.00</w:t>
            </w:r>
          </w:p>
        </w:tc>
        <w:tc>
          <w:tcPr>
            <w:tcW w:w="1643" w:type="dxa"/>
            <w:vAlign w:val="center"/>
          </w:tcPr>
          <w:p>
            <w:pPr>
              <w:pStyle w:val="15"/>
            </w:pPr>
            <w:r>
              <w:rPr>
                <w:rFonts w:hint="eastAsia"/>
                <w:lang w:val="en-US" w:eastAsia="zh-CN"/>
              </w:rPr>
              <w:t>6</w:t>
            </w:r>
            <w:r>
              <w:t>.00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3</w:t>
            </w:r>
          </w:p>
        </w:tc>
        <w:tc>
          <w:tcPr>
            <w:tcW w:w="4936" w:type="dxa"/>
            <w:vAlign w:val="center"/>
          </w:tcPr>
          <w:p>
            <w:pPr>
              <w:pStyle w:val="16"/>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4</w:t>
            </w:r>
          </w:p>
        </w:tc>
        <w:tc>
          <w:tcPr>
            <w:tcW w:w="4936" w:type="dxa"/>
            <w:vAlign w:val="center"/>
          </w:tcPr>
          <w:p>
            <w:pPr>
              <w:pStyle w:val="16"/>
            </w:pPr>
            <w:r>
              <w:t xml:space="preserve">    其中：教学科研人员因公出国（境）费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5</w:t>
            </w:r>
          </w:p>
        </w:tc>
        <w:tc>
          <w:tcPr>
            <w:tcW w:w="4936" w:type="dxa"/>
            <w:vAlign w:val="center"/>
          </w:tcPr>
          <w:p>
            <w:pPr>
              <w:pStyle w:val="16"/>
            </w:pPr>
            <w:r>
              <w:t xml:space="preserve">          其他因公出国（境）费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6</w:t>
            </w:r>
          </w:p>
        </w:tc>
        <w:tc>
          <w:tcPr>
            <w:tcW w:w="4936" w:type="dxa"/>
            <w:vAlign w:val="center"/>
          </w:tcPr>
          <w:p>
            <w:pPr>
              <w:pStyle w:val="16"/>
            </w:pPr>
            <w:r>
              <w:t>二、公务用车购置及运维费</w:t>
            </w:r>
          </w:p>
        </w:tc>
        <w:tc>
          <w:tcPr>
            <w:tcW w:w="1643" w:type="dxa"/>
            <w:vAlign w:val="center"/>
          </w:tcPr>
          <w:p>
            <w:pPr>
              <w:pStyle w:val="15"/>
            </w:pPr>
            <w:r>
              <w:rPr>
                <w:rFonts w:hint="eastAsia"/>
                <w:lang w:val="en-US" w:eastAsia="zh-CN"/>
              </w:rPr>
              <w:t>6</w:t>
            </w:r>
            <w:r>
              <w:t>.00</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7</w:t>
            </w:r>
          </w:p>
        </w:tc>
        <w:tc>
          <w:tcPr>
            <w:tcW w:w="4936" w:type="dxa"/>
            <w:vAlign w:val="center"/>
          </w:tcPr>
          <w:p>
            <w:pPr>
              <w:pStyle w:val="16"/>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8</w:t>
            </w:r>
          </w:p>
        </w:tc>
        <w:tc>
          <w:tcPr>
            <w:tcW w:w="4936" w:type="dxa"/>
            <w:vAlign w:val="center"/>
          </w:tcPr>
          <w:p>
            <w:pPr>
              <w:pStyle w:val="16"/>
            </w:pPr>
            <w:r>
              <w:t xml:space="preserve">          公务用车运行维护费</w:t>
            </w:r>
          </w:p>
        </w:tc>
        <w:tc>
          <w:tcPr>
            <w:tcW w:w="1643" w:type="dxa"/>
            <w:vAlign w:val="center"/>
          </w:tcPr>
          <w:p>
            <w:pPr>
              <w:pStyle w:val="15"/>
            </w:pPr>
            <w:r>
              <w:t>6.00</w:t>
            </w:r>
          </w:p>
        </w:tc>
        <w:tc>
          <w:tcPr>
            <w:tcW w:w="1643" w:type="dxa"/>
            <w:vAlign w:val="center"/>
          </w:tcPr>
          <w:p>
            <w:pPr>
              <w:pStyle w:val="15"/>
            </w:pPr>
            <w:r>
              <w:t>6.00</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49" w:type="dxa"/>
            <w:vAlign w:val="center"/>
          </w:tcPr>
          <w:p>
            <w:pPr>
              <w:pStyle w:val="17"/>
            </w:pPr>
            <w:r>
              <w:t>9</w:t>
            </w:r>
          </w:p>
        </w:tc>
        <w:tc>
          <w:tcPr>
            <w:tcW w:w="4936" w:type="dxa"/>
            <w:vAlign w:val="center"/>
          </w:tcPr>
          <w:p>
            <w:pPr>
              <w:pStyle w:val="16"/>
            </w:pPr>
            <w:r>
              <w:t>三、公务接待费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邢台市工业和信息化局2023年部门预算信息公开情况说明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邢台市工业和信息化局202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、《地方预决算公开操作规程》和《关于进一步推进预算公开工作的实施意见》规定，现将邢台市工业和信息化局202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1、提出全市新型工业化发展战略和政策，协调解决新型工业化进程中的重大问题，拟订并组织实施全市工业的发展规划，推进产业结构战略性调整和优化升级，推进信息化和工业化融合。</w:t>
      </w:r>
    </w:p>
    <w:p>
      <w:pPr>
        <w:pStyle w:val="21"/>
      </w:pPr>
      <w:r>
        <w:t>2、制订并组织实施全市工业行业规划、计划和产业政策，提出优化产业布局、结构的政策建议，推进现代产业体系建设，起草地方性管理办法，组织实施行业技术规范和标准，指导行业质量管理工作。</w:t>
      </w:r>
    </w:p>
    <w:p>
      <w:pPr>
        <w:pStyle w:val="21"/>
      </w:pPr>
      <w:r>
        <w:t>3、监测分析全市工业运行态势，统计并发布相关信息，进行预测预警和信息引导;协调解决行业运行发展中的有关问题并提出政策建议;负责工业用电监测;负责工业应急管理、产业安全有关工作。</w:t>
      </w:r>
    </w:p>
    <w:p>
      <w:pPr>
        <w:pStyle w:val="21"/>
      </w:pPr>
      <w:r>
        <w:t>4、负责提出全市工业固定资产投资规模和方向(含利用外资和境外投资)、国家、省和市财政性建设资金安排的意见。</w:t>
      </w:r>
    </w:p>
    <w:p>
      <w:pPr>
        <w:pStyle w:val="21"/>
      </w:pPr>
      <w:r>
        <w:t>5、负责对中小企业和民营经济促进工作进行指导、综合协调和监督检查，会同有关部门拟订促进中小企业发展和民营经济发展的相关政策和措施并组织实施，协调解决有关重大问题。</w:t>
      </w:r>
    </w:p>
    <w:p>
      <w:pPr>
        <w:pStyle w:val="21"/>
      </w:pPr>
      <w:r>
        <w:t>6、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21"/>
      </w:pPr>
      <w:r>
        <w:t>7、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21"/>
      </w:pPr>
      <w:r>
        <w:t>8、拟订并组织实施全市工业能源节约和资源综合利用促进政策，参与拟订能源节约和资源综合利用促进规划，组织协调相关重大示范工程和新产品、新技术、新设备、新材料的推广应用。</w:t>
      </w:r>
    </w:p>
    <w:p>
      <w:pPr>
        <w:pStyle w:val="21"/>
      </w:pPr>
      <w:r>
        <w:t>9、推进全市工业体制改革和管理创新，提高行业综合素质和核心竞争力，指导工业行业加强安全生产管理，负责民爆行业生产流通的监督管理和安全生产工作。</w:t>
      </w:r>
    </w:p>
    <w:p>
      <w:pPr>
        <w:pStyle w:val="21"/>
      </w:pPr>
      <w:r>
        <w:t>10、开展工业、中小企业的对外合作与交流。</w:t>
      </w:r>
    </w:p>
    <w:p>
      <w:pPr>
        <w:pStyle w:val="21"/>
      </w:pPr>
      <w:r>
        <w:t>11、承担履行《禁止化学武器公约》的组织协调工作。</w:t>
      </w:r>
    </w:p>
    <w:p>
      <w:pPr>
        <w:pStyle w:val="21"/>
      </w:pPr>
      <w:r>
        <w:t>12、承担盐业行业管理工作。</w:t>
      </w:r>
    </w:p>
    <w:p>
      <w:pPr>
        <w:pStyle w:val="21"/>
      </w:pPr>
      <w:r>
        <w:t>13、负责市国防工业有关工作。</w:t>
      </w:r>
    </w:p>
    <w:p>
      <w:pPr>
        <w:pStyle w:val="21"/>
      </w:pPr>
      <w:r>
        <w:t>14、完成市委、市政府交办的其他任务。</w:t>
      </w:r>
    </w:p>
    <w:p>
      <w:pPr>
        <w:pStyle w:val="21"/>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111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03"/>
        <w:gridCol w:w="2496"/>
        <w:gridCol w:w="2751"/>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3" w:type="dxa"/>
            <w:vAlign w:val="center"/>
          </w:tcPr>
          <w:p>
            <w:pPr>
              <w:pStyle w:val="14"/>
            </w:pPr>
            <w:r>
              <w:t>单位名称</w:t>
            </w:r>
          </w:p>
        </w:tc>
        <w:tc>
          <w:tcPr>
            <w:tcW w:w="2496" w:type="dxa"/>
            <w:vAlign w:val="center"/>
          </w:tcPr>
          <w:p>
            <w:pPr>
              <w:pStyle w:val="14"/>
            </w:pPr>
            <w:r>
              <w:t>单位性质</w:t>
            </w:r>
          </w:p>
        </w:tc>
        <w:tc>
          <w:tcPr>
            <w:tcW w:w="2751"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403" w:type="dxa"/>
            <w:vAlign w:val="center"/>
          </w:tcPr>
          <w:p>
            <w:pPr>
              <w:pStyle w:val="16"/>
            </w:pPr>
            <w:r>
              <w:t>邢台市工业和信息化局本级</w:t>
            </w:r>
          </w:p>
        </w:tc>
        <w:tc>
          <w:tcPr>
            <w:tcW w:w="2496" w:type="dxa"/>
            <w:vAlign w:val="center"/>
          </w:tcPr>
          <w:p>
            <w:pPr>
              <w:pStyle w:val="17"/>
            </w:pPr>
            <w:r>
              <w:t>行政</w:t>
            </w:r>
          </w:p>
        </w:tc>
        <w:tc>
          <w:tcPr>
            <w:tcW w:w="2751" w:type="dxa"/>
            <w:vAlign w:val="center"/>
          </w:tcPr>
          <w:p>
            <w:pPr>
              <w:pStyle w:val="17"/>
            </w:pPr>
            <w:r>
              <w:t>正处（县）级</w:t>
            </w:r>
          </w:p>
        </w:tc>
        <w:tc>
          <w:tcPr>
            <w:tcW w:w="2464" w:type="dxa"/>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市</w:t>
      </w:r>
      <w:r>
        <w:rPr>
          <w:rFonts w:ascii="Times New Roman" w:hAnsi="Times New Roman" w:eastAsia="方正仿宋_GBK" w:cs="Times New Roman"/>
          <w:color w:val="000000"/>
          <w:sz w:val="28"/>
        </w:rPr>
        <w:t>部门预算的编制实行综合预算管理，即全部收入和支出都反映在预算中。邢台市工业和信息化局机关及所属事业单位的收支包含在部门预算中。</w:t>
      </w:r>
    </w:p>
    <w:p>
      <w:pPr>
        <w:pStyle w:val="22"/>
      </w:pPr>
      <w:r>
        <w:t>1、收入说明</w:t>
      </w:r>
    </w:p>
    <w:p>
      <w:pPr>
        <w:pStyle w:val="22"/>
      </w:pPr>
      <w:r>
        <w:t>反映本部门当年全部收入。202</w:t>
      </w:r>
      <w:r>
        <w:rPr>
          <w:rFonts w:hint="eastAsia"/>
          <w:lang w:val="en-US" w:eastAsia="zh-CN"/>
        </w:rPr>
        <w:t>4</w:t>
      </w:r>
      <w:r>
        <w:t>年预算收入</w:t>
      </w:r>
      <w:r>
        <w:rPr>
          <w:rFonts w:hint="eastAsia"/>
          <w:lang w:val="en-US" w:eastAsia="zh-CN"/>
        </w:rPr>
        <w:t>1195.5</w:t>
      </w:r>
      <w:r>
        <w:t>万元，其中:一般公共预算收入</w:t>
      </w:r>
      <w:r>
        <w:rPr>
          <w:rFonts w:hint="eastAsia"/>
          <w:lang w:val="en-US" w:eastAsia="zh-CN"/>
        </w:rPr>
        <w:t>1152.8</w:t>
      </w:r>
      <w:r>
        <w:t>万元，基金预算收入0万元，国有资本经营预算收入0万元，财政专户核拨收入0万元，单位资金收入0万元，上年结转结余</w:t>
      </w:r>
      <w:r>
        <w:rPr>
          <w:rFonts w:hint="eastAsia"/>
          <w:lang w:val="en-US" w:eastAsia="zh-CN"/>
        </w:rPr>
        <w:t>42.7</w:t>
      </w:r>
      <w:r>
        <w:t>万元。</w:t>
      </w:r>
    </w:p>
    <w:p>
      <w:pPr>
        <w:pStyle w:val="22"/>
      </w:pPr>
      <w:r>
        <w:t>2、支出说明</w:t>
      </w:r>
    </w:p>
    <w:p>
      <w:pPr>
        <w:pStyle w:val="22"/>
      </w:pPr>
      <w:r>
        <w:t>收支预算总表支出栏、基本支出表、项目支出表按经济分类和支出功能分类科目编制，反映邢台市工业和信息化局年度部门预算中支出预算的总体情况。202</w:t>
      </w:r>
      <w:r>
        <w:rPr>
          <w:rFonts w:hint="eastAsia"/>
          <w:lang w:val="en-US" w:eastAsia="zh-CN"/>
        </w:rPr>
        <w:t>4</w:t>
      </w:r>
      <w:r>
        <w:t>年支出预算</w:t>
      </w:r>
      <w:r>
        <w:rPr>
          <w:rFonts w:hint="eastAsia"/>
          <w:lang w:val="en-US" w:eastAsia="zh-CN"/>
        </w:rPr>
        <w:t>1195.5</w:t>
      </w:r>
      <w:r>
        <w:t>万元，其中基本支出</w:t>
      </w:r>
      <w:r>
        <w:rPr>
          <w:rFonts w:hint="eastAsia"/>
          <w:lang w:val="en-US" w:eastAsia="zh-CN"/>
        </w:rPr>
        <w:t>904.01</w:t>
      </w:r>
      <w:r>
        <w:t>万元，包括人员经费</w:t>
      </w:r>
      <w:r>
        <w:rPr>
          <w:rFonts w:hint="eastAsia"/>
          <w:lang w:val="en-US" w:eastAsia="zh-CN"/>
        </w:rPr>
        <w:t xml:space="preserve"> 808.52</w:t>
      </w:r>
      <w:r>
        <w:t>万元和日常公用经费</w:t>
      </w:r>
      <w:r>
        <w:rPr>
          <w:rFonts w:hint="eastAsia"/>
          <w:lang w:val="en-US" w:eastAsia="zh-CN"/>
        </w:rPr>
        <w:t>95.49</w:t>
      </w:r>
      <w:r>
        <w:t>万元；项目支出</w:t>
      </w:r>
      <w:r>
        <w:rPr>
          <w:rFonts w:hint="eastAsia"/>
          <w:lang w:val="en-US" w:eastAsia="zh-CN"/>
        </w:rPr>
        <w:t>291.49</w:t>
      </w:r>
      <w:r>
        <w:t>万元，主要为工业转型（技改）工作经费、中小企业发展专项经费</w:t>
      </w:r>
      <w:r>
        <w:rPr>
          <w:rFonts w:hint="eastAsia"/>
          <w:lang w:eastAsia="zh-CN"/>
        </w:rPr>
        <w:t>、</w:t>
      </w:r>
      <w:r>
        <w:rPr>
          <w:rFonts w:hint="eastAsia"/>
          <w:lang w:val="en-US" w:eastAsia="zh-CN"/>
        </w:rPr>
        <w:t>中国国际数字经济博览会</w:t>
      </w:r>
      <w:r>
        <w:t>等。</w:t>
      </w:r>
    </w:p>
    <w:p>
      <w:pPr>
        <w:pStyle w:val="22"/>
      </w:pPr>
      <w:r>
        <w:t>3、比上年增减情况</w:t>
      </w:r>
    </w:p>
    <w:p>
      <w:pPr>
        <w:pStyle w:val="22"/>
      </w:pPr>
      <w:r>
        <w:t>202</w:t>
      </w:r>
      <w:r>
        <w:rPr>
          <w:rFonts w:hint="eastAsia"/>
          <w:lang w:val="en-US" w:eastAsia="zh-CN"/>
        </w:rPr>
        <w:t>4</w:t>
      </w:r>
      <w:r>
        <w:t>年预算收支安排</w:t>
      </w:r>
      <w:r>
        <w:rPr>
          <w:rFonts w:hint="eastAsia"/>
          <w:lang w:val="en-US" w:eastAsia="zh-CN"/>
        </w:rPr>
        <w:t>1195.5</w:t>
      </w:r>
      <w:r>
        <w:t>万元，较202</w:t>
      </w:r>
      <w:r>
        <w:rPr>
          <w:rFonts w:hint="eastAsia"/>
          <w:lang w:val="en-US" w:eastAsia="zh-CN"/>
        </w:rPr>
        <w:t>3</w:t>
      </w:r>
      <w:r>
        <w:t>年预算减少</w:t>
      </w:r>
      <w:r>
        <w:rPr>
          <w:rFonts w:hint="eastAsia"/>
          <w:lang w:val="en-US" w:eastAsia="zh-CN"/>
        </w:rPr>
        <w:t>140.73</w:t>
      </w:r>
      <w:r>
        <w:t>万元，其中：基本支出</w:t>
      </w:r>
      <w:r>
        <w:rPr>
          <w:rFonts w:hint="eastAsia"/>
          <w:lang w:val="en-US" w:eastAsia="zh-CN"/>
        </w:rPr>
        <w:t>减少119.33</w:t>
      </w:r>
      <w:r>
        <w:t>万元，主要为</w:t>
      </w:r>
      <w:r>
        <w:rPr>
          <w:rFonts w:hint="eastAsia"/>
          <w:lang w:val="en-US" w:eastAsia="zh-CN"/>
        </w:rPr>
        <w:t>人员减少，相应</w:t>
      </w:r>
      <w:r>
        <w:t>人员经费支出</w:t>
      </w:r>
      <w:r>
        <w:rPr>
          <w:rFonts w:hint="eastAsia"/>
          <w:lang w:val="en-US" w:eastAsia="zh-CN"/>
        </w:rPr>
        <w:t>减少</w:t>
      </w:r>
      <w:r>
        <w:t>；项目支出减少</w:t>
      </w:r>
      <w:r>
        <w:rPr>
          <w:rFonts w:hint="eastAsia"/>
          <w:lang w:val="en-US" w:eastAsia="zh-CN"/>
        </w:rPr>
        <w:t>21.4</w:t>
      </w:r>
      <w:r>
        <w:t>万元，主要为</w:t>
      </w:r>
      <w:r>
        <w:rPr>
          <w:rFonts w:hint="eastAsia"/>
          <w:lang w:val="en-US" w:eastAsia="zh-CN"/>
        </w:rPr>
        <w:t>2024年</w:t>
      </w:r>
      <w:r>
        <w:t>减少</w:t>
      </w:r>
      <w:r>
        <w:rPr>
          <w:rFonts w:hint="eastAsia"/>
          <w:lang w:val="en-US" w:eastAsia="zh-CN"/>
        </w:rPr>
        <w:t>了邢台市工业企业服务平台建设经费</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3"/>
        <w:rPr>
          <w:rFonts w:ascii="黑体" w:hAnsi="黑体" w:eastAsia="黑体" w:cs="黑体"/>
          <w:color w:val="000000"/>
          <w:sz w:val="32"/>
        </w:rPr>
      </w:pPr>
      <w:r>
        <w:t>202</w:t>
      </w:r>
      <w:r>
        <w:rPr>
          <w:rFonts w:hint="eastAsia"/>
          <w:lang w:val="en-US" w:eastAsia="zh-CN"/>
        </w:rPr>
        <w:t>4</w:t>
      </w:r>
      <w:r>
        <w:t>年，我部门运行经费共计安排</w:t>
      </w:r>
      <w:r>
        <w:rPr>
          <w:rFonts w:hint="eastAsia"/>
          <w:lang w:val="en-US" w:eastAsia="zh-CN"/>
        </w:rPr>
        <w:t>95.49</w:t>
      </w:r>
      <w:r>
        <w:t>万元，主要用于日常维修、办公用房水电费、办公用房取暖费、办公用房物业管理费等日常运行支出。</w:t>
      </w:r>
      <w:bookmarkStart w:id="12" w:name="_Toc_3_3_0000000013"/>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4"/>
      </w:pPr>
      <w:r>
        <w:t>202</w:t>
      </w:r>
      <w:r>
        <w:rPr>
          <w:rFonts w:hint="eastAsia"/>
          <w:lang w:val="en-US" w:eastAsia="zh-CN"/>
        </w:rPr>
        <w:t>4</w:t>
      </w:r>
      <w:r>
        <w:t>年，我部门财政拨款“三公”经费预算安排</w:t>
      </w:r>
      <w:r>
        <w:rPr>
          <w:rFonts w:hint="eastAsia"/>
          <w:lang w:val="en-US" w:eastAsia="zh-CN"/>
        </w:rPr>
        <w:t>6</w:t>
      </w:r>
      <w:r>
        <w:t>万元，其中因公出国(境)费0万元；公务用车购置及运维费6万元(其中:公务用车购置费为0万元，公务用车运维费6万元)；公务接待费</w:t>
      </w:r>
      <w:r>
        <w:rPr>
          <w:rFonts w:hint="eastAsia"/>
          <w:lang w:val="en-US" w:eastAsia="zh-CN"/>
        </w:rPr>
        <w:t>0</w:t>
      </w:r>
      <w:r>
        <w:t>万元。与202</w:t>
      </w:r>
      <w:r>
        <w:rPr>
          <w:rFonts w:hint="eastAsia"/>
          <w:lang w:val="en-US" w:eastAsia="zh-CN"/>
        </w:rPr>
        <w:t>3</w:t>
      </w:r>
      <w:r>
        <w:t>年相比</w:t>
      </w:r>
      <w:r>
        <w:rPr>
          <w:rFonts w:hint="eastAsia"/>
          <w:lang w:val="en-US" w:eastAsia="zh-CN"/>
        </w:rPr>
        <w:t>减少公务接待费2万元</w:t>
      </w:r>
      <w:bookmarkStart w:id="13" w:name="_Toc_3_3_0000000014"/>
      <w:r>
        <w:rPr>
          <w:rFonts w:hint="eastAsia"/>
          <w:lang w:val="en-US" w:eastAsia="zh-CN"/>
        </w:rPr>
        <w:t>。</w:t>
      </w:r>
    </w:p>
    <w:p>
      <w:pPr>
        <w:spacing w:before="10" w:after="10" w:line="360" w:lineRule="auto"/>
        <w:ind w:firstLine="640"/>
        <w:jc w:val="left"/>
        <w:outlineLvl w:val="2"/>
        <w:rPr>
          <w:rFonts w:hint="default" w:eastAsia="黑体"/>
          <w:lang w:val="en-US" w:eastAsia="zh-CN"/>
        </w:rPr>
      </w:pPr>
      <w:r>
        <w:rPr>
          <w:rFonts w:ascii="黑体" w:hAnsi="黑体" w:eastAsia="黑体" w:cs="黑体"/>
          <w:color w:val="000000"/>
          <w:sz w:val="32"/>
        </w:rPr>
        <w:t>五、</w:t>
      </w:r>
      <w:bookmarkEnd w:id="13"/>
      <w:r>
        <w:rPr>
          <w:rFonts w:hint="eastAsia" w:ascii="黑体" w:hAnsi="黑体" w:eastAsia="黑体" w:cs="黑体"/>
          <w:color w:val="000000"/>
          <w:sz w:val="32"/>
          <w:lang w:val="en-US" w:eastAsia="zh-CN"/>
        </w:rPr>
        <w:t>部门整体绩效目标</w:t>
      </w:r>
    </w:p>
    <w:p>
      <w:pPr>
        <w:pStyle w:val="26"/>
        <w:rPr>
          <w:rFonts w:hint="eastAsia"/>
          <w:lang w:val="en-US" w:eastAsia="zh-CN"/>
        </w:rPr>
      </w:pPr>
      <w:r>
        <w:rPr>
          <w:rFonts w:ascii="Times New Roman" w:hAnsi="Times New Roman" w:eastAsia="方正仿宋_GBK" w:cs="Times New Roman"/>
          <w:color w:val="000000"/>
          <w:sz w:val="28"/>
        </w:rPr>
        <w:t>（</w:t>
      </w:r>
      <w:r>
        <w:rPr>
          <w:rFonts w:hint="eastAsia"/>
          <w:lang w:val="en-US" w:eastAsia="zh-CN"/>
        </w:rPr>
        <w:t>一）总体绩效目标</w:t>
      </w:r>
    </w:p>
    <w:p>
      <w:pPr>
        <w:pStyle w:val="26"/>
        <w:rPr>
          <w:rFonts w:hint="eastAsia"/>
          <w:lang w:val="en-US" w:eastAsia="zh-CN"/>
        </w:rPr>
      </w:pPr>
      <w:r>
        <w:rPr>
          <w:rFonts w:hint="eastAsia"/>
          <w:lang w:val="en-US" w:eastAsia="zh-CN"/>
        </w:rPr>
        <w:t>坚持以习近平新时代中国特色社会主义思想为指导，深入学习贯彻党的二十大精神，完整、准确、全面贯彻新发展理念，认真落实全国、全省新型工业化推进大会部署和市委十届六次、七次全会任务安排，坚持工业立市不动摇，聚焦高端化、智能化、绿色化发展，以推进新型工业化为主线，大力推动县域特色产业提档升级，以科技创新为引领，以数字化赋能为主要抓手，以提 升服务能力为强力保障，突出发展新材料、新能源汽车产业，加快钢铁、建材、化工、食品等传统产业优势再造，做大做强做热中心城区，全力促进工业经济平稳增长，为中国式现代化建设河北篇章的邢台实践构筑强大物质基础。规模以上工业增加值增速实现5.5%；工业投资同比增长6.5%左右，工业技术改造投资同比增长7%左右；新增规上工业企业100家以上、专精特新中小企业60家以上、省级以上单项冠军企业5家以上、“领跑者”企业5家以上；                                                                                                                                                                                                                                                                                                                                                                                                                                                                                                                                                                                                                                                                                                                                                                                                                                                                                                                                                                                                                                                                                                                                                                                                                                                           创建省级以上绿色工厂10家以上。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spacing w:line="560" w:lineRule="exact"/>
        <w:ind w:firstLine="63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1、</w:t>
      </w:r>
      <w:r>
        <w:rPr>
          <w:rFonts w:hint="eastAsia" w:ascii="仿宋" w:hAnsi="仿宋" w:eastAsia="仿宋" w:cs="仿宋"/>
          <w:b/>
          <w:bCs/>
          <w:kern w:val="0"/>
          <w:sz w:val="32"/>
          <w:szCs w:val="32"/>
        </w:rPr>
        <w:t>加大工业转型升级推进力度，增强我市经济竞争力。</w:t>
      </w:r>
    </w:p>
    <w:p>
      <w:pPr>
        <w:snapToGrid w:val="0"/>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绩效目标：</w:t>
      </w:r>
      <w:r>
        <w:rPr>
          <w:rFonts w:hint="eastAsia" w:ascii="仿宋" w:hAnsi="仿宋" w:eastAsia="仿宋" w:cs="仿宋"/>
          <w:sz w:val="32"/>
          <w:szCs w:val="32"/>
        </w:rPr>
        <w:t>实施重点工业和技改投资项目计划，加大工业转型升级推进力度，推进工业企业转型发展，启动工业企业综合绩效评价，推进工业设计发展，开展智能工厂、智能制造优秀场景、智能制造先行区培育工作，推进企业上云、工业互联网、互联网+先进制造业发展，培育壮大特色产业集群，推动中小企业发展，加强工业运行监测分析，开展项目评审。</w:t>
      </w:r>
    </w:p>
    <w:p>
      <w:pPr>
        <w:snapToGrid w:val="0"/>
        <w:spacing w:line="560" w:lineRule="exact"/>
        <w:ind w:firstLine="643" w:firstLineChars="200"/>
        <w:rPr>
          <w:rFonts w:hint="eastAsia" w:ascii="仿宋_GB2312" w:hAnsi="Calibri" w:eastAsia="仿宋_GB2312"/>
          <w:sz w:val="32"/>
          <w:szCs w:val="32"/>
        </w:rPr>
      </w:pPr>
      <w:r>
        <w:rPr>
          <w:rFonts w:hint="eastAsia" w:ascii="仿宋" w:hAnsi="仿宋" w:eastAsia="仿宋" w:cs="仿宋"/>
          <w:b/>
          <w:bCs/>
          <w:sz w:val="32"/>
          <w:szCs w:val="32"/>
        </w:rPr>
        <w:t>绩效指标：一是</w:t>
      </w:r>
      <w:r>
        <w:rPr>
          <w:rFonts w:hint="eastAsia" w:ascii="仿宋_GB2312" w:hAnsi="Calibri" w:eastAsia="仿宋_GB2312"/>
          <w:b/>
          <w:sz w:val="32"/>
          <w:szCs w:val="32"/>
        </w:rPr>
        <w:t>产出指标方面。</w:t>
      </w:r>
      <w:r>
        <w:rPr>
          <w:rFonts w:hint="eastAsia" w:ascii="仿宋_GB2312" w:hAnsi="Calibri" w:eastAsia="仿宋_GB2312"/>
          <w:bCs/>
          <w:sz w:val="32"/>
          <w:szCs w:val="32"/>
        </w:rPr>
        <w:t>实施百项技改工程数量不少于80个，市级工业设计中心个数达到5个以上，产业集群数量达到18个以上，首台套重大技术产品数达到10个以上</w:t>
      </w:r>
      <w:r>
        <w:rPr>
          <w:rFonts w:hint="eastAsia" w:ascii="仿宋_GB2312" w:hAnsi="Calibri" w:eastAsia="仿宋_GB2312"/>
          <w:bCs/>
          <w:sz w:val="32"/>
          <w:szCs w:val="32"/>
          <w:lang w:eastAsia="zh-CN"/>
        </w:rPr>
        <w:t>，</w:t>
      </w:r>
      <w:r>
        <w:rPr>
          <w:rFonts w:hint="eastAsia" w:ascii="仿宋_GB2312" w:hAnsi="Calibri" w:eastAsia="仿宋_GB2312"/>
          <w:bCs/>
          <w:sz w:val="32"/>
          <w:szCs w:val="32"/>
        </w:rPr>
        <w:t>组织企业参加省召开互联网+制造业相关培训次数3次</w:t>
      </w:r>
      <w:r>
        <w:rPr>
          <w:rFonts w:hint="eastAsia" w:ascii="仿宋_GB2312" w:hAnsi="Calibri" w:eastAsia="仿宋_GB2312"/>
          <w:bCs/>
          <w:sz w:val="32"/>
          <w:szCs w:val="32"/>
          <w:lang w:eastAsia="zh-CN"/>
        </w:rPr>
        <w:t>，</w:t>
      </w:r>
      <w:r>
        <w:rPr>
          <w:rFonts w:hint="eastAsia" w:ascii="仿宋_GB2312" w:hAnsi="Calibri" w:eastAsia="仿宋_GB2312"/>
          <w:bCs/>
          <w:sz w:val="32"/>
          <w:szCs w:val="32"/>
        </w:rPr>
        <w:t>督导推进工业互联网平台和互联网+制造业项目建设次数</w:t>
      </w:r>
      <w:r>
        <w:rPr>
          <w:rFonts w:hint="eastAsia" w:ascii="仿宋_GB2312" w:hAnsi="Calibri" w:eastAsia="仿宋_GB2312"/>
          <w:bCs/>
          <w:sz w:val="32"/>
          <w:szCs w:val="32"/>
        </w:rPr>
        <w:tab/>
      </w:r>
      <w:r>
        <w:rPr>
          <w:rFonts w:hint="eastAsia" w:ascii="仿宋_GB2312" w:hAnsi="Calibri" w:eastAsia="仿宋_GB2312"/>
          <w:bCs/>
          <w:sz w:val="32"/>
          <w:szCs w:val="32"/>
        </w:rPr>
        <w:t>3次，项目评审16个以上，规上工业增加值增速达到5%。</w:t>
      </w:r>
      <w:r>
        <w:rPr>
          <w:rFonts w:hint="eastAsia" w:ascii="仿宋_GB2312" w:hAnsi="Calibri" w:eastAsia="仿宋_GB2312"/>
          <w:b/>
          <w:sz w:val="32"/>
          <w:szCs w:val="32"/>
        </w:rPr>
        <w:t>二是效果指标方面。</w:t>
      </w:r>
      <w:r>
        <w:rPr>
          <w:rFonts w:hint="eastAsia" w:ascii="仿宋_GB2312" w:hAnsi="Calibri" w:eastAsia="仿宋_GB2312"/>
          <w:bCs/>
          <w:sz w:val="32"/>
          <w:szCs w:val="32"/>
        </w:rPr>
        <w:t>县域特色产业集群营业收入超百亿元数量达到15个，制造业工业企业研发机构数量达到50个，培育绿色工厂6家。</w:t>
      </w:r>
      <w:r>
        <w:rPr>
          <w:rFonts w:hint="eastAsia" w:ascii="仿宋_GB2312" w:hAnsi="Calibri" w:eastAsia="仿宋_GB2312"/>
          <w:b/>
          <w:sz w:val="32"/>
          <w:szCs w:val="32"/>
        </w:rPr>
        <w:t>三是满意度指标。</w:t>
      </w:r>
      <w:r>
        <w:rPr>
          <w:rFonts w:hint="eastAsia" w:ascii="仿宋_GB2312" w:hAnsi="Calibri" w:eastAsia="仿宋_GB2312"/>
          <w:bCs/>
          <w:sz w:val="32"/>
          <w:szCs w:val="32"/>
        </w:rPr>
        <w:t>通过对受益对象进行抽查，受益对象满意度不低于90%。</w:t>
      </w:r>
    </w:p>
    <w:p>
      <w:pPr>
        <w:pStyle w:val="2"/>
        <w:spacing w:line="560" w:lineRule="exact"/>
        <w:ind w:left="0" w:leftChars="0" w:firstLine="643" w:firstLineChars="200"/>
        <w:rPr>
          <w:rFonts w:hint="eastAsia" w:ascii="仿宋" w:hAnsi="仿宋" w:eastAsia="仿宋" w:cs="仿宋"/>
          <w:b/>
          <w:bCs/>
          <w:sz w:val="32"/>
          <w:szCs w:val="32"/>
        </w:rPr>
      </w:pP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持续开展“亩均改革”，促进亩均效益提档升级</w:t>
      </w:r>
    </w:p>
    <w:p>
      <w:pPr>
        <w:pStyle w:val="2"/>
        <w:spacing w:line="560" w:lineRule="exact"/>
        <w:ind w:left="0" w:leftChars="0" w:firstLine="643" w:firstLineChars="200"/>
        <w:rPr>
          <w:rFonts w:hint="eastAsia" w:ascii="仿宋_GB2312" w:hAnsi="Calibri" w:eastAsia="仿宋_GB2312"/>
          <w:bCs/>
          <w:sz w:val="32"/>
          <w:szCs w:val="32"/>
        </w:rPr>
      </w:pPr>
      <w:r>
        <w:rPr>
          <w:rFonts w:hint="eastAsia" w:ascii="仿宋" w:hAnsi="仿宋" w:eastAsia="仿宋" w:cs="仿宋"/>
          <w:b/>
          <w:bCs/>
          <w:sz w:val="32"/>
          <w:szCs w:val="32"/>
        </w:rPr>
        <w:t>绩效目标：</w:t>
      </w:r>
      <w:r>
        <w:rPr>
          <w:rFonts w:hint="eastAsia" w:ascii="仿宋_GB2312" w:hAnsi="Calibri" w:eastAsia="仿宋_GB2312"/>
          <w:bCs/>
          <w:sz w:val="32"/>
          <w:szCs w:val="32"/>
        </w:rPr>
        <w:t>持续开展“亩均改革”。树立先进典型，引导企业对标先进加强技术、管理、生产方式、产品种类等创新提升，促进亩均效益提档升级，工业企业亩均税收同比增长10%左右。</w:t>
      </w:r>
    </w:p>
    <w:p>
      <w:pPr>
        <w:snapToGrid w:val="0"/>
        <w:spacing w:line="560" w:lineRule="exact"/>
        <w:ind w:firstLine="643" w:firstLineChars="200"/>
        <w:rPr>
          <w:rFonts w:hint="eastAsia"/>
        </w:rPr>
      </w:pPr>
      <w:r>
        <w:rPr>
          <w:rFonts w:hint="eastAsia" w:ascii="仿宋" w:hAnsi="仿宋" w:eastAsia="仿宋" w:cs="仿宋"/>
          <w:b/>
          <w:bCs/>
          <w:sz w:val="32"/>
          <w:szCs w:val="32"/>
        </w:rPr>
        <w:t>绩效指标</w:t>
      </w:r>
      <w:r>
        <w:rPr>
          <w:rFonts w:hint="eastAsia" w:eastAsia="方正仿宋_GBK"/>
          <w:b/>
          <w:bCs/>
          <w:sz w:val="32"/>
          <w:szCs w:val="32"/>
        </w:rPr>
        <w:t>：</w:t>
      </w:r>
      <w:r>
        <w:rPr>
          <w:rFonts w:hint="eastAsia" w:ascii="仿宋_GB2312" w:hAnsi="Calibri" w:eastAsia="仿宋_GB2312"/>
          <w:b/>
          <w:sz w:val="32"/>
          <w:szCs w:val="32"/>
        </w:rPr>
        <w:t>一是产出指标方面。</w:t>
      </w:r>
      <w:r>
        <w:rPr>
          <w:rFonts w:hint="eastAsia" w:ascii="仿宋_GB2312" w:hAnsi="Calibri" w:eastAsia="仿宋_GB2312"/>
          <w:sz w:val="32"/>
          <w:szCs w:val="32"/>
        </w:rPr>
        <w:t>亩均论英雄参评企业数不少于5000家</w:t>
      </w:r>
      <w:r>
        <w:rPr>
          <w:rFonts w:hint="eastAsia" w:ascii="仿宋_GB2312" w:hAnsi="Calibri" w:eastAsia="仿宋_GB2312"/>
          <w:sz w:val="32"/>
          <w:szCs w:val="32"/>
          <w:lang w:eastAsia="zh-CN"/>
        </w:rPr>
        <w:t>，</w:t>
      </w:r>
      <w:r>
        <w:rPr>
          <w:rFonts w:hint="eastAsia" w:ascii="仿宋_GB2312" w:hAnsi="Calibri" w:eastAsia="仿宋_GB2312"/>
          <w:sz w:val="32"/>
          <w:szCs w:val="32"/>
        </w:rPr>
        <w:t>实施技改项目数量不少于500个，新增专精特新企业数量</w:t>
      </w:r>
      <w:r>
        <w:rPr>
          <w:rFonts w:hint="eastAsia" w:ascii="仿宋_GB2312" w:hAnsi="Calibri" w:eastAsia="仿宋_GB2312"/>
          <w:sz w:val="32"/>
          <w:szCs w:val="32"/>
          <w:lang w:val="en-US" w:eastAsia="zh-CN"/>
        </w:rPr>
        <w:t>不</w:t>
      </w:r>
      <w:r>
        <w:rPr>
          <w:rFonts w:hint="eastAsia" w:ascii="仿宋_GB2312" w:hAnsi="Calibri" w:eastAsia="仿宋_GB2312"/>
          <w:sz w:val="32"/>
          <w:szCs w:val="32"/>
        </w:rPr>
        <w:t>少于</w:t>
      </w:r>
      <w:r>
        <w:rPr>
          <w:rFonts w:hint="eastAsia" w:ascii="仿宋_GB2312" w:hAnsi="Calibri" w:eastAsia="仿宋_GB2312"/>
          <w:sz w:val="32"/>
          <w:szCs w:val="32"/>
          <w:lang w:val="en-US" w:eastAsia="zh-CN"/>
        </w:rPr>
        <w:t>6</w:t>
      </w:r>
      <w:r>
        <w:rPr>
          <w:rFonts w:hint="eastAsia" w:ascii="仿宋_GB2312" w:hAnsi="Calibri" w:eastAsia="仿宋_GB2312"/>
          <w:sz w:val="32"/>
          <w:szCs w:val="32"/>
        </w:rPr>
        <w:t>0家，市级工业设计中心个数不少于5个，工业企业研发机构数量不少于50个，开展工业诊断服务企业数不少于10个，培育工业互联网创新发展项目不少于8家，工作年底完成率达到100%。</w:t>
      </w:r>
      <w:r>
        <w:rPr>
          <w:rFonts w:hint="eastAsia" w:ascii="仿宋_GB2312" w:hAnsi="Calibri" w:eastAsia="仿宋_GB2312"/>
          <w:b/>
          <w:sz w:val="32"/>
          <w:szCs w:val="32"/>
        </w:rPr>
        <w:t>二是效果指标方面。</w:t>
      </w:r>
      <w:r>
        <w:rPr>
          <w:rFonts w:hint="eastAsia" w:ascii="仿宋_GB2312" w:hAnsi="Calibri" w:eastAsia="仿宋_GB2312"/>
          <w:sz w:val="32"/>
          <w:szCs w:val="32"/>
        </w:rPr>
        <w:t>工业企业亩均税收同比增长率不低于5%，绿色生产企业数不少于6家</w:t>
      </w:r>
      <w:r>
        <w:rPr>
          <w:rFonts w:hint="eastAsia" w:ascii="仿宋_GB2312" w:hAnsi="Calibri" w:eastAsia="仿宋_GB2312"/>
          <w:sz w:val="32"/>
          <w:szCs w:val="32"/>
          <w:lang w:eastAsia="zh-CN"/>
        </w:rPr>
        <w:t>。</w:t>
      </w:r>
      <w:r>
        <w:rPr>
          <w:rFonts w:hint="eastAsia" w:ascii="仿宋_GB2312" w:hAnsi="Calibri" w:eastAsia="仿宋_GB2312"/>
          <w:b/>
          <w:sz w:val="32"/>
          <w:szCs w:val="32"/>
        </w:rPr>
        <w:t>三是满意度指标。</w:t>
      </w:r>
      <w:r>
        <w:rPr>
          <w:rFonts w:hint="eastAsia" w:ascii="仿宋_GB2312" w:hAnsi="Calibri" w:eastAsia="仿宋_GB2312"/>
          <w:bCs/>
          <w:sz w:val="32"/>
          <w:szCs w:val="32"/>
        </w:rPr>
        <w:t>通过对受益对象进行抽查，受益对象满意度不低于90%。</w:t>
      </w:r>
    </w:p>
    <w:p>
      <w:pPr>
        <w:spacing w:line="560" w:lineRule="exact"/>
        <w:ind w:firstLine="630"/>
        <w:rPr>
          <w:rFonts w:hint="eastAsia" w:ascii="仿宋" w:hAnsi="仿宋" w:eastAsia="仿宋" w:cs="仿宋"/>
          <w:b/>
          <w:bCs/>
          <w:sz w:val="32"/>
          <w:szCs w:val="32"/>
        </w:rPr>
      </w:pPr>
      <w:r>
        <w:rPr>
          <w:rFonts w:hint="eastAsia" w:ascii="仿宋" w:hAnsi="仿宋" w:eastAsia="仿宋" w:cs="仿宋"/>
          <w:b/>
          <w:bCs/>
          <w:kern w:val="0"/>
          <w:sz w:val="32"/>
          <w:szCs w:val="32"/>
          <w:lang w:val="en-US" w:eastAsia="zh-CN"/>
        </w:rPr>
        <w:t>3、</w:t>
      </w:r>
      <w:r>
        <w:rPr>
          <w:rFonts w:hint="eastAsia" w:ascii="仿宋" w:hAnsi="仿宋" w:eastAsia="仿宋" w:cs="仿宋"/>
          <w:b/>
          <w:bCs/>
          <w:kern w:val="0"/>
          <w:sz w:val="32"/>
          <w:szCs w:val="32"/>
        </w:rPr>
        <w:t>提升重点产业链核心竞争力和现代化水平。</w:t>
      </w:r>
    </w:p>
    <w:p>
      <w:pPr>
        <w:spacing w:line="560" w:lineRule="exact"/>
        <w:ind w:firstLine="630"/>
        <w:rPr>
          <w:rFonts w:hint="eastAsia" w:ascii="仿宋" w:hAnsi="仿宋" w:eastAsia="仿宋_GB2312" w:cs="仿宋"/>
          <w:sz w:val="32"/>
          <w:szCs w:val="32"/>
        </w:rPr>
      </w:pPr>
      <w:r>
        <w:rPr>
          <w:rFonts w:hint="eastAsia" w:ascii="仿宋" w:hAnsi="仿宋" w:eastAsia="仿宋" w:cs="仿宋"/>
          <w:b/>
          <w:bCs/>
          <w:sz w:val="32"/>
          <w:szCs w:val="32"/>
        </w:rPr>
        <w:t>绩效目标：</w:t>
      </w:r>
      <w:r>
        <w:rPr>
          <w:rFonts w:hint="eastAsia" w:ascii="仿宋" w:hAnsi="仿宋" w:eastAsia="仿宋" w:cs="仿宋"/>
          <w:kern w:val="0"/>
          <w:sz w:val="32"/>
          <w:szCs w:val="32"/>
        </w:rPr>
        <w:t>加快我市制造业重点产业链补链延链强链，大力提升重点产业链核心竞争力和现代化水平。数字赋能特色产业集群，推动产业集群快速发展。推进企业数字化转型，细分行业培树转型试点。特色产业集群营业收入增长率10%以上。</w:t>
      </w:r>
    </w:p>
    <w:p>
      <w:pPr>
        <w:snapToGrid w:val="0"/>
        <w:spacing w:line="560" w:lineRule="exact"/>
        <w:ind w:firstLine="643" w:firstLineChars="200"/>
        <w:rPr>
          <w:rFonts w:hint="eastAsia" w:ascii="仿宋_GB2312" w:hAnsi="Calibri" w:eastAsia="仿宋_GB2312"/>
          <w:bCs/>
          <w:sz w:val="32"/>
          <w:szCs w:val="32"/>
        </w:rPr>
      </w:pPr>
      <w:r>
        <w:rPr>
          <w:rFonts w:hint="eastAsia" w:ascii="仿宋" w:hAnsi="仿宋" w:eastAsia="仿宋" w:cs="仿宋"/>
          <w:b/>
          <w:bCs/>
          <w:sz w:val="32"/>
          <w:szCs w:val="32"/>
        </w:rPr>
        <w:t>绩效指标：</w:t>
      </w:r>
      <w:r>
        <w:rPr>
          <w:rFonts w:hint="eastAsia" w:ascii="仿宋_GB2312" w:hAnsi="Calibri" w:eastAsia="仿宋_GB2312"/>
          <w:b/>
          <w:sz w:val="32"/>
          <w:szCs w:val="32"/>
        </w:rPr>
        <w:t>一是产出指标方面。</w:t>
      </w:r>
      <w:r>
        <w:rPr>
          <w:rFonts w:hint="eastAsia" w:ascii="仿宋_GB2312" w:hAnsi="Calibri" w:eastAsia="仿宋_GB2312"/>
          <w:sz w:val="32"/>
          <w:szCs w:val="32"/>
        </w:rPr>
        <w:t>新增“专精特新”企业数不少于</w:t>
      </w:r>
      <w:r>
        <w:rPr>
          <w:rFonts w:hint="eastAsia" w:ascii="仿宋_GB2312" w:hAnsi="Calibri" w:eastAsia="仿宋_GB2312"/>
          <w:sz w:val="32"/>
          <w:szCs w:val="32"/>
          <w:lang w:val="en-US" w:eastAsia="zh-CN"/>
        </w:rPr>
        <w:t>6</w:t>
      </w:r>
      <w:r>
        <w:rPr>
          <w:rFonts w:hint="eastAsia" w:ascii="仿宋_GB2312" w:hAnsi="Calibri" w:eastAsia="仿宋_GB2312"/>
          <w:sz w:val="32"/>
          <w:szCs w:val="32"/>
        </w:rPr>
        <w:t>0个，超百亿元特色产业集群数量不少于19个，实施邢台市重点工业技术改造项目个数不少于100个，指导工业互联网创新发展项目建设次数不少于3次，组织企业参加省召开互联网+制造业相关培训次数不少于3次，数字化转型企业数不少于10家，工业企业生产设备数字化率不少于50%</w:t>
      </w:r>
      <w:r>
        <w:rPr>
          <w:rFonts w:hint="eastAsia" w:ascii="仿宋_GB2312" w:hAnsi="Calibri" w:eastAsia="仿宋_GB2312"/>
          <w:sz w:val="32"/>
          <w:szCs w:val="32"/>
          <w:lang w:eastAsia="zh-CN"/>
        </w:rPr>
        <w:t>，</w:t>
      </w:r>
      <w:r>
        <w:rPr>
          <w:rFonts w:hint="eastAsia" w:ascii="仿宋_GB2312" w:hAnsi="Calibri" w:eastAsia="仿宋_GB2312"/>
          <w:sz w:val="32"/>
          <w:szCs w:val="32"/>
        </w:rPr>
        <w:t>各项任务指标均在2024年底完成。</w:t>
      </w:r>
      <w:r>
        <w:rPr>
          <w:rFonts w:hint="eastAsia" w:ascii="仿宋_GB2312" w:hAnsi="Calibri" w:eastAsia="仿宋_GB2312"/>
          <w:b/>
          <w:sz w:val="32"/>
          <w:szCs w:val="32"/>
        </w:rPr>
        <w:t>二是效果指标方面。</w:t>
      </w:r>
      <w:r>
        <w:rPr>
          <w:rFonts w:hint="eastAsia" w:ascii="仿宋_GB2312" w:hAnsi="Calibri" w:eastAsia="仿宋_GB2312"/>
          <w:sz w:val="32"/>
          <w:szCs w:val="32"/>
        </w:rPr>
        <w:t>特色产业集群营业收入增长率不低于10%，数字化改造企业数不少于13个，绿色化发展企业数不少于5个，企业数字化管理水平率增长1%</w:t>
      </w:r>
      <w:r>
        <w:rPr>
          <w:rFonts w:hint="eastAsia" w:ascii="仿宋_GB2312" w:hAnsi="Calibri" w:eastAsia="仿宋_GB2312"/>
          <w:sz w:val="32"/>
          <w:szCs w:val="32"/>
        </w:rPr>
        <w:tab/>
      </w:r>
      <w:r>
        <w:rPr>
          <w:rFonts w:hint="eastAsia" w:ascii="仿宋_GB2312" w:hAnsi="Calibri" w:eastAsia="仿宋_GB2312"/>
          <w:sz w:val="32"/>
          <w:szCs w:val="32"/>
        </w:rPr>
        <w:t>推动企业信息化水平提档升级率增长0.5%。</w:t>
      </w:r>
      <w:r>
        <w:rPr>
          <w:rFonts w:hint="eastAsia" w:ascii="仿宋_GB2312" w:hAnsi="Calibri" w:eastAsia="仿宋_GB2312"/>
          <w:b/>
          <w:sz w:val="32"/>
          <w:szCs w:val="32"/>
        </w:rPr>
        <w:t>三是满意度指标。</w:t>
      </w:r>
      <w:r>
        <w:rPr>
          <w:rFonts w:hint="eastAsia" w:ascii="仿宋_GB2312" w:hAnsi="Calibri" w:eastAsia="仿宋_GB2312"/>
          <w:bCs/>
          <w:sz w:val="32"/>
          <w:szCs w:val="32"/>
        </w:rPr>
        <w:t>通过对受益对象进行抽查，受益对象满意度不低于90%。</w:t>
      </w:r>
    </w:p>
    <w:p>
      <w:pPr>
        <w:numPr>
          <w:ilvl w:val="0"/>
          <w:numId w:val="0"/>
        </w:numPr>
        <w:snapToGrid w:val="0"/>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宣传推介我市特色产业发展成就</w:t>
      </w:r>
    </w:p>
    <w:p>
      <w:pPr>
        <w:snapToGrid w:val="0"/>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绩效目标：</w:t>
      </w:r>
      <w:r>
        <w:rPr>
          <w:rFonts w:hint="eastAsia" w:ascii="仿宋_GB2312" w:hAnsi="仿宋_GB2312" w:eastAsia="仿宋_GB2312" w:cs="仿宋_GB2312"/>
          <w:sz w:val="32"/>
          <w:szCs w:val="32"/>
        </w:rPr>
        <w:t>组织我市企业参加2024年中国国际数字经济博览会，充分展示邢台数字经济发展成果。办好特色产业集群展馆。不断丰富完善展览展示内容，及时动态调整，成立展馆管理办公室，制定完善管理制度，更好宣传推介我市特色产业发展成就，助力招商引资，提高展馆质量和运行效果。</w:t>
      </w:r>
    </w:p>
    <w:p>
      <w:pPr>
        <w:snapToGrid w:val="0"/>
        <w:spacing w:line="560" w:lineRule="exact"/>
        <w:ind w:firstLine="643" w:firstLineChars="200"/>
        <w:rPr>
          <w:rFonts w:hint="eastAsia"/>
        </w:rPr>
      </w:pPr>
      <w:r>
        <w:rPr>
          <w:rFonts w:hint="eastAsia" w:ascii="仿宋" w:hAnsi="仿宋" w:eastAsia="仿宋" w:cs="仿宋"/>
          <w:b/>
          <w:bCs/>
          <w:sz w:val="32"/>
          <w:szCs w:val="32"/>
        </w:rPr>
        <w:t>绩效指标：</w:t>
      </w:r>
      <w:r>
        <w:rPr>
          <w:rFonts w:hint="eastAsia" w:ascii="仿宋_GB2312" w:hAnsi="Calibri" w:eastAsia="仿宋_GB2312"/>
          <w:b/>
          <w:sz w:val="32"/>
          <w:szCs w:val="32"/>
        </w:rPr>
        <w:t>一是产出指标方面。</w:t>
      </w:r>
      <w:r>
        <w:rPr>
          <w:rFonts w:hint="eastAsia" w:ascii="仿宋_GB2312" w:hAnsi="Calibri" w:eastAsia="仿宋_GB2312"/>
          <w:bCs/>
          <w:sz w:val="32"/>
          <w:szCs w:val="32"/>
        </w:rPr>
        <w:t>中国国际数字经济博览会参展企业及产品数量不少于10个，参展企业及产品质量合格率达到100%，严格按要求按时完成展厅搭建，参会费用不超过50万元，特色产业集群展馆开放天数不少于180天，展馆正常运行率不低于80%</w:t>
      </w:r>
      <w:r>
        <w:rPr>
          <w:rFonts w:hint="eastAsia" w:ascii="仿宋_GB2312" w:hAnsi="Calibri" w:eastAsia="仿宋_GB2312"/>
          <w:bCs/>
          <w:sz w:val="32"/>
          <w:szCs w:val="32"/>
          <w:lang w:eastAsia="zh-CN"/>
        </w:rPr>
        <w:t>，</w:t>
      </w:r>
      <w:r>
        <w:rPr>
          <w:rFonts w:hint="eastAsia" w:ascii="仿宋_GB2312" w:hAnsi="Calibri" w:eastAsia="仿宋_GB2312"/>
          <w:bCs/>
          <w:sz w:val="32"/>
          <w:szCs w:val="32"/>
        </w:rPr>
        <w:t>展馆年度维护成本不超过</w:t>
      </w:r>
      <w:r>
        <w:rPr>
          <w:rFonts w:hint="eastAsia" w:ascii="仿宋_GB2312" w:hAnsi="Calibri" w:eastAsia="仿宋_GB2312"/>
          <w:bCs/>
          <w:sz w:val="32"/>
          <w:szCs w:val="32"/>
          <w:lang w:val="en-US" w:eastAsia="zh-CN"/>
        </w:rPr>
        <w:t>30</w:t>
      </w:r>
      <w:r>
        <w:rPr>
          <w:rFonts w:hint="eastAsia" w:ascii="仿宋_GB2312" w:hAnsi="Calibri" w:eastAsia="仿宋_GB2312"/>
          <w:bCs/>
          <w:sz w:val="32"/>
          <w:szCs w:val="32"/>
        </w:rPr>
        <w:t>万。</w:t>
      </w:r>
      <w:r>
        <w:rPr>
          <w:rFonts w:hint="eastAsia" w:ascii="仿宋_GB2312" w:hAnsi="Calibri" w:eastAsia="仿宋_GB2312"/>
          <w:b/>
          <w:sz w:val="32"/>
          <w:szCs w:val="32"/>
        </w:rPr>
        <w:t>二是效果指标方面。</w:t>
      </w:r>
      <w:r>
        <w:rPr>
          <w:rFonts w:hint="eastAsia" w:ascii="仿宋_GB2312" w:hAnsi="Calibri" w:eastAsia="仿宋_GB2312"/>
          <w:bCs/>
          <w:sz w:val="32"/>
          <w:szCs w:val="32"/>
        </w:rPr>
        <w:t>通过组织企业参加数字经济博览会充分展示邢台数字经济发展成果，特色产业集群展馆年度接待参观人数不少于10000人。</w:t>
      </w:r>
      <w:r>
        <w:rPr>
          <w:rFonts w:hint="eastAsia" w:ascii="仿宋_GB2312" w:hAnsi="Calibri" w:eastAsia="仿宋_GB2312"/>
          <w:b/>
          <w:sz w:val="32"/>
          <w:szCs w:val="32"/>
        </w:rPr>
        <w:t>三是满意度指标。</w:t>
      </w:r>
      <w:r>
        <w:rPr>
          <w:rFonts w:hint="eastAsia" w:ascii="仿宋_GB2312" w:hAnsi="Calibri" w:eastAsia="仿宋_GB2312"/>
          <w:bCs/>
          <w:sz w:val="32"/>
          <w:szCs w:val="32"/>
        </w:rPr>
        <w:t>通过对受益对象进行抽查，受益对象满意度不低于90%。</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30"/>
        <w:rPr>
          <w:rFonts w:hint="eastAsia" w:ascii="仿宋" w:hAnsi="仿宋" w:eastAsia="仿宋" w:cs="仿宋"/>
          <w:b/>
          <w:bCs/>
          <w:sz w:val="32"/>
        </w:rPr>
      </w:pPr>
      <w:r>
        <w:rPr>
          <w:rFonts w:hint="eastAsia" w:ascii="仿宋" w:hAnsi="仿宋" w:eastAsia="仿宋" w:cs="仿宋"/>
          <w:b/>
          <w:bCs/>
          <w:sz w:val="32"/>
          <w:lang w:val="en-US" w:eastAsia="zh-CN"/>
        </w:rPr>
        <w:t>1、</w:t>
      </w:r>
      <w:r>
        <w:rPr>
          <w:rFonts w:hint="eastAsia" w:ascii="仿宋" w:hAnsi="仿宋" w:eastAsia="仿宋" w:cs="仿宋"/>
          <w:b/>
          <w:bCs/>
          <w:sz w:val="32"/>
        </w:rPr>
        <w:t>加强组织领导，做好绩效运行监控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hint="eastAsia"/>
        </w:rPr>
      </w:pPr>
      <w:r>
        <w:rPr>
          <w:rFonts w:hint="eastAsia" w:ascii="仿宋" w:hAnsi="仿宋" w:eastAsia="仿宋" w:cs="仿宋"/>
          <w:sz w:val="32"/>
        </w:rPr>
        <w:t>建立统筹协调、分工协作、密切配合、合力推进的工作机制。成立由单位主要领导同志任组长、各分管领导任副组长、各科长为组员的预算绩效工作领导小组，领导小组下设办公室，围绕年度总体绩效目标和分类绩效目标，细化工作方案，明确责任主体、实施进度要求，确保如期完成。按照“谁花钱、谁负责、谁举证”的原则，明确科室预算绩效管理职责。根据预算绩效领导小组指示，各科室配合领导小组办公室开展分管项目及内容的预算绩效管理具体工作，实现花钱必问效，确保财务与业务工作紧密衔接。各科室按规定对申请新增市级重大政策、重大专项开展事前绩效评估，科学设定专项资金绩效目标、预算项目绩效目标，按要求积极开展预算绩效中期评估、终期绩效评价，根据评价结果进行整改，确保绩效目标顺利实现。</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hint="eastAsia" w:ascii="仿宋" w:hAnsi="仿宋" w:eastAsia="仿宋" w:cs="仿宋"/>
          <w:b/>
          <w:bCs/>
          <w:sz w:val="32"/>
        </w:rPr>
      </w:pPr>
      <w:r>
        <w:rPr>
          <w:rFonts w:hint="eastAsia" w:ascii="仿宋" w:hAnsi="仿宋" w:eastAsia="仿宋" w:cs="仿宋"/>
          <w:b/>
          <w:bCs/>
          <w:sz w:val="32"/>
          <w:lang w:val="en-US" w:eastAsia="zh-CN"/>
        </w:rPr>
        <w:t>2、</w:t>
      </w:r>
      <w:r>
        <w:rPr>
          <w:rFonts w:hint="eastAsia" w:ascii="仿宋" w:hAnsi="仿宋" w:eastAsia="仿宋" w:cs="仿宋"/>
          <w:b/>
          <w:bCs/>
          <w:sz w:val="32"/>
        </w:rPr>
        <w:t>完善制度建设，强化预算管理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hint="eastAsia" w:ascii="仿宋" w:hAnsi="仿宋" w:eastAsia="仿宋" w:cs="仿宋"/>
          <w:sz w:val="32"/>
        </w:rPr>
      </w:pPr>
      <w:r>
        <w:rPr>
          <w:rFonts w:hint="eastAsia" w:ascii="仿宋" w:hAnsi="仿宋" w:eastAsia="仿宋" w:cs="仿宋"/>
          <w:sz w:val="32"/>
          <w:szCs w:val="32"/>
        </w:rPr>
        <w:t>制定完善预算绩效管理制度、资金管理办法、工作保障制度等，为全年预算绩效目标的实现奠定制度基础。</w:t>
      </w:r>
      <w:r>
        <w:rPr>
          <w:rFonts w:hint="eastAsia" w:ascii="仿宋" w:hAnsi="仿宋" w:eastAsia="仿宋" w:cs="仿宋"/>
          <w:sz w:val="32"/>
        </w:rPr>
        <w:t>开展绩效运行监控管理，强化财政预算执行的刚性约束。进一步规范财政资金使用和管理，强化内部控制制度建设。督促有关科室切实加快执行进度，预算一经批复，尽快启动项目，确保按照时间节点完成支出任务，及早发挥财政资金效益。</w:t>
      </w:r>
    </w:p>
    <w:p>
      <w:pPr>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left="720" w:leftChars="0"/>
        <w:rPr>
          <w:rFonts w:hint="eastAsia" w:ascii="仿宋" w:hAnsi="仿宋" w:eastAsia="仿宋" w:cs="仿宋"/>
          <w:b/>
          <w:bCs/>
          <w:sz w:val="32"/>
        </w:rPr>
      </w:pPr>
      <w:r>
        <w:rPr>
          <w:rFonts w:hint="eastAsia" w:ascii="仿宋" w:hAnsi="仿宋" w:eastAsia="仿宋" w:cs="仿宋"/>
          <w:b/>
          <w:bCs/>
          <w:sz w:val="32"/>
          <w:lang w:val="en-US" w:eastAsia="zh-CN"/>
        </w:rPr>
        <w:t>3、</w:t>
      </w:r>
      <w:r>
        <w:rPr>
          <w:rFonts w:hint="eastAsia" w:ascii="仿宋" w:hAnsi="仿宋" w:eastAsia="仿宋" w:cs="仿宋"/>
          <w:b/>
          <w:bCs/>
          <w:sz w:val="32"/>
        </w:rPr>
        <w:t>加强支出管理，规范财务资产管理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rPr>
          <w:rFonts w:hint="eastAsia" w:ascii="楷体" w:hAnsi="楷体" w:eastAsia="楷体" w:cs="楷体"/>
          <w:sz w:val="32"/>
        </w:rPr>
      </w:pPr>
      <w:r>
        <w:rPr>
          <w:rFonts w:hint="eastAsia" w:ascii="仿宋" w:hAnsi="仿宋" w:eastAsia="仿宋" w:cs="仿宋"/>
          <w:sz w:val="32"/>
          <w:szCs w:val="32"/>
        </w:rPr>
        <w:t>通过优化支出结构、编细编实预算、加快履行政府采购手续、尽快启动项目、及时支付资金、6月底前细化代编预算、按规定及时下达资金等多种措施，确保支出进度达标。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3" w:firstLineChars="200"/>
        <w:rPr>
          <w:rFonts w:hint="eastAsia" w:ascii="仿宋" w:hAnsi="仿宋" w:eastAsia="仿宋" w:cs="仿宋"/>
          <w:b/>
          <w:bCs/>
          <w:sz w:val="32"/>
        </w:rPr>
      </w:pPr>
      <w:r>
        <w:rPr>
          <w:rFonts w:hint="eastAsia" w:ascii="仿宋" w:hAnsi="仿宋" w:eastAsia="仿宋" w:cs="仿宋"/>
          <w:b/>
          <w:bCs/>
          <w:sz w:val="32"/>
          <w:lang w:val="en-US" w:eastAsia="zh-CN"/>
        </w:rPr>
        <w:t>4、</w:t>
      </w:r>
      <w:r>
        <w:rPr>
          <w:rFonts w:hint="eastAsia" w:ascii="仿宋" w:hAnsi="仿宋" w:eastAsia="仿宋" w:cs="仿宋"/>
          <w:b/>
          <w:bCs/>
          <w:sz w:val="32"/>
        </w:rPr>
        <w:t>做好绩效自评，加强宣传培训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rPr>
          <w:rFonts w:hint="eastAsia" w:ascii="仿宋" w:hAnsi="仿宋" w:eastAsia="仿宋" w:cs="仿宋"/>
          <w:sz w:val="32"/>
        </w:rPr>
      </w:pPr>
      <w:r>
        <w:rPr>
          <w:rFonts w:hint="eastAsia" w:ascii="仿宋" w:hAnsi="仿宋" w:eastAsia="仿宋" w:cs="仿宋"/>
          <w:sz w:val="32"/>
        </w:rPr>
        <w:t xml:space="preserve">    在预算绩效领导小组领导下，按照要求扎实开展绩效自评。制定评价工作方案，明确评价内容、责任科室、评价方法等。必要时，聘请第三方机构独立开展评价。对在绩效评价发现的问题，研究解决对策，及时整改，调整优化支出结构，提高财政资金使用效益。组织开展业务培训，提高本部门职工业务素质，强化预算绩效管理意识，掌握工作方法，提升管理能力。加大绩效预算宣传力度，利用多途径、多方式宣传绩效理念，营造良好的舆论氛围，促进预算绩效管理水平进一步提升。</w:t>
      </w:r>
    </w:p>
    <w:p>
      <w:pPr>
        <w:spacing w:line="560" w:lineRule="exact"/>
        <w:ind w:left="640"/>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加强内部监督</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rPr>
        <w:t>在预算绩效领导小组领导下，</w:t>
      </w:r>
      <w:r>
        <w:rPr>
          <w:rFonts w:hint="eastAsia" w:ascii="仿宋" w:hAnsi="仿宋" w:eastAsia="仿宋" w:cs="仿宋"/>
          <w:sz w:val="32"/>
          <w:szCs w:val="32"/>
        </w:rP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30"/>
        <w:rPr>
          <w:rFonts w:hint="eastAsia" w:ascii="仿宋" w:hAnsi="仿宋" w:eastAsia="仿宋" w:cs="仿宋"/>
          <w:b/>
          <w:bCs/>
          <w:sz w:val="32"/>
          <w:szCs w:val="32"/>
        </w:rPr>
      </w:pPr>
      <w:r>
        <w:rPr>
          <w:rFonts w:hint="eastAsia" w:ascii="仿宋" w:hAnsi="仿宋" w:eastAsia="仿宋" w:cs="仿宋"/>
          <w:b/>
          <w:bCs/>
          <w:sz w:val="32"/>
          <w:szCs w:val="32"/>
          <w:lang w:val="en-US" w:eastAsia="zh-CN"/>
        </w:rPr>
        <w:t>6、</w:t>
      </w:r>
      <w:r>
        <w:rPr>
          <w:rFonts w:hint="eastAsia" w:ascii="仿宋" w:hAnsi="仿宋" w:eastAsia="仿宋" w:cs="仿宋"/>
          <w:b/>
          <w:bCs/>
          <w:sz w:val="32"/>
          <w:szCs w:val="32"/>
        </w:rPr>
        <w:t>加强宣传培训调研</w:t>
      </w:r>
    </w:p>
    <w:p>
      <w:pPr>
        <w:spacing w:line="560" w:lineRule="exact"/>
        <w:ind w:firstLine="630"/>
        <w:rPr>
          <w:rFonts w:hint="eastAsia" w:ascii="方正小标宋_GBK" w:eastAsia="仿宋"/>
          <w:sz w:val="44"/>
          <w:szCs w:val="44"/>
        </w:rPr>
      </w:pPr>
      <w:r>
        <w:rPr>
          <w:rFonts w:hint="eastAsia" w:ascii="仿宋" w:hAnsi="仿宋" w:eastAsia="仿宋" w:cs="仿宋"/>
          <w:sz w:val="32"/>
        </w:rPr>
        <w:t>在预算绩效领导小组领导下，</w:t>
      </w:r>
      <w:r>
        <w:rPr>
          <w:rFonts w:hint="eastAsia" w:ascii="仿宋" w:hAnsi="仿宋" w:eastAsia="仿宋" w:cs="仿宋"/>
          <w:sz w:val="32"/>
          <w:szCs w:val="32"/>
        </w:rPr>
        <w:t>加强人员培训，提高本部门职工业务素质；加强调研，提出优化财政资金配置、提高资金使用效益的意见；加大宣传力度，强化预算绩效管理意识，促进预算绩效管理水平进一步提升。</w:t>
      </w:r>
    </w:p>
    <w:p>
      <w:pPr>
        <w:pStyle w:val="2"/>
        <w:rPr>
          <w:rFonts w:hint="eastAsia"/>
        </w:rPr>
      </w:pPr>
    </w:p>
    <w:p>
      <w:pPr>
        <w:spacing w:before="0" w:after="0" w:line="240" w:lineRule="auto"/>
        <w:ind w:firstLine="640"/>
        <w:jc w:val="left"/>
        <w:outlineLvl w:val="9"/>
        <w:sectPr>
          <w:pgSz w:w="16840" w:h="11900" w:orient="landscape"/>
          <w:pgMar w:top="1361" w:right="1020" w:bottom="1134" w:left="1020" w:header="720" w:footer="720" w:gutter="0"/>
          <w:cols w:space="720" w:num="1"/>
        </w:sectPr>
      </w:pPr>
    </w:p>
    <w:p>
      <w:pPr>
        <w:spacing w:before="10" w:after="10" w:line="360" w:lineRule="auto"/>
        <w:ind w:firstLine="640"/>
        <w:jc w:val="left"/>
        <w:outlineLvl w:val="2"/>
        <w:rPr>
          <w:rFonts w:hint="eastAsia" w:ascii="黑体" w:hAnsi="黑体" w:eastAsia="黑体" w:cs="黑体"/>
          <w:color w:val="000000"/>
          <w:sz w:val="32"/>
          <w:lang w:val="en-US" w:eastAsia="zh-CN"/>
        </w:rPr>
      </w:pPr>
      <w:r>
        <w:rPr>
          <w:rFonts w:hint="eastAsia" w:ascii="黑体" w:hAnsi="黑体" w:eastAsia="黑体" w:cs="黑体"/>
          <w:b/>
          <w:bCs/>
          <w:color w:val="000000"/>
          <w:sz w:val="32"/>
          <w:lang w:val="en-US" w:eastAsia="zh-CN"/>
        </w:rPr>
        <w:t>六</w:t>
      </w:r>
      <w:r>
        <w:rPr>
          <w:rFonts w:hint="eastAsia" w:ascii="黑体" w:hAnsi="黑体" w:eastAsia="黑体" w:cs="黑体"/>
          <w:color w:val="000000"/>
          <w:sz w:val="32"/>
          <w:lang w:val="en-US" w:eastAsia="zh-CN"/>
        </w:rPr>
        <w:t>、部门主管专项资金预算安排情况及绩效目标</w:t>
      </w:r>
    </w:p>
    <w:p>
      <w:pPr>
        <w:spacing w:before="10" w:after="10" w:line="360" w:lineRule="auto"/>
        <w:ind w:firstLine="640"/>
        <w:jc w:val="left"/>
        <w:outlineLvl w:val="2"/>
        <w:rPr>
          <w:rFonts w:hint="default" w:ascii="方正仿宋_GBK" w:hAnsi="方正仿宋_GBK" w:eastAsia="方正仿宋_GBK" w:cs="方正仿宋_GBK"/>
          <w:color w:val="000000"/>
          <w:sz w:val="28"/>
          <w:szCs w:val="24"/>
          <w:lang w:val="en-US" w:eastAsia="zh-CN" w:bidi="ar-SA"/>
        </w:rPr>
      </w:pPr>
      <w:r>
        <w:rPr>
          <w:rFonts w:hint="eastAsia"/>
          <w:lang w:val="en-US" w:eastAsia="zh-CN"/>
        </w:rPr>
        <w:t xml:space="preserve"> </w:t>
      </w:r>
      <w:r>
        <w:rPr>
          <w:rFonts w:hint="eastAsia" w:ascii="方正仿宋_GBK" w:hAnsi="方正仿宋_GBK" w:eastAsia="方正仿宋_GBK" w:cs="方正仿宋_GBK"/>
          <w:color w:val="000000"/>
          <w:sz w:val="28"/>
          <w:szCs w:val="24"/>
          <w:lang w:val="en-US" w:eastAsia="zh-CN" w:bidi="ar-SA"/>
        </w:rPr>
        <w:t>注：无部门主管专项资金预算安排</w:t>
      </w:r>
    </w:p>
    <w:p>
      <w:pPr>
        <w:spacing w:before="10" w:after="10" w:line="360" w:lineRule="auto"/>
        <w:ind w:firstLine="640"/>
        <w:jc w:val="left"/>
        <w:outlineLvl w:val="2"/>
        <w:rPr>
          <w:rFonts w:hint="eastAsia" w:eastAsia="黑体"/>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w:t>
      </w:r>
      <w:r>
        <w:rPr>
          <w:rFonts w:hint="eastAsia" w:ascii="黑体" w:hAnsi="黑体" w:eastAsia="黑体" w:cs="黑体"/>
          <w:color w:val="000000"/>
          <w:sz w:val="32"/>
          <w:lang w:val="en-US" w:eastAsia="zh-CN"/>
        </w:rPr>
        <w:t>目标</w:t>
      </w:r>
    </w:p>
    <w:p>
      <w:pPr>
        <w:spacing w:before="0" w:after="0"/>
        <w:ind w:firstLine="840" w:firstLineChars="300"/>
        <w:jc w:val="left"/>
        <w:outlineLvl w:val="9"/>
      </w:pPr>
      <w:r>
        <w:rPr>
          <w:rFonts w:ascii="方正仿宋_GBK" w:hAnsi="方正仿宋_GBK" w:eastAsia="方正仿宋_GBK" w:cs="方正仿宋_GBK"/>
          <w:color w:val="000000"/>
          <w:sz w:val="28"/>
        </w:rPr>
        <w:t>1、安全生产办公室工作经费绩效目标表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13050024P00940810033A</w:t>
            </w:r>
          </w:p>
        </w:tc>
        <w:tc>
          <w:tcPr>
            <w:tcW w:w="2114" w:type="dxa"/>
            <w:vAlign w:val="center"/>
          </w:tcPr>
          <w:p>
            <w:pPr>
              <w:pStyle w:val="14"/>
            </w:pPr>
            <w:r>
              <w:t>项目名称</w:t>
            </w:r>
          </w:p>
        </w:tc>
        <w:tc>
          <w:tcPr>
            <w:tcW w:w="6342" w:type="dxa"/>
            <w:gridSpan w:val="3"/>
            <w:vAlign w:val="center"/>
          </w:tcPr>
          <w:p>
            <w:pPr>
              <w:pStyle w:val="16"/>
            </w:pPr>
            <w:r>
              <w:t>安全生产办公室工作经费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5.00</w:t>
            </w:r>
          </w:p>
        </w:tc>
        <w:tc>
          <w:tcPr>
            <w:tcW w:w="2114" w:type="dxa"/>
            <w:vAlign w:val="center"/>
          </w:tcPr>
          <w:p>
            <w:pPr>
              <w:pStyle w:val="14"/>
            </w:pPr>
            <w:r>
              <w:t>其中：财政    资金</w:t>
            </w:r>
          </w:p>
        </w:tc>
        <w:tc>
          <w:tcPr>
            <w:tcW w:w="2114" w:type="dxa"/>
            <w:vAlign w:val="center"/>
          </w:tcPr>
          <w:p>
            <w:pPr>
              <w:pStyle w:val="16"/>
            </w:pPr>
            <w:r>
              <w:t>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承担民爆行业安全生产工作任务。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60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1.主要用于开展民爆行业安全生产工作日常，包括安全生产检查，专家评审，安全生产宣传以及日常办公支出，确保我市民爆行业全年安全无事故。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参展次数安全生产检查次数</w:t>
            </w:r>
          </w:p>
        </w:tc>
        <w:tc>
          <w:tcPr>
            <w:tcW w:w="4228" w:type="dxa"/>
            <w:vAlign w:val="center"/>
          </w:tcPr>
          <w:p>
            <w:pPr>
              <w:pStyle w:val="16"/>
            </w:pPr>
            <w:r>
              <w:t>开展民爆行业安全生产检查次数</w:t>
            </w:r>
          </w:p>
        </w:tc>
        <w:tc>
          <w:tcPr>
            <w:tcW w:w="2114" w:type="dxa"/>
            <w:vAlign w:val="center"/>
          </w:tcPr>
          <w:p>
            <w:pPr>
              <w:pStyle w:val="16"/>
            </w:pPr>
            <w:r>
              <w:t>≥2次</w:t>
            </w:r>
          </w:p>
        </w:tc>
        <w:tc>
          <w:tcPr>
            <w:tcW w:w="2114" w:type="dxa"/>
            <w:vAlign w:val="center"/>
          </w:tcPr>
          <w:p>
            <w:pPr>
              <w:pStyle w:val="16"/>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民爆行业安全生产率</w:t>
            </w:r>
          </w:p>
        </w:tc>
        <w:tc>
          <w:tcPr>
            <w:tcW w:w="4228" w:type="dxa"/>
            <w:vAlign w:val="center"/>
          </w:tcPr>
          <w:p>
            <w:pPr>
              <w:pStyle w:val="16"/>
            </w:pPr>
            <w:r>
              <w:t>确保我市民爆行业全年安全无事故</w:t>
            </w:r>
          </w:p>
        </w:tc>
        <w:tc>
          <w:tcPr>
            <w:tcW w:w="2114" w:type="dxa"/>
            <w:vAlign w:val="center"/>
          </w:tcPr>
          <w:p>
            <w:pPr>
              <w:pStyle w:val="16"/>
            </w:pPr>
            <w:r>
              <w:t>100%</w:t>
            </w:r>
          </w:p>
        </w:tc>
        <w:tc>
          <w:tcPr>
            <w:tcW w:w="2114" w:type="dxa"/>
            <w:vAlign w:val="center"/>
          </w:tcPr>
          <w:p>
            <w:pPr>
              <w:pStyle w:val="16"/>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工作完成及时率</w:t>
            </w:r>
          </w:p>
        </w:tc>
        <w:tc>
          <w:tcPr>
            <w:tcW w:w="4228" w:type="dxa"/>
            <w:vAlign w:val="center"/>
          </w:tcPr>
          <w:p>
            <w:pPr>
              <w:pStyle w:val="16"/>
            </w:pPr>
            <w:r>
              <w:t>2024年底全年工作任务完成率</w:t>
            </w:r>
          </w:p>
        </w:tc>
        <w:tc>
          <w:tcPr>
            <w:tcW w:w="2114" w:type="dxa"/>
            <w:vAlign w:val="center"/>
          </w:tcPr>
          <w:p>
            <w:pPr>
              <w:pStyle w:val="16"/>
            </w:pPr>
            <w:r>
              <w:t>≥80%</w:t>
            </w:r>
          </w:p>
        </w:tc>
        <w:tc>
          <w:tcPr>
            <w:tcW w:w="2114" w:type="dxa"/>
            <w:vAlign w:val="center"/>
          </w:tcPr>
          <w:p>
            <w:pPr>
              <w:pStyle w:val="16"/>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专家评审人均成本</w:t>
            </w:r>
          </w:p>
        </w:tc>
        <w:tc>
          <w:tcPr>
            <w:tcW w:w="4228" w:type="dxa"/>
            <w:vAlign w:val="center"/>
          </w:tcPr>
          <w:p>
            <w:pPr>
              <w:pStyle w:val="16"/>
            </w:pPr>
            <w:r>
              <w:t>根据评审需要，聘请相应</w:t>
            </w:r>
            <w:r>
              <w:rPr>
                <w:rFonts w:hint="eastAsia"/>
                <w:lang w:val="en-US" w:eastAsia="zh-CN"/>
              </w:rPr>
              <w:t>职称</w:t>
            </w:r>
            <w:r>
              <w:t>的专家，按照财政部门确定的标准发放</w:t>
            </w:r>
          </w:p>
        </w:tc>
        <w:tc>
          <w:tcPr>
            <w:tcW w:w="2114" w:type="dxa"/>
            <w:vAlign w:val="center"/>
          </w:tcPr>
          <w:p>
            <w:pPr>
              <w:pStyle w:val="16"/>
            </w:pPr>
            <w:r>
              <w:t>≤1500元/人/天</w:t>
            </w:r>
          </w:p>
        </w:tc>
        <w:tc>
          <w:tcPr>
            <w:tcW w:w="2114" w:type="dxa"/>
            <w:vAlign w:val="center"/>
          </w:tcPr>
          <w:p>
            <w:pPr>
              <w:pStyle w:val="16"/>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民爆行业安全生产率</w:t>
            </w:r>
          </w:p>
        </w:tc>
        <w:tc>
          <w:tcPr>
            <w:tcW w:w="4228" w:type="dxa"/>
            <w:vAlign w:val="center"/>
          </w:tcPr>
          <w:p>
            <w:pPr>
              <w:pStyle w:val="16"/>
            </w:pPr>
            <w:r>
              <w:t>确保我市民爆行业全年安全无事故</w:t>
            </w:r>
          </w:p>
        </w:tc>
        <w:tc>
          <w:tcPr>
            <w:tcW w:w="2114" w:type="dxa"/>
            <w:vAlign w:val="center"/>
          </w:tcPr>
          <w:p>
            <w:pPr>
              <w:pStyle w:val="16"/>
            </w:pPr>
            <w:r>
              <w:t>100%</w:t>
            </w:r>
          </w:p>
        </w:tc>
        <w:tc>
          <w:tcPr>
            <w:tcW w:w="2114" w:type="dxa"/>
            <w:vAlign w:val="center"/>
          </w:tcPr>
          <w:p>
            <w:pPr>
              <w:pStyle w:val="16"/>
            </w:pPr>
            <w:r>
              <w:t>《河北省国防科技工业局关于做好2016年上半年全省民爆行业安全生产考核工作的通知》（冀军工爆字[2016]166号）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抽查企业数/企业数*100%</w:t>
            </w:r>
          </w:p>
        </w:tc>
        <w:tc>
          <w:tcPr>
            <w:tcW w:w="2114" w:type="dxa"/>
            <w:vAlign w:val="center"/>
          </w:tcPr>
          <w:p>
            <w:pPr>
              <w:pStyle w:val="16"/>
            </w:pPr>
            <w:r>
              <w:t>≥90%</w:t>
            </w:r>
          </w:p>
        </w:tc>
        <w:tc>
          <w:tcPr>
            <w:tcW w:w="2114" w:type="dxa"/>
            <w:vAlign w:val="center"/>
          </w:tcPr>
          <w:p>
            <w:pPr>
              <w:pStyle w:val="16"/>
            </w:pPr>
            <w:r>
              <w:t>抽查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2、工业转型(技改)工作经费绩效目标表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13050024P009408100269</w:t>
            </w:r>
          </w:p>
        </w:tc>
        <w:tc>
          <w:tcPr>
            <w:tcW w:w="2114" w:type="dxa"/>
            <w:vAlign w:val="center"/>
          </w:tcPr>
          <w:p>
            <w:pPr>
              <w:pStyle w:val="14"/>
            </w:pPr>
            <w:r>
              <w:t>项目名称</w:t>
            </w:r>
          </w:p>
        </w:tc>
        <w:tc>
          <w:tcPr>
            <w:tcW w:w="6342" w:type="dxa"/>
            <w:gridSpan w:val="3"/>
            <w:vAlign w:val="center"/>
          </w:tcPr>
          <w:p>
            <w:pPr>
              <w:pStyle w:val="16"/>
            </w:pPr>
            <w:r>
              <w:t>工业转型(技改)工作经费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40.00</w:t>
            </w:r>
          </w:p>
        </w:tc>
        <w:tc>
          <w:tcPr>
            <w:tcW w:w="2114" w:type="dxa"/>
            <w:vAlign w:val="center"/>
          </w:tcPr>
          <w:p>
            <w:pPr>
              <w:pStyle w:val="14"/>
            </w:pPr>
            <w:r>
              <w:t>其中：财政    资金</w:t>
            </w:r>
          </w:p>
        </w:tc>
        <w:tc>
          <w:tcPr>
            <w:tcW w:w="2114" w:type="dxa"/>
            <w:vAlign w:val="center"/>
          </w:tcPr>
          <w:p>
            <w:pPr>
              <w:pStyle w:val="16"/>
            </w:pPr>
            <w:r>
              <w:t>40.00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主要用于加大工业转型升级推进力度，包括实施重点工业和技改投资项目计划，启动工业企业综合绩效评价，推进工业设计发展，开展智能工厂、智能制造优秀场景、智能制造先行区培育工作，推进企业上云、工业互联网、互联网+先进制造业发展，培育壮大特色产业集群，推动中小企业发展，加强工业运行监测分析等，促进我市经济竞争力不断增强。开展项目评审工作等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60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1.实施重点工业和技改投资项目计划，加大工业转型升级推进力度，推进工业企业转型发展。</w:t>
            </w:r>
          </w:p>
          <w:p>
            <w:pPr>
              <w:pStyle w:val="16"/>
            </w:pPr>
            <w:r>
              <w:t>2.启动工业企业综合绩效评价，推进工业设计发展。</w:t>
            </w:r>
          </w:p>
          <w:p>
            <w:pPr>
              <w:pStyle w:val="16"/>
            </w:pPr>
            <w:r>
              <w:t>3.开展智能工厂、智能制造优秀场景、智能制造先行区培育工作。</w:t>
            </w:r>
          </w:p>
          <w:p>
            <w:pPr>
              <w:pStyle w:val="16"/>
            </w:pPr>
            <w:r>
              <w:t>4.推进企业上云、工业互联网、互联网+先进制造业发展。</w:t>
            </w:r>
          </w:p>
          <w:p>
            <w:pPr>
              <w:pStyle w:val="16"/>
            </w:pPr>
            <w:r>
              <w:t>5.培育壮大特色产业集群，推动中小企业发展。</w:t>
            </w:r>
          </w:p>
          <w:p>
            <w:pPr>
              <w:pStyle w:val="16"/>
            </w:pPr>
            <w:r>
              <w:t>6.加强工业运行监测分析。</w:t>
            </w:r>
          </w:p>
          <w:p>
            <w:pPr>
              <w:pStyle w:val="16"/>
            </w:pPr>
            <w:r>
              <w:t>7.开展项目评审等相关工作。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实施重点技改项目数量</w:t>
            </w:r>
          </w:p>
        </w:tc>
        <w:tc>
          <w:tcPr>
            <w:tcW w:w="4228" w:type="dxa"/>
            <w:vAlign w:val="center"/>
          </w:tcPr>
          <w:p>
            <w:pPr>
              <w:pStyle w:val="16"/>
            </w:pPr>
            <w:r>
              <w:t>2024年我市实施重点技改项目数量</w:t>
            </w:r>
          </w:p>
        </w:tc>
        <w:tc>
          <w:tcPr>
            <w:tcW w:w="2114" w:type="dxa"/>
            <w:vAlign w:val="center"/>
          </w:tcPr>
          <w:p>
            <w:pPr>
              <w:pStyle w:val="16"/>
            </w:pPr>
            <w:r>
              <w:t>≥80个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市级工业设计中心个数</w:t>
            </w:r>
          </w:p>
          <w:p>
            <w:pPr>
              <w:pStyle w:val="16"/>
            </w:pPr>
            <w:r>
              <w:t>产业集群数量</w:t>
            </w:r>
          </w:p>
          <w:p>
            <w:pPr>
              <w:pStyle w:val="16"/>
            </w:pPr>
            <w:r>
              <w:t>首台套重大技术产品数</w:t>
            </w:r>
          </w:p>
          <w:p>
            <w:pPr>
              <w:pStyle w:val="16"/>
            </w:pPr>
            <w:r>
              <w:t>组织企业参加省召开互联网+制造业相关培训次数</w:t>
            </w:r>
          </w:p>
          <w:p>
            <w:pPr>
              <w:pStyle w:val="16"/>
            </w:pPr>
            <w:r>
              <w:t>督导推进工业互联网平台和互联网+制造业项目建设次数</w:t>
            </w:r>
          </w:p>
          <w:p>
            <w:pPr>
              <w:pStyle w:val="16"/>
            </w:pPr>
            <w:r>
              <w:t>项目评审</w:t>
            </w:r>
          </w:p>
          <w:p>
            <w:pPr>
              <w:pStyle w:val="16"/>
            </w:pPr>
            <w:r>
              <w:t>规上工业增加值增速</w:t>
            </w:r>
          </w:p>
          <w:p>
            <w:pPr>
              <w:pStyle w:val="16"/>
            </w:pPr>
            <w:r>
              <w:t>工作完成时限</w:t>
            </w:r>
          </w:p>
          <w:p>
            <w:pPr>
              <w:pStyle w:val="16"/>
            </w:pPr>
            <w:r>
              <w:t>差旅费</w:t>
            </w:r>
          </w:p>
          <w:p>
            <w:pPr>
              <w:pStyle w:val="16"/>
            </w:pPr>
            <w:r>
              <w:t>评审专家费用</w:t>
            </w:r>
          </w:p>
          <w:p>
            <w:pPr>
              <w:pStyle w:val="16"/>
            </w:pPr>
            <w:r>
              <w:t>项目总成本</w:t>
            </w:r>
          </w:p>
          <w:p>
            <w:pPr>
              <w:pStyle w:val="16"/>
            </w:pPr>
            <w:r>
              <w:t>县域特色产业集群营业收入超百亿元数量</w:t>
            </w:r>
          </w:p>
          <w:p>
            <w:pPr>
              <w:pStyle w:val="16"/>
            </w:pPr>
            <w:r>
              <w:t>制造业工业企业研发机构数量</w:t>
            </w:r>
          </w:p>
          <w:p>
            <w:pPr>
              <w:pStyle w:val="16"/>
            </w:pPr>
            <w:r>
              <w:t>培育绿色工厂</w:t>
            </w:r>
          </w:p>
          <w:p>
            <w:pPr>
              <w:pStyle w:val="16"/>
            </w:pPr>
            <w:r>
              <w:t>受益对象满意度</w:t>
            </w:r>
          </w:p>
        </w:tc>
        <w:tc>
          <w:tcPr>
            <w:tcW w:w="4228" w:type="dxa"/>
            <w:vAlign w:val="center"/>
          </w:tcPr>
          <w:p>
            <w:pPr>
              <w:pStyle w:val="16"/>
            </w:pPr>
            <w:r>
              <w:t>建成并通过验收</w:t>
            </w:r>
          </w:p>
        </w:tc>
        <w:tc>
          <w:tcPr>
            <w:tcW w:w="2114" w:type="dxa"/>
            <w:vAlign w:val="center"/>
          </w:tcPr>
          <w:p>
            <w:pPr>
              <w:pStyle w:val="16"/>
            </w:pPr>
            <w:r>
              <w:t>≥5个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产业集群数量</w:t>
            </w:r>
          </w:p>
        </w:tc>
        <w:tc>
          <w:tcPr>
            <w:tcW w:w="4228" w:type="dxa"/>
            <w:vAlign w:val="center"/>
          </w:tcPr>
          <w:p>
            <w:pPr>
              <w:pStyle w:val="16"/>
            </w:pPr>
            <w:r>
              <w:t>2024年培育主营业务超百亿产业集群数量</w:t>
            </w:r>
          </w:p>
        </w:tc>
        <w:tc>
          <w:tcPr>
            <w:tcW w:w="2114" w:type="dxa"/>
            <w:vAlign w:val="center"/>
          </w:tcPr>
          <w:p>
            <w:pPr>
              <w:pStyle w:val="16"/>
            </w:pPr>
            <w:r>
              <w:t>≥18个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首台套重大技术产品数</w:t>
            </w:r>
          </w:p>
        </w:tc>
        <w:tc>
          <w:tcPr>
            <w:tcW w:w="4228" w:type="dxa"/>
            <w:vAlign w:val="center"/>
          </w:tcPr>
          <w:p>
            <w:pPr>
              <w:pStyle w:val="16"/>
            </w:pPr>
            <w:r>
              <w:t>2024年首台套重大技术产品数</w:t>
            </w:r>
          </w:p>
        </w:tc>
        <w:tc>
          <w:tcPr>
            <w:tcW w:w="2114" w:type="dxa"/>
            <w:vAlign w:val="center"/>
          </w:tcPr>
          <w:p>
            <w:pPr>
              <w:pStyle w:val="16"/>
            </w:pPr>
            <w:r>
              <w:t>≥10个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组织企业参加省召开互联网+制造业相关培训次数</w:t>
            </w:r>
          </w:p>
        </w:tc>
        <w:tc>
          <w:tcPr>
            <w:tcW w:w="4228" w:type="dxa"/>
            <w:vAlign w:val="center"/>
          </w:tcPr>
          <w:p>
            <w:pPr>
              <w:pStyle w:val="16"/>
            </w:pPr>
            <w:r>
              <w:t>动员企业积极参加了互联网+制造业、两化融合相关培训。企业通过培训，提高了认识，普及信息化知识。</w:t>
            </w:r>
          </w:p>
        </w:tc>
        <w:tc>
          <w:tcPr>
            <w:tcW w:w="2114" w:type="dxa"/>
            <w:vAlign w:val="center"/>
          </w:tcPr>
          <w:p>
            <w:pPr>
              <w:pStyle w:val="16"/>
            </w:pPr>
            <w:r>
              <w:t>3次</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督导推进工业互联网平台和互联网+制造业项目建设次数</w:t>
            </w:r>
          </w:p>
        </w:tc>
        <w:tc>
          <w:tcPr>
            <w:tcW w:w="4228" w:type="dxa"/>
            <w:vAlign w:val="center"/>
          </w:tcPr>
          <w:p>
            <w:pPr>
              <w:pStyle w:val="16"/>
            </w:pPr>
            <w:r>
              <w:t>推进工业互联网平台和互联网+制造业项目建设</w:t>
            </w:r>
          </w:p>
        </w:tc>
        <w:tc>
          <w:tcPr>
            <w:tcW w:w="2114" w:type="dxa"/>
            <w:vAlign w:val="center"/>
          </w:tcPr>
          <w:p>
            <w:pPr>
              <w:pStyle w:val="16"/>
            </w:pPr>
            <w:r>
              <w:t>3次</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项目评审</w:t>
            </w:r>
          </w:p>
        </w:tc>
        <w:tc>
          <w:tcPr>
            <w:tcW w:w="4228" w:type="dxa"/>
            <w:vAlign w:val="center"/>
          </w:tcPr>
          <w:p>
            <w:pPr>
              <w:pStyle w:val="16"/>
            </w:pPr>
            <w:r>
              <w:t>开展项目评审相关工作，评审项目个数不少于16个。</w:t>
            </w:r>
          </w:p>
        </w:tc>
        <w:tc>
          <w:tcPr>
            <w:tcW w:w="2114" w:type="dxa"/>
            <w:vAlign w:val="center"/>
          </w:tcPr>
          <w:p>
            <w:pPr>
              <w:pStyle w:val="16"/>
            </w:pPr>
            <w:r>
              <w:t>≥16个</w:t>
            </w:r>
          </w:p>
        </w:tc>
        <w:tc>
          <w:tcPr>
            <w:tcW w:w="2114" w:type="dxa"/>
            <w:vAlign w:val="center"/>
          </w:tcPr>
          <w:p>
            <w:pPr>
              <w:pStyle w:val="16"/>
            </w:pPr>
            <w:r>
              <w:t>2024年度有关工作通知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规上工业增加值增速</w:t>
            </w:r>
          </w:p>
        </w:tc>
        <w:tc>
          <w:tcPr>
            <w:tcW w:w="4228" w:type="dxa"/>
            <w:vAlign w:val="center"/>
          </w:tcPr>
          <w:p>
            <w:pPr>
              <w:pStyle w:val="16"/>
            </w:pPr>
            <w:r>
              <w:t>规上工业增加值保持平稳增长</w:t>
            </w:r>
          </w:p>
        </w:tc>
        <w:tc>
          <w:tcPr>
            <w:tcW w:w="2114" w:type="dxa"/>
            <w:vAlign w:val="center"/>
          </w:tcPr>
          <w:p>
            <w:pPr>
              <w:pStyle w:val="16"/>
            </w:pPr>
            <w:r>
              <w:t>≥5%</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工作完成时限</w:t>
            </w:r>
          </w:p>
        </w:tc>
        <w:tc>
          <w:tcPr>
            <w:tcW w:w="4228" w:type="dxa"/>
            <w:vAlign w:val="center"/>
          </w:tcPr>
          <w:p>
            <w:pPr>
              <w:pStyle w:val="16"/>
            </w:pPr>
            <w:r>
              <w:t>各项任务指标完成时限</w:t>
            </w:r>
          </w:p>
        </w:tc>
        <w:tc>
          <w:tcPr>
            <w:tcW w:w="2114" w:type="dxa"/>
            <w:vAlign w:val="center"/>
          </w:tcPr>
          <w:p>
            <w:pPr>
              <w:pStyle w:val="16"/>
            </w:pPr>
            <w:r>
              <w:t>2024年底</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差旅费</w:t>
            </w:r>
          </w:p>
        </w:tc>
        <w:tc>
          <w:tcPr>
            <w:tcW w:w="4228" w:type="dxa"/>
            <w:vAlign w:val="center"/>
          </w:tcPr>
          <w:p>
            <w:pPr>
              <w:pStyle w:val="16"/>
            </w:pPr>
            <w:r>
              <w:t>因业务需求产生的差旅费</w:t>
            </w:r>
          </w:p>
        </w:tc>
        <w:tc>
          <w:tcPr>
            <w:tcW w:w="2114" w:type="dxa"/>
            <w:vAlign w:val="center"/>
          </w:tcPr>
          <w:p>
            <w:pPr>
              <w:pStyle w:val="16"/>
            </w:pPr>
            <w:r>
              <w:t>≤180元/人/天</w:t>
            </w:r>
          </w:p>
        </w:tc>
        <w:tc>
          <w:tcPr>
            <w:tcW w:w="2114" w:type="dxa"/>
            <w:vAlign w:val="center"/>
          </w:tcPr>
          <w:p>
            <w:pPr>
              <w:pStyle w:val="16"/>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评审专家费用</w:t>
            </w:r>
          </w:p>
        </w:tc>
        <w:tc>
          <w:tcPr>
            <w:tcW w:w="4228" w:type="dxa"/>
            <w:vAlign w:val="center"/>
          </w:tcPr>
          <w:p>
            <w:pPr>
              <w:pStyle w:val="16"/>
            </w:pPr>
            <w:r>
              <w:t>项目评审产生聘请专家费用</w:t>
            </w:r>
          </w:p>
        </w:tc>
        <w:tc>
          <w:tcPr>
            <w:tcW w:w="2114" w:type="dxa"/>
            <w:vAlign w:val="center"/>
          </w:tcPr>
          <w:p>
            <w:pPr>
              <w:pStyle w:val="16"/>
            </w:pPr>
            <w:r>
              <w:t>≤1500元/人/天</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项目总成本</w:t>
            </w:r>
          </w:p>
        </w:tc>
        <w:tc>
          <w:tcPr>
            <w:tcW w:w="4228" w:type="dxa"/>
            <w:vAlign w:val="center"/>
          </w:tcPr>
          <w:p>
            <w:pPr>
              <w:pStyle w:val="16"/>
            </w:pPr>
            <w:r>
              <w:t>年度工作总成本</w:t>
            </w:r>
          </w:p>
        </w:tc>
        <w:tc>
          <w:tcPr>
            <w:tcW w:w="2114" w:type="dxa"/>
            <w:vAlign w:val="center"/>
          </w:tcPr>
          <w:p>
            <w:pPr>
              <w:pStyle w:val="16"/>
            </w:pPr>
            <w:r>
              <w:t>≤40万元</w:t>
            </w:r>
          </w:p>
        </w:tc>
        <w:tc>
          <w:tcPr>
            <w:tcW w:w="2114" w:type="dxa"/>
            <w:vAlign w:val="center"/>
          </w:tcPr>
          <w:p>
            <w:pPr>
              <w:pStyle w:val="16"/>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县域特色产业集群营业收入超百亿元数量</w:t>
            </w:r>
          </w:p>
        </w:tc>
        <w:tc>
          <w:tcPr>
            <w:tcW w:w="4228" w:type="dxa"/>
            <w:vAlign w:val="center"/>
          </w:tcPr>
          <w:p>
            <w:pPr>
              <w:pStyle w:val="16"/>
            </w:pPr>
            <w:r>
              <w:t>县域特色产业集群营业收入超百亿元数量</w:t>
            </w:r>
          </w:p>
        </w:tc>
        <w:tc>
          <w:tcPr>
            <w:tcW w:w="2114" w:type="dxa"/>
            <w:vAlign w:val="center"/>
          </w:tcPr>
          <w:p>
            <w:pPr>
              <w:pStyle w:val="16"/>
            </w:pPr>
            <w:r>
              <w:t>≥15个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制造业工业企业研发机构数量</w:t>
            </w:r>
          </w:p>
        </w:tc>
        <w:tc>
          <w:tcPr>
            <w:tcW w:w="4228" w:type="dxa"/>
            <w:vAlign w:val="center"/>
          </w:tcPr>
          <w:p>
            <w:pPr>
              <w:pStyle w:val="16"/>
            </w:pPr>
            <w:r>
              <w:t>新建和提档升级制造业工业企业研发机构数量</w:t>
            </w:r>
          </w:p>
        </w:tc>
        <w:tc>
          <w:tcPr>
            <w:tcW w:w="2114" w:type="dxa"/>
            <w:vAlign w:val="center"/>
          </w:tcPr>
          <w:p>
            <w:pPr>
              <w:pStyle w:val="16"/>
            </w:pPr>
            <w:r>
              <w:t>≥50个</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培育绿色工厂</w:t>
            </w:r>
          </w:p>
        </w:tc>
        <w:tc>
          <w:tcPr>
            <w:tcW w:w="4228" w:type="dxa"/>
            <w:vAlign w:val="center"/>
          </w:tcPr>
          <w:p>
            <w:pPr>
              <w:pStyle w:val="16"/>
            </w:pPr>
            <w:r>
              <w:t>创建省级及以上绿色工厂</w:t>
            </w:r>
          </w:p>
        </w:tc>
        <w:tc>
          <w:tcPr>
            <w:tcW w:w="2114" w:type="dxa"/>
            <w:vAlign w:val="center"/>
          </w:tcPr>
          <w:p>
            <w:pPr>
              <w:pStyle w:val="16"/>
            </w:pPr>
            <w:r>
              <w:t>≥6家</w:t>
            </w:r>
          </w:p>
        </w:tc>
        <w:tc>
          <w:tcPr>
            <w:tcW w:w="2114" w:type="dxa"/>
            <w:vAlign w:val="center"/>
          </w:tcPr>
          <w:p>
            <w:pPr>
              <w:pStyle w:val="16"/>
            </w:pPr>
            <w:r>
              <w:t>《关于加快推进工业转型升级建设现代化工业体系的实施意见》《邢台市人民政府关于加快推进工业转型升级建设现代化工业体系的实施意见》邢制强市办[2018]5号；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受益对象满意度</w:t>
            </w:r>
          </w:p>
        </w:tc>
        <w:tc>
          <w:tcPr>
            <w:tcW w:w="2114" w:type="dxa"/>
            <w:vAlign w:val="center"/>
          </w:tcPr>
          <w:p>
            <w:pPr>
              <w:pStyle w:val="16"/>
            </w:pPr>
            <w:r>
              <w:t>≥90%</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3、基层统计监测人员能力提升绩效目标表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13050023P009570100035</w:t>
            </w:r>
          </w:p>
        </w:tc>
        <w:tc>
          <w:tcPr>
            <w:tcW w:w="2114" w:type="dxa"/>
            <w:vAlign w:val="center"/>
          </w:tcPr>
          <w:p>
            <w:pPr>
              <w:pStyle w:val="14"/>
            </w:pPr>
            <w:r>
              <w:t>项目名称</w:t>
            </w:r>
          </w:p>
        </w:tc>
        <w:tc>
          <w:tcPr>
            <w:tcW w:w="6342" w:type="dxa"/>
            <w:gridSpan w:val="3"/>
            <w:vAlign w:val="center"/>
          </w:tcPr>
          <w:p>
            <w:pPr>
              <w:pStyle w:val="16"/>
            </w:pPr>
            <w:r>
              <w:t>基层统计监测人员能力提升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2.80</w:t>
            </w:r>
          </w:p>
        </w:tc>
        <w:tc>
          <w:tcPr>
            <w:tcW w:w="2114" w:type="dxa"/>
            <w:vAlign w:val="center"/>
          </w:tcPr>
          <w:p>
            <w:pPr>
              <w:pStyle w:val="14"/>
            </w:pPr>
            <w:r>
              <w:t>其中：财政    资金</w:t>
            </w:r>
          </w:p>
        </w:tc>
        <w:tc>
          <w:tcPr>
            <w:tcW w:w="2114" w:type="dxa"/>
            <w:vAlign w:val="center"/>
          </w:tcPr>
          <w:p>
            <w:pPr>
              <w:pStyle w:val="16"/>
            </w:pPr>
            <w:r>
              <w:t>2.80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按照季度开展县域特色产业相关统计核算，并配合统计部门开展民营经济统计，年度组织开展民营经济年报汇总等工作，为各级政府部门决策参考提供支撑服务。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60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1.按照季度开展县域特色产业相关统计核算，并配合统计部门开展民营经济统计，年度组织开展民营经济年报汇总等工作，为各级政府部门决策参考提供支撑服务。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培训人员数量</w:t>
            </w:r>
          </w:p>
        </w:tc>
        <w:tc>
          <w:tcPr>
            <w:tcW w:w="4228" w:type="dxa"/>
            <w:vAlign w:val="center"/>
          </w:tcPr>
          <w:p>
            <w:pPr>
              <w:pStyle w:val="16"/>
            </w:pPr>
            <w:r>
              <w:t>各市年度内组织所辖县市区、乡镇和重点开发区、园区基层统计人员参加业务能力提升和综合素质培养人数</w:t>
            </w:r>
          </w:p>
        </w:tc>
        <w:tc>
          <w:tcPr>
            <w:tcW w:w="2114" w:type="dxa"/>
            <w:vAlign w:val="center"/>
          </w:tcPr>
          <w:p>
            <w:pPr>
              <w:pStyle w:val="16"/>
            </w:pPr>
            <w:r>
              <w:t>各市指标以资金文件所确定的分市培训人员数量为准.</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季度数据质量</w:t>
            </w:r>
          </w:p>
        </w:tc>
        <w:tc>
          <w:tcPr>
            <w:tcW w:w="4228" w:type="dxa"/>
            <w:vAlign w:val="center"/>
          </w:tcPr>
          <w:p>
            <w:pPr>
              <w:pStyle w:val="16"/>
            </w:pPr>
            <w:r>
              <w:t>组织本地区所辖县（市）县域特色产业发展数据统计工作</w:t>
            </w:r>
          </w:p>
        </w:tc>
        <w:tc>
          <w:tcPr>
            <w:tcW w:w="2114" w:type="dxa"/>
            <w:vAlign w:val="center"/>
          </w:tcPr>
          <w:p>
            <w:pPr>
              <w:pStyle w:val="16"/>
            </w:pPr>
            <w:r>
              <w:t>每季度上报数据符合工信部要求</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报送时限</w:t>
            </w:r>
          </w:p>
        </w:tc>
        <w:tc>
          <w:tcPr>
            <w:tcW w:w="4228" w:type="dxa"/>
            <w:vAlign w:val="center"/>
          </w:tcPr>
          <w:p>
            <w:pPr>
              <w:pStyle w:val="16"/>
            </w:pPr>
            <w:r>
              <w:t>完成数据报送时限要求</w:t>
            </w:r>
          </w:p>
        </w:tc>
        <w:tc>
          <w:tcPr>
            <w:tcW w:w="2114" w:type="dxa"/>
            <w:vAlign w:val="center"/>
          </w:tcPr>
          <w:p>
            <w:pPr>
              <w:pStyle w:val="16"/>
            </w:pPr>
            <w:r>
              <w:t>季后50日内</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人均经费</w:t>
            </w:r>
          </w:p>
        </w:tc>
        <w:tc>
          <w:tcPr>
            <w:tcW w:w="4228" w:type="dxa"/>
            <w:vAlign w:val="center"/>
          </w:tcPr>
          <w:p>
            <w:pPr>
              <w:pStyle w:val="16"/>
            </w:pPr>
            <w:r>
              <w:t>对基层统计监测人员业务能力提升与综合素质培养人均每天费用</w:t>
            </w:r>
          </w:p>
        </w:tc>
        <w:tc>
          <w:tcPr>
            <w:tcW w:w="2114" w:type="dxa"/>
            <w:vAlign w:val="center"/>
          </w:tcPr>
          <w:p>
            <w:pPr>
              <w:pStyle w:val="16"/>
            </w:pPr>
            <w:r>
              <w:t>≤300元</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为各级政府部门提供数据</w:t>
            </w:r>
          </w:p>
        </w:tc>
        <w:tc>
          <w:tcPr>
            <w:tcW w:w="4228" w:type="dxa"/>
            <w:vAlign w:val="center"/>
          </w:tcPr>
          <w:p>
            <w:pPr>
              <w:pStyle w:val="16"/>
            </w:pPr>
            <w:r>
              <w:t>完成全省季度县域特色产业集群发展情况指标统计核算</w:t>
            </w:r>
          </w:p>
        </w:tc>
        <w:tc>
          <w:tcPr>
            <w:tcW w:w="2114" w:type="dxa"/>
            <w:vAlign w:val="center"/>
          </w:tcPr>
          <w:p>
            <w:pPr>
              <w:pStyle w:val="16"/>
            </w:pPr>
            <w:r>
              <w:t>季后50日内将有关情况通报各市政府</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4、基层统计监测人员业务能力提升绩效目标表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13050024P00940810037Q</w:t>
            </w:r>
          </w:p>
        </w:tc>
        <w:tc>
          <w:tcPr>
            <w:tcW w:w="2114" w:type="dxa"/>
            <w:vAlign w:val="center"/>
          </w:tcPr>
          <w:p>
            <w:pPr>
              <w:pStyle w:val="14"/>
            </w:pPr>
            <w:r>
              <w:t>项目名称</w:t>
            </w:r>
          </w:p>
        </w:tc>
        <w:tc>
          <w:tcPr>
            <w:tcW w:w="6342" w:type="dxa"/>
            <w:gridSpan w:val="3"/>
            <w:vAlign w:val="center"/>
          </w:tcPr>
          <w:p>
            <w:pPr>
              <w:pStyle w:val="16"/>
            </w:pPr>
            <w:r>
              <w:t>基层统计监测人员业务能力提升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7.00</w:t>
            </w:r>
          </w:p>
        </w:tc>
        <w:tc>
          <w:tcPr>
            <w:tcW w:w="2114" w:type="dxa"/>
            <w:vAlign w:val="center"/>
          </w:tcPr>
          <w:p>
            <w:pPr>
              <w:pStyle w:val="14"/>
            </w:pPr>
            <w:r>
              <w:t>其中：财政    资金</w:t>
            </w:r>
          </w:p>
        </w:tc>
        <w:tc>
          <w:tcPr>
            <w:tcW w:w="2114" w:type="dxa"/>
            <w:vAlign w:val="center"/>
          </w:tcPr>
          <w:p>
            <w:pPr>
              <w:pStyle w:val="16"/>
            </w:pPr>
            <w:r>
              <w:t>7.00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用于基层统计监测人员业务能力提升培训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t xml:space="preserve"> </w:t>
            </w:r>
            <w:r>
              <w:rPr>
                <w:rFonts w:hint="eastAsia"/>
                <w:lang w:val="en-US" w:eastAsia="zh-CN"/>
              </w:rPr>
              <w:t>20</w:t>
            </w:r>
          </w:p>
        </w:tc>
        <w:tc>
          <w:tcPr>
            <w:tcW w:w="2114" w:type="dxa"/>
            <w:vAlign w:val="center"/>
          </w:tcPr>
          <w:p>
            <w:pPr>
              <w:pStyle w:val="17"/>
              <w:rPr>
                <w:rFonts w:hint="default" w:eastAsia="方正书宋_GBK"/>
                <w:lang w:val="en-US" w:eastAsia="zh-CN"/>
              </w:rPr>
            </w:pPr>
            <w:r>
              <w:t xml:space="preserve"> </w:t>
            </w:r>
            <w:r>
              <w:rPr>
                <w:rFonts w:hint="eastAsia"/>
                <w:lang w:val="en-US" w:eastAsia="zh-CN"/>
              </w:rPr>
              <w:t>40</w:t>
            </w:r>
          </w:p>
        </w:tc>
        <w:tc>
          <w:tcPr>
            <w:tcW w:w="2114" w:type="dxa"/>
            <w:vAlign w:val="center"/>
          </w:tcPr>
          <w:p>
            <w:pPr>
              <w:pStyle w:val="17"/>
            </w:pPr>
            <w:r>
              <w:rPr>
                <w:rFonts w:hint="eastAsia"/>
                <w:lang w:val="en-US" w:eastAsia="zh-CN"/>
              </w:rPr>
              <w:t>60</w:t>
            </w:r>
            <w:r>
              <w:t xml:space="preserve"> </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1.按照季度开展县域特色产业相关统计核算，并配合统计部门开展民营经济统计，年度组织开展民营经济年报汇总等工作，为各级政府部门决策参考提供支撑服务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人员数量</w:t>
            </w:r>
          </w:p>
        </w:tc>
        <w:tc>
          <w:tcPr>
            <w:tcW w:w="4228" w:type="dxa"/>
            <w:vAlign w:val="center"/>
          </w:tcPr>
          <w:p>
            <w:pPr>
              <w:pStyle w:val="16"/>
            </w:pPr>
            <w:r>
              <w:t>年度内组织所辖县市区、乡镇和重点开发区、园区基层统计人员参加业务能力提升和综合素质培养人数</w:t>
            </w:r>
          </w:p>
        </w:tc>
        <w:tc>
          <w:tcPr>
            <w:tcW w:w="2114" w:type="dxa"/>
            <w:vAlign w:val="center"/>
          </w:tcPr>
          <w:p>
            <w:pPr>
              <w:pStyle w:val="16"/>
            </w:pPr>
            <w:r>
              <w:t>≥170人</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季度数据涵盖主要指标</w:t>
            </w:r>
          </w:p>
        </w:tc>
        <w:tc>
          <w:tcPr>
            <w:tcW w:w="4228" w:type="dxa"/>
            <w:vAlign w:val="center"/>
          </w:tcPr>
          <w:p>
            <w:pPr>
              <w:pStyle w:val="16"/>
            </w:pPr>
            <w:r>
              <w:t>按照季度统计核算并上报本地区及所辖县（市）县域特色产业发展主要指标数据</w:t>
            </w:r>
          </w:p>
        </w:tc>
        <w:tc>
          <w:tcPr>
            <w:tcW w:w="2114" w:type="dxa"/>
            <w:vAlign w:val="center"/>
          </w:tcPr>
          <w:p>
            <w:pPr>
              <w:pStyle w:val="16"/>
            </w:pPr>
            <w:r>
              <w:t>每季度一次，数据涵盖本地区及所辖县（市）县域特色产业发展主要指标数据</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报送时限</w:t>
            </w:r>
          </w:p>
        </w:tc>
        <w:tc>
          <w:tcPr>
            <w:tcW w:w="4228" w:type="dxa"/>
            <w:vAlign w:val="center"/>
          </w:tcPr>
          <w:p>
            <w:pPr>
              <w:pStyle w:val="16"/>
            </w:pPr>
            <w:r>
              <w:t>完成数据报送时限要求</w:t>
            </w:r>
          </w:p>
        </w:tc>
        <w:tc>
          <w:tcPr>
            <w:tcW w:w="2114" w:type="dxa"/>
            <w:vAlign w:val="center"/>
          </w:tcPr>
          <w:p>
            <w:pPr>
              <w:pStyle w:val="16"/>
            </w:pPr>
            <w:r>
              <w:t>季后50日前</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能力提升人均经费</w:t>
            </w:r>
          </w:p>
        </w:tc>
        <w:tc>
          <w:tcPr>
            <w:tcW w:w="4228" w:type="dxa"/>
            <w:vAlign w:val="center"/>
          </w:tcPr>
          <w:p>
            <w:pPr>
              <w:pStyle w:val="16"/>
            </w:pPr>
            <w:r>
              <w:t>对基层统计监测人员业务能力提升与综合素质培养人均每天费用</w:t>
            </w:r>
          </w:p>
        </w:tc>
        <w:tc>
          <w:tcPr>
            <w:tcW w:w="2114" w:type="dxa"/>
            <w:vAlign w:val="center"/>
          </w:tcPr>
          <w:p>
            <w:pPr>
              <w:pStyle w:val="16"/>
            </w:pPr>
            <w:r>
              <w:t>≤280元</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为各级政府部门提供数据</w:t>
            </w:r>
          </w:p>
        </w:tc>
        <w:tc>
          <w:tcPr>
            <w:tcW w:w="4228" w:type="dxa"/>
            <w:vAlign w:val="center"/>
          </w:tcPr>
          <w:p>
            <w:pPr>
              <w:pStyle w:val="16"/>
            </w:pPr>
            <w:r>
              <w:t>按照省政府工作部署和要求，每季度将集群发展情况主要指标通报各市，为各级政府部门决策参考提供数据支撑。</w:t>
            </w:r>
          </w:p>
        </w:tc>
        <w:tc>
          <w:tcPr>
            <w:tcW w:w="2114" w:type="dxa"/>
            <w:vAlign w:val="center"/>
          </w:tcPr>
          <w:p>
            <w:pPr>
              <w:pStyle w:val="16"/>
            </w:pPr>
            <w:r>
              <w:t>季后50日前</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5、机关网络维护经费绩效目标表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13050024P009408100294</w:t>
            </w:r>
          </w:p>
        </w:tc>
        <w:tc>
          <w:tcPr>
            <w:tcW w:w="2114" w:type="dxa"/>
            <w:vAlign w:val="center"/>
          </w:tcPr>
          <w:p>
            <w:pPr>
              <w:pStyle w:val="14"/>
            </w:pPr>
            <w:r>
              <w:t>项目名称</w:t>
            </w:r>
          </w:p>
        </w:tc>
        <w:tc>
          <w:tcPr>
            <w:tcW w:w="6342" w:type="dxa"/>
            <w:gridSpan w:val="3"/>
            <w:vAlign w:val="center"/>
          </w:tcPr>
          <w:p>
            <w:pPr>
              <w:pStyle w:val="16"/>
            </w:pPr>
            <w:r>
              <w:t>机关网络维护经费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19.80</w:t>
            </w:r>
          </w:p>
        </w:tc>
        <w:tc>
          <w:tcPr>
            <w:tcW w:w="2114" w:type="dxa"/>
            <w:vAlign w:val="center"/>
          </w:tcPr>
          <w:p>
            <w:pPr>
              <w:pStyle w:val="14"/>
            </w:pPr>
            <w:r>
              <w:t>其中：财政    资金</w:t>
            </w:r>
          </w:p>
        </w:tc>
        <w:tc>
          <w:tcPr>
            <w:tcW w:w="2114" w:type="dxa"/>
            <w:vAlign w:val="center"/>
          </w:tcPr>
          <w:p>
            <w:pPr>
              <w:pStyle w:val="16"/>
            </w:pPr>
            <w:r>
              <w:t>19.80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机关网络维护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20</w:t>
            </w:r>
          </w:p>
        </w:tc>
        <w:tc>
          <w:tcPr>
            <w:tcW w:w="2114" w:type="dxa"/>
            <w:vAlign w:val="center"/>
          </w:tcPr>
          <w:p>
            <w:pPr>
              <w:widowControl/>
              <w:jc w:val="left"/>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50</w:t>
            </w:r>
          </w:p>
        </w:tc>
        <w:tc>
          <w:tcPr>
            <w:tcW w:w="2114" w:type="dxa"/>
            <w:vAlign w:val="center"/>
          </w:tcPr>
          <w:p>
            <w:pPr>
              <w:widowControl/>
              <w:jc w:val="left"/>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70</w:t>
            </w:r>
          </w:p>
        </w:tc>
        <w:tc>
          <w:tcPr>
            <w:tcW w:w="4228" w:type="dxa"/>
            <w:gridSpan w:val="2"/>
            <w:vAlign w:val="center"/>
          </w:tcPr>
          <w:p>
            <w:pPr>
              <w:widowControl/>
              <w:jc w:val="center"/>
              <w:textAlignment w:val="center"/>
              <w:rPr>
                <w:rFonts w:hint="default" w:ascii="宋体" w:hAnsi="宋体" w:eastAsia="Times New Roman" w:cs="宋体"/>
                <w:color w:val="000000"/>
                <w:sz w:val="24"/>
                <w:szCs w:val="24"/>
                <w:lang w:val="en-US" w:eastAsia="zh-CN" w:bidi="ar-SA"/>
              </w:rP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1.用于单位政务网络建设，保障网络安全信息畅通，开展网络安全检查，购买网络安全云防护，保障单位网络运行顺畅，保障业务宣传、政务信息公开、网上行政服务等工作顺利开展。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政务信息公开数量</w:t>
            </w:r>
          </w:p>
        </w:tc>
        <w:tc>
          <w:tcPr>
            <w:tcW w:w="4228" w:type="dxa"/>
            <w:vAlign w:val="center"/>
          </w:tcPr>
          <w:p>
            <w:pPr>
              <w:pStyle w:val="16"/>
            </w:pPr>
            <w:r>
              <w:t>2024年单位政务信息公开数量</w:t>
            </w:r>
          </w:p>
        </w:tc>
        <w:tc>
          <w:tcPr>
            <w:tcW w:w="2114" w:type="dxa"/>
            <w:vAlign w:val="center"/>
          </w:tcPr>
          <w:p>
            <w:pPr>
              <w:pStyle w:val="16"/>
            </w:pPr>
            <w:r>
              <w:t>≥80条</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网络安全检查次数</w:t>
            </w:r>
          </w:p>
        </w:tc>
        <w:tc>
          <w:tcPr>
            <w:tcW w:w="4228" w:type="dxa"/>
            <w:vAlign w:val="center"/>
          </w:tcPr>
          <w:p>
            <w:pPr>
              <w:pStyle w:val="16"/>
            </w:pPr>
            <w:r>
              <w:t>2024年全年对单位政务网络开展安全检查次数</w:t>
            </w:r>
          </w:p>
        </w:tc>
        <w:tc>
          <w:tcPr>
            <w:tcW w:w="2114" w:type="dxa"/>
            <w:vAlign w:val="center"/>
          </w:tcPr>
          <w:p>
            <w:pPr>
              <w:pStyle w:val="16"/>
            </w:pPr>
            <w:r>
              <w:t>≥2次</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系统验收合格率</w:t>
            </w:r>
          </w:p>
        </w:tc>
        <w:tc>
          <w:tcPr>
            <w:tcW w:w="4228" w:type="dxa"/>
            <w:vAlign w:val="center"/>
          </w:tcPr>
          <w:p>
            <w:pPr>
              <w:pStyle w:val="16"/>
            </w:pPr>
            <w:r>
              <w:t>单位网络系统验收合格率</w:t>
            </w:r>
          </w:p>
        </w:tc>
        <w:tc>
          <w:tcPr>
            <w:tcW w:w="2114" w:type="dxa"/>
            <w:vAlign w:val="center"/>
          </w:tcPr>
          <w:p>
            <w:pPr>
              <w:pStyle w:val="16"/>
            </w:pPr>
            <w:r>
              <w:t>≥95%</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网络安全运行率</w:t>
            </w:r>
          </w:p>
        </w:tc>
        <w:tc>
          <w:tcPr>
            <w:tcW w:w="4228" w:type="dxa"/>
            <w:vAlign w:val="center"/>
          </w:tcPr>
          <w:p>
            <w:pPr>
              <w:pStyle w:val="16"/>
            </w:pPr>
            <w:r>
              <w:t>2024年政务网站安全运行天数/全年天数*100%</w:t>
            </w:r>
          </w:p>
        </w:tc>
        <w:tc>
          <w:tcPr>
            <w:tcW w:w="2114" w:type="dxa"/>
            <w:vAlign w:val="center"/>
          </w:tcPr>
          <w:p>
            <w:pPr>
              <w:pStyle w:val="16"/>
            </w:pPr>
            <w:r>
              <w:t>100%</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网络安全维护成本、视频网络、办公网络等成本</w:t>
            </w:r>
          </w:p>
        </w:tc>
        <w:tc>
          <w:tcPr>
            <w:tcW w:w="4228" w:type="dxa"/>
            <w:vAlign w:val="center"/>
          </w:tcPr>
          <w:p>
            <w:pPr>
              <w:pStyle w:val="16"/>
            </w:pPr>
            <w:r>
              <w:t>每月支付网络运行维护费用</w:t>
            </w:r>
          </w:p>
        </w:tc>
        <w:tc>
          <w:tcPr>
            <w:tcW w:w="2114" w:type="dxa"/>
            <w:vAlign w:val="center"/>
          </w:tcPr>
          <w:p>
            <w:pPr>
              <w:pStyle w:val="16"/>
            </w:pPr>
            <w:r>
              <w:t>≤16000元/月</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网络安全运行率</w:t>
            </w:r>
          </w:p>
        </w:tc>
        <w:tc>
          <w:tcPr>
            <w:tcW w:w="4228" w:type="dxa"/>
            <w:vAlign w:val="center"/>
          </w:tcPr>
          <w:p>
            <w:pPr>
              <w:pStyle w:val="16"/>
            </w:pPr>
            <w:r>
              <w:t>2024年政务网站安全运行天数/全年天数*100%</w:t>
            </w:r>
          </w:p>
        </w:tc>
        <w:tc>
          <w:tcPr>
            <w:tcW w:w="2114" w:type="dxa"/>
            <w:vAlign w:val="center"/>
          </w:tcPr>
          <w:p>
            <w:pPr>
              <w:pStyle w:val="16"/>
            </w:pPr>
            <w:r>
              <w:t>100%</w:t>
            </w:r>
          </w:p>
        </w:tc>
        <w:tc>
          <w:tcPr>
            <w:tcW w:w="2114" w:type="dxa"/>
            <w:vAlign w:val="center"/>
          </w:tcPr>
          <w:p>
            <w:pPr>
              <w:pStyle w:val="16"/>
            </w:pPr>
            <w:r>
              <w:t>《关于加强党政机关网站安全管理的通知》中网办发[2014]1号文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机关单位工作人员满意度（%）</w:t>
            </w:r>
          </w:p>
        </w:tc>
        <w:tc>
          <w:tcPr>
            <w:tcW w:w="4228" w:type="dxa"/>
            <w:vAlign w:val="center"/>
          </w:tcPr>
          <w:p>
            <w:pPr>
              <w:pStyle w:val="16"/>
            </w:pPr>
            <w:r>
              <w:t>机关单位工作人员满意度（%）</w:t>
            </w:r>
          </w:p>
        </w:tc>
        <w:tc>
          <w:tcPr>
            <w:tcW w:w="2114" w:type="dxa"/>
            <w:vAlign w:val="center"/>
          </w:tcPr>
          <w:p>
            <w:pPr>
              <w:pStyle w:val="16"/>
            </w:pPr>
            <w:r>
              <w:t>≥95%</w:t>
            </w:r>
          </w:p>
        </w:tc>
        <w:tc>
          <w:tcPr>
            <w:tcW w:w="2114" w:type="dxa"/>
            <w:vAlign w:val="center"/>
          </w:tcPr>
          <w:p>
            <w:pPr>
              <w:pStyle w:val="16"/>
            </w:pPr>
            <w:r>
              <w:t>《关于加强党政机关网站安全管理的通知》中网办发[2014]1号文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6、禁化武办公室工作经费绩效目标表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13050024P00940810032N</w:t>
            </w:r>
          </w:p>
        </w:tc>
        <w:tc>
          <w:tcPr>
            <w:tcW w:w="2114" w:type="dxa"/>
            <w:vAlign w:val="center"/>
          </w:tcPr>
          <w:p>
            <w:pPr>
              <w:pStyle w:val="14"/>
            </w:pPr>
            <w:r>
              <w:t>项目名称</w:t>
            </w:r>
          </w:p>
        </w:tc>
        <w:tc>
          <w:tcPr>
            <w:tcW w:w="6342" w:type="dxa"/>
            <w:gridSpan w:val="3"/>
            <w:vAlign w:val="center"/>
          </w:tcPr>
          <w:p>
            <w:pPr>
              <w:pStyle w:val="16"/>
            </w:pPr>
            <w:r>
              <w:t>禁化武办公室工作经费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5.00</w:t>
            </w:r>
          </w:p>
        </w:tc>
        <w:tc>
          <w:tcPr>
            <w:tcW w:w="2114" w:type="dxa"/>
            <w:vAlign w:val="center"/>
          </w:tcPr>
          <w:p>
            <w:pPr>
              <w:pStyle w:val="14"/>
            </w:pPr>
            <w:r>
              <w:t>其中：财政    资金</w:t>
            </w:r>
          </w:p>
        </w:tc>
        <w:tc>
          <w:tcPr>
            <w:tcW w:w="2114" w:type="dxa"/>
            <w:vAlign w:val="center"/>
          </w:tcPr>
          <w:p>
            <w:pPr>
              <w:pStyle w:val="16"/>
            </w:pPr>
            <w:r>
              <w:t>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对我市监控化学品生产企业开展日常监管；用于禁化武办公室日常办公和进行禁化武履约宣传以及企业日常宣布管理工作；监督企业日常生产，按规定进行预宣布和宣布工作，有效保障向社会大众宣传禁化武履约到位。</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pPr>
            <w:r>
              <w:rPr>
                <w:rFonts w:hint="eastAsia" w:ascii="宋体" w:hAnsi="宋体" w:cs="宋体"/>
                <w:color w:val="000000"/>
                <w:kern w:val="0"/>
                <w:sz w:val="20"/>
                <w:szCs w:val="20"/>
                <w:lang w:bidi="ar"/>
              </w:rPr>
              <w:t>20</w:t>
            </w:r>
          </w:p>
        </w:tc>
        <w:tc>
          <w:tcPr>
            <w:tcW w:w="2114" w:type="dxa"/>
            <w:vAlign w:val="center"/>
          </w:tcPr>
          <w:p>
            <w:pPr>
              <w:widowControl/>
              <w:jc w:val="left"/>
              <w:textAlignment w:val="center"/>
            </w:pPr>
            <w:r>
              <w:rPr>
                <w:rFonts w:hint="eastAsia" w:ascii="宋体" w:hAnsi="宋体" w:cs="宋体"/>
                <w:color w:val="000000"/>
                <w:kern w:val="0"/>
                <w:sz w:val="20"/>
                <w:szCs w:val="20"/>
                <w:lang w:bidi="ar"/>
              </w:rPr>
              <w:t>50</w:t>
            </w:r>
          </w:p>
        </w:tc>
        <w:tc>
          <w:tcPr>
            <w:tcW w:w="2114" w:type="dxa"/>
            <w:vAlign w:val="center"/>
          </w:tcPr>
          <w:p>
            <w:pPr>
              <w:widowControl/>
              <w:jc w:val="left"/>
              <w:textAlignment w:val="center"/>
            </w:pPr>
            <w:r>
              <w:rPr>
                <w:rFonts w:hint="eastAsia" w:ascii="宋体" w:hAnsi="宋体" w:cs="宋体"/>
                <w:color w:val="000000"/>
                <w:kern w:val="0"/>
                <w:sz w:val="20"/>
                <w:szCs w:val="20"/>
                <w:lang w:bidi="ar"/>
              </w:rPr>
              <w:t>70</w:t>
            </w:r>
          </w:p>
        </w:tc>
        <w:tc>
          <w:tcPr>
            <w:tcW w:w="4228" w:type="dxa"/>
            <w:gridSpan w:val="2"/>
            <w:vAlign w:val="center"/>
          </w:tcPr>
          <w:p>
            <w:pPr>
              <w:widowControl/>
              <w:jc w:val="center"/>
              <w:textAlignment w:val="center"/>
            </w:pPr>
            <w:r>
              <w:rPr>
                <w:rFonts w:hint="eastAsia" w:ascii="宋体" w:hAnsi="宋体" w:cs="宋体"/>
                <w:color w:val="000000"/>
                <w:kern w:val="0"/>
                <w:sz w:val="20"/>
                <w:szCs w:val="20"/>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对我市监控化学品生产企业开展日常监管；用于禁化武办公室日常办公和进行禁化武履约宣传以及企业日常宣布管理工作；监督企业日常生产，按规定进行预宣布和宣布工作，有效保障向社会大众宣传禁化武履约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开展集中检查次数</w:t>
            </w:r>
          </w:p>
        </w:tc>
        <w:tc>
          <w:tcPr>
            <w:tcW w:w="4228" w:type="dxa"/>
            <w:vAlign w:val="center"/>
          </w:tcPr>
          <w:p>
            <w:pPr>
              <w:pStyle w:val="16"/>
            </w:pPr>
            <w:r>
              <w:t>2024年对危化品企业开展集中检查次数</w:t>
            </w:r>
          </w:p>
        </w:tc>
        <w:tc>
          <w:tcPr>
            <w:tcW w:w="2114" w:type="dxa"/>
            <w:vAlign w:val="center"/>
          </w:tcPr>
          <w:p>
            <w:pPr>
              <w:pStyle w:val="16"/>
            </w:pPr>
            <w:r>
              <w:t>≥1次</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按规定宣布率</w:t>
            </w:r>
          </w:p>
        </w:tc>
        <w:tc>
          <w:tcPr>
            <w:tcW w:w="4228" w:type="dxa"/>
            <w:vAlign w:val="center"/>
          </w:tcPr>
          <w:p>
            <w:pPr>
              <w:pStyle w:val="16"/>
            </w:pPr>
            <w:r>
              <w:t>企业按规定进行宣布工作</w:t>
            </w:r>
          </w:p>
        </w:tc>
        <w:tc>
          <w:tcPr>
            <w:tcW w:w="2114" w:type="dxa"/>
            <w:vAlign w:val="center"/>
          </w:tcPr>
          <w:p>
            <w:pPr>
              <w:pStyle w:val="16"/>
            </w:pPr>
            <w:r>
              <w:t>100%</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工作完成及时率</w:t>
            </w:r>
          </w:p>
        </w:tc>
        <w:tc>
          <w:tcPr>
            <w:tcW w:w="4228" w:type="dxa"/>
            <w:vAlign w:val="center"/>
          </w:tcPr>
          <w:p>
            <w:pPr>
              <w:pStyle w:val="16"/>
            </w:pPr>
            <w:r>
              <w:t>2024年底年度工作完成率</w:t>
            </w:r>
          </w:p>
        </w:tc>
        <w:tc>
          <w:tcPr>
            <w:tcW w:w="2114" w:type="dxa"/>
            <w:vAlign w:val="center"/>
          </w:tcPr>
          <w:p>
            <w:pPr>
              <w:pStyle w:val="16"/>
            </w:pPr>
            <w:r>
              <w:t>100%</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评审专家费用</w:t>
            </w:r>
          </w:p>
        </w:tc>
        <w:tc>
          <w:tcPr>
            <w:tcW w:w="4228" w:type="dxa"/>
            <w:vAlign w:val="center"/>
          </w:tcPr>
          <w:p>
            <w:pPr>
              <w:pStyle w:val="16"/>
            </w:pPr>
            <w:r>
              <w:t>项目评审产生聘请专家费用</w:t>
            </w:r>
          </w:p>
        </w:tc>
        <w:tc>
          <w:tcPr>
            <w:tcW w:w="2114" w:type="dxa"/>
            <w:vAlign w:val="center"/>
          </w:tcPr>
          <w:p>
            <w:pPr>
              <w:pStyle w:val="16"/>
            </w:pPr>
            <w:r>
              <w:t>≤1500元/人/天</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企业安全运行率</w:t>
            </w:r>
          </w:p>
        </w:tc>
        <w:tc>
          <w:tcPr>
            <w:tcW w:w="4228" w:type="dxa"/>
            <w:vAlign w:val="center"/>
          </w:tcPr>
          <w:p>
            <w:pPr>
              <w:pStyle w:val="16"/>
            </w:pPr>
            <w:r>
              <w:t>严格履行禁化武公约，在规定内生产产品,促进企业持续健康安全运行</w:t>
            </w:r>
          </w:p>
        </w:tc>
        <w:tc>
          <w:tcPr>
            <w:tcW w:w="2114" w:type="dxa"/>
            <w:vAlign w:val="center"/>
          </w:tcPr>
          <w:p>
            <w:pPr>
              <w:pStyle w:val="16"/>
            </w:pPr>
            <w:r>
              <w:t>100%</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≥90%</w:t>
            </w:r>
          </w:p>
        </w:tc>
        <w:tc>
          <w:tcPr>
            <w:tcW w:w="2114" w:type="dxa"/>
            <w:vAlign w:val="center"/>
          </w:tcPr>
          <w:p>
            <w:pPr>
              <w:pStyle w:val="16"/>
            </w:pPr>
            <w:r>
              <w:t>《河北省人民政府办公厅关于成立市（地）履行禁止化学武器公约领导小组及办公室的通知》，《关于进一步加强各市履行&lt;禁止化学武器公约&gt;工作机构建设和保障禁化武履约工作经费的函》</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7、亩均论英雄专项工作经费绩效目标表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13050024P00940810027W</w:t>
            </w:r>
          </w:p>
        </w:tc>
        <w:tc>
          <w:tcPr>
            <w:tcW w:w="2114" w:type="dxa"/>
            <w:vAlign w:val="center"/>
          </w:tcPr>
          <w:p>
            <w:pPr>
              <w:pStyle w:val="14"/>
            </w:pPr>
            <w:r>
              <w:t>项目名称</w:t>
            </w:r>
          </w:p>
        </w:tc>
        <w:tc>
          <w:tcPr>
            <w:tcW w:w="6342" w:type="dxa"/>
            <w:gridSpan w:val="3"/>
            <w:vAlign w:val="center"/>
          </w:tcPr>
          <w:p>
            <w:pPr>
              <w:pStyle w:val="16"/>
            </w:pPr>
            <w:r>
              <w:t>亩均论英雄专项工作经费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20.00</w:t>
            </w:r>
          </w:p>
        </w:tc>
        <w:tc>
          <w:tcPr>
            <w:tcW w:w="2114" w:type="dxa"/>
            <w:vAlign w:val="center"/>
          </w:tcPr>
          <w:p>
            <w:pPr>
              <w:pStyle w:val="14"/>
            </w:pPr>
            <w:r>
              <w:t>其中：财政    资金</w:t>
            </w:r>
          </w:p>
        </w:tc>
        <w:tc>
          <w:tcPr>
            <w:tcW w:w="2114" w:type="dxa"/>
            <w:vAlign w:val="center"/>
          </w:tcPr>
          <w:p>
            <w:pPr>
              <w:pStyle w:val="16"/>
            </w:pPr>
            <w:r>
              <w:t>20.00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进一步提升工业企业亩均税收水平，开展企业帮扶活动；提升企业科技创新能力，创建一批“专新特精”企业；实施企业信息化建设，提升企业可持续发展，加快工业转型升级步伐，促进经济高质量赶超发展；开展工业诊断服务；用于项目评审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20</w:t>
            </w:r>
          </w:p>
        </w:tc>
        <w:tc>
          <w:tcPr>
            <w:tcW w:w="2114" w:type="dxa"/>
            <w:vAlign w:val="center"/>
          </w:tcPr>
          <w:p>
            <w:pPr>
              <w:widowControl/>
              <w:jc w:val="left"/>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50</w:t>
            </w:r>
          </w:p>
        </w:tc>
        <w:tc>
          <w:tcPr>
            <w:tcW w:w="2114" w:type="dxa"/>
            <w:vAlign w:val="center"/>
          </w:tcPr>
          <w:p>
            <w:pPr>
              <w:widowControl/>
              <w:jc w:val="left"/>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70</w:t>
            </w:r>
          </w:p>
        </w:tc>
        <w:tc>
          <w:tcPr>
            <w:tcW w:w="4228" w:type="dxa"/>
            <w:gridSpan w:val="2"/>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1.提升工业企业亩均税收水平。</w:t>
            </w:r>
          </w:p>
          <w:p>
            <w:pPr>
              <w:pStyle w:val="16"/>
            </w:pPr>
            <w:r>
              <w:t>创建一批“专新特精”企业。</w:t>
            </w:r>
          </w:p>
          <w:p>
            <w:pPr>
              <w:pStyle w:val="16"/>
            </w:pPr>
            <w:r>
              <w:t>提升企业科技创新能力。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亩均论英雄</w:t>
            </w:r>
          </w:p>
        </w:tc>
        <w:tc>
          <w:tcPr>
            <w:tcW w:w="4228" w:type="dxa"/>
            <w:vAlign w:val="center"/>
          </w:tcPr>
          <w:p>
            <w:pPr>
              <w:pStyle w:val="16"/>
            </w:pPr>
            <w:r>
              <w:t>参评工业企业数量</w:t>
            </w:r>
          </w:p>
        </w:tc>
        <w:tc>
          <w:tcPr>
            <w:tcW w:w="2114" w:type="dxa"/>
            <w:vAlign w:val="center"/>
          </w:tcPr>
          <w:p>
            <w:pPr>
              <w:pStyle w:val="16"/>
            </w:pPr>
            <w:r>
              <w:t>≥5000家</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实施技改项目数量</w:t>
            </w:r>
          </w:p>
        </w:tc>
        <w:tc>
          <w:tcPr>
            <w:tcW w:w="4228" w:type="dxa"/>
            <w:vAlign w:val="center"/>
          </w:tcPr>
          <w:p>
            <w:pPr>
              <w:pStyle w:val="16"/>
            </w:pPr>
            <w:r>
              <w:t>2024年全市实施技改项目数量</w:t>
            </w:r>
          </w:p>
        </w:tc>
        <w:tc>
          <w:tcPr>
            <w:tcW w:w="2114" w:type="dxa"/>
            <w:vAlign w:val="center"/>
          </w:tcPr>
          <w:p>
            <w:pPr>
              <w:pStyle w:val="16"/>
            </w:pPr>
            <w:r>
              <w:t>≥500个</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新增专精特新企业数量</w:t>
            </w:r>
          </w:p>
        </w:tc>
        <w:tc>
          <w:tcPr>
            <w:tcW w:w="4228" w:type="dxa"/>
            <w:vAlign w:val="center"/>
          </w:tcPr>
          <w:p>
            <w:pPr>
              <w:pStyle w:val="16"/>
            </w:pPr>
            <w:r>
              <w:t>2024年新增“专精特新”企业数量</w:t>
            </w:r>
          </w:p>
        </w:tc>
        <w:tc>
          <w:tcPr>
            <w:tcW w:w="2114" w:type="dxa"/>
            <w:vAlign w:val="center"/>
          </w:tcPr>
          <w:p>
            <w:pPr>
              <w:pStyle w:val="16"/>
            </w:pPr>
            <w:r>
              <w:t>≥30家</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市级工业设计中心个数</w:t>
            </w:r>
          </w:p>
        </w:tc>
        <w:tc>
          <w:tcPr>
            <w:tcW w:w="4228" w:type="dxa"/>
            <w:vAlign w:val="center"/>
          </w:tcPr>
          <w:p>
            <w:pPr>
              <w:pStyle w:val="16"/>
            </w:pPr>
            <w:r>
              <w:t>建成并通过验收</w:t>
            </w:r>
          </w:p>
        </w:tc>
        <w:tc>
          <w:tcPr>
            <w:tcW w:w="2114" w:type="dxa"/>
            <w:vAlign w:val="center"/>
          </w:tcPr>
          <w:p>
            <w:pPr>
              <w:pStyle w:val="16"/>
            </w:pPr>
            <w:r>
              <w:t>≥5个</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工业企业研发机构数量</w:t>
            </w:r>
          </w:p>
        </w:tc>
        <w:tc>
          <w:tcPr>
            <w:tcW w:w="4228" w:type="dxa"/>
            <w:vAlign w:val="center"/>
          </w:tcPr>
          <w:p>
            <w:pPr>
              <w:pStyle w:val="16"/>
            </w:pPr>
            <w:r>
              <w:t>新建和提档升级工业企业研发机构数量</w:t>
            </w:r>
          </w:p>
        </w:tc>
        <w:tc>
          <w:tcPr>
            <w:tcW w:w="2114" w:type="dxa"/>
            <w:vAlign w:val="center"/>
          </w:tcPr>
          <w:p>
            <w:pPr>
              <w:pStyle w:val="16"/>
            </w:pPr>
            <w:r>
              <w:t>≥50个</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工业技术改造投资增长率</w:t>
            </w:r>
          </w:p>
        </w:tc>
        <w:tc>
          <w:tcPr>
            <w:tcW w:w="4228" w:type="dxa"/>
            <w:vAlign w:val="center"/>
          </w:tcPr>
          <w:p>
            <w:pPr>
              <w:pStyle w:val="16"/>
            </w:pPr>
            <w:r>
              <w:t>2024年工业技术改造投资增长率</w:t>
            </w:r>
          </w:p>
        </w:tc>
        <w:tc>
          <w:tcPr>
            <w:tcW w:w="2114" w:type="dxa"/>
            <w:vAlign w:val="center"/>
          </w:tcPr>
          <w:p>
            <w:pPr>
              <w:pStyle w:val="16"/>
            </w:pPr>
            <w:r>
              <w:t>7%</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工作年底完成率</w:t>
            </w:r>
          </w:p>
        </w:tc>
        <w:tc>
          <w:tcPr>
            <w:tcW w:w="4228" w:type="dxa"/>
            <w:vAlign w:val="center"/>
          </w:tcPr>
          <w:p>
            <w:pPr>
              <w:pStyle w:val="16"/>
            </w:pPr>
            <w:r>
              <w:t>2024年底年度工作完成率</w:t>
            </w:r>
          </w:p>
        </w:tc>
        <w:tc>
          <w:tcPr>
            <w:tcW w:w="2114" w:type="dxa"/>
            <w:vAlign w:val="center"/>
          </w:tcPr>
          <w:p>
            <w:pPr>
              <w:pStyle w:val="16"/>
            </w:pPr>
            <w:r>
              <w:t>100%</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项目总成本</w:t>
            </w:r>
          </w:p>
        </w:tc>
        <w:tc>
          <w:tcPr>
            <w:tcW w:w="4228" w:type="dxa"/>
            <w:vAlign w:val="center"/>
          </w:tcPr>
          <w:p>
            <w:pPr>
              <w:pStyle w:val="16"/>
            </w:pPr>
            <w:r>
              <w:t>年度工作总成本</w:t>
            </w:r>
          </w:p>
        </w:tc>
        <w:tc>
          <w:tcPr>
            <w:tcW w:w="2114" w:type="dxa"/>
            <w:vAlign w:val="center"/>
          </w:tcPr>
          <w:p>
            <w:pPr>
              <w:pStyle w:val="16"/>
            </w:pPr>
            <w:r>
              <w:t>≤30万元</w:t>
            </w:r>
          </w:p>
        </w:tc>
        <w:tc>
          <w:tcPr>
            <w:tcW w:w="2114" w:type="dxa"/>
            <w:vAlign w:val="center"/>
          </w:tcPr>
          <w:p>
            <w:pPr>
              <w:pStyle w:val="16"/>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差旅费</w:t>
            </w:r>
          </w:p>
        </w:tc>
        <w:tc>
          <w:tcPr>
            <w:tcW w:w="4228" w:type="dxa"/>
            <w:vAlign w:val="center"/>
          </w:tcPr>
          <w:p>
            <w:pPr>
              <w:pStyle w:val="16"/>
            </w:pPr>
            <w:r>
              <w:t>因业务需求产生的差旅费</w:t>
            </w:r>
          </w:p>
        </w:tc>
        <w:tc>
          <w:tcPr>
            <w:tcW w:w="2114" w:type="dxa"/>
            <w:vAlign w:val="center"/>
          </w:tcPr>
          <w:p>
            <w:pPr>
              <w:pStyle w:val="16"/>
            </w:pPr>
            <w:r>
              <w:t>≤180元/人/天</w:t>
            </w:r>
          </w:p>
        </w:tc>
        <w:tc>
          <w:tcPr>
            <w:tcW w:w="2114" w:type="dxa"/>
            <w:vAlign w:val="center"/>
          </w:tcPr>
          <w:p>
            <w:pPr>
              <w:pStyle w:val="16"/>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评审专家费用</w:t>
            </w:r>
          </w:p>
        </w:tc>
        <w:tc>
          <w:tcPr>
            <w:tcW w:w="4228" w:type="dxa"/>
            <w:vAlign w:val="center"/>
          </w:tcPr>
          <w:p>
            <w:pPr>
              <w:pStyle w:val="16"/>
            </w:pPr>
            <w:r>
              <w:t>项目评审产生聘请专家费用</w:t>
            </w:r>
          </w:p>
        </w:tc>
        <w:tc>
          <w:tcPr>
            <w:tcW w:w="2114" w:type="dxa"/>
            <w:vAlign w:val="center"/>
          </w:tcPr>
          <w:p>
            <w:pPr>
              <w:pStyle w:val="16"/>
            </w:pPr>
            <w:r>
              <w:t>≤1500元/人/天</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工业企业亩均税收</w:t>
            </w:r>
          </w:p>
        </w:tc>
        <w:tc>
          <w:tcPr>
            <w:tcW w:w="4228" w:type="dxa"/>
            <w:vAlign w:val="center"/>
          </w:tcPr>
          <w:p>
            <w:pPr>
              <w:pStyle w:val="16"/>
            </w:pPr>
            <w:r>
              <w:t>工业企业亩均税收增长</w:t>
            </w:r>
          </w:p>
        </w:tc>
        <w:tc>
          <w:tcPr>
            <w:tcW w:w="2114" w:type="dxa"/>
            <w:vAlign w:val="center"/>
          </w:tcPr>
          <w:p>
            <w:pPr>
              <w:pStyle w:val="16"/>
            </w:pPr>
            <w:r>
              <w:t>≥5%</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绿色生产</w:t>
            </w:r>
          </w:p>
        </w:tc>
        <w:tc>
          <w:tcPr>
            <w:tcW w:w="4228" w:type="dxa"/>
            <w:vAlign w:val="center"/>
          </w:tcPr>
          <w:p>
            <w:pPr>
              <w:pStyle w:val="16"/>
            </w:pPr>
            <w:r>
              <w:t>省级以上绿色工厂</w:t>
            </w:r>
          </w:p>
        </w:tc>
        <w:tc>
          <w:tcPr>
            <w:tcW w:w="2114" w:type="dxa"/>
            <w:vAlign w:val="center"/>
          </w:tcPr>
          <w:p>
            <w:pPr>
              <w:pStyle w:val="16"/>
            </w:pPr>
            <w:r>
              <w:t>≥6家</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邢台市人民政府《关于开展“亩均论英雄”改革促进经济高质量赶超发展的意见》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≥90%</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8、企业上市及职业经理人培训、市场推介活动绩效目标表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13050023P00922310003T</w:t>
            </w:r>
          </w:p>
        </w:tc>
        <w:tc>
          <w:tcPr>
            <w:tcW w:w="2114" w:type="dxa"/>
            <w:vAlign w:val="center"/>
          </w:tcPr>
          <w:p>
            <w:pPr>
              <w:pStyle w:val="14"/>
            </w:pPr>
            <w:r>
              <w:t>项目名称</w:t>
            </w:r>
          </w:p>
        </w:tc>
        <w:tc>
          <w:tcPr>
            <w:tcW w:w="6342" w:type="dxa"/>
            <w:gridSpan w:val="3"/>
            <w:vAlign w:val="center"/>
          </w:tcPr>
          <w:p>
            <w:pPr>
              <w:pStyle w:val="16"/>
            </w:pPr>
            <w:r>
              <w:t>企业上市及职业经理人培训、市场推介活动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16.20</w:t>
            </w:r>
          </w:p>
        </w:tc>
        <w:tc>
          <w:tcPr>
            <w:tcW w:w="2114" w:type="dxa"/>
            <w:vAlign w:val="center"/>
          </w:tcPr>
          <w:p>
            <w:pPr>
              <w:pStyle w:val="14"/>
            </w:pPr>
            <w:r>
              <w:t>其中：财政    资金</w:t>
            </w:r>
          </w:p>
        </w:tc>
        <w:tc>
          <w:tcPr>
            <w:tcW w:w="2114" w:type="dxa"/>
            <w:vAlign w:val="center"/>
          </w:tcPr>
          <w:p>
            <w:pPr>
              <w:pStyle w:val="16"/>
            </w:pPr>
            <w:r>
              <w:t>16.20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通过开展高级职业经理人培育，技能人才招聘、灵活用工、薪酬体系建设等服务，推动中小企业人才队伍建设了得实质性进展。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60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1.通过开展高级职业经理人培育，技能人才招聘、灵活用工、薪酬体系建设等服务，推动中小企业人才队伍建设了得实质性进展。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培训人数</w:t>
            </w:r>
          </w:p>
        </w:tc>
        <w:tc>
          <w:tcPr>
            <w:tcW w:w="4228" w:type="dxa"/>
            <w:vAlign w:val="center"/>
          </w:tcPr>
          <w:p>
            <w:pPr>
              <w:pStyle w:val="16"/>
            </w:pPr>
            <w:r>
              <w:t>培训高级职业经理人人数</w:t>
            </w:r>
          </w:p>
        </w:tc>
        <w:tc>
          <w:tcPr>
            <w:tcW w:w="2114" w:type="dxa"/>
            <w:vAlign w:val="center"/>
          </w:tcPr>
          <w:p>
            <w:pPr>
              <w:pStyle w:val="16"/>
            </w:pPr>
            <w:r>
              <w:t>≥675人</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培训课时</w:t>
            </w:r>
          </w:p>
        </w:tc>
        <w:tc>
          <w:tcPr>
            <w:tcW w:w="4228" w:type="dxa"/>
            <w:vAlign w:val="center"/>
          </w:tcPr>
          <w:p>
            <w:pPr>
              <w:pStyle w:val="16"/>
            </w:pPr>
            <w:r>
              <w:t>每名高级职业经理人完成的培训课时</w:t>
            </w:r>
          </w:p>
        </w:tc>
        <w:tc>
          <w:tcPr>
            <w:tcW w:w="2114" w:type="dxa"/>
            <w:vAlign w:val="center"/>
          </w:tcPr>
          <w:p>
            <w:pPr>
              <w:pStyle w:val="16"/>
            </w:pPr>
            <w:r>
              <w:t>≥8课时</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更新理念</w:t>
            </w:r>
          </w:p>
        </w:tc>
        <w:tc>
          <w:tcPr>
            <w:tcW w:w="4228" w:type="dxa"/>
            <w:vAlign w:val="center"/>
          </w:tcPr>
          <w:p>
            <w:pPr>
              <w:pStyle w:val="16"/>
            </w:pPr>
            <w:r>
              <w:t>每名高级职业经理人完成的培训课时</w:t>
            </w:r>
          </w:p>
        </w:tc>
        <w:tc>
          <w:tcPr>
            <w:tcW w:w="2114" w:type="dxa"/>
            <w:vAlign w:val="center"/>
          </w:tcPr>
          <w:p>
            <w:pPr>
              <w:pStyle w:val="16"/>
            </w:pPr>
            <w:r>
              <w:t>经营理念得到更新，企业负责人了解上市意义和实操程序等知识</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工作完成时间</w:t>
            </w:r>
          </w:p>
        </w:tc>
        <w:tc>
          <w:tcPr>
            <w:tcW w:w="4228" w:type="dxa"/>
            <w:vAlign w:val="center"/>
          </w:tcPr>
          <w:p>
            <w:pPr>
              <w:pStyle w:val="16"/>
            </w:pPr>
            <w:r>
              <w:t>培训工作完成时间</w:t>
            </w:r>
          </w:p>
        </w:tc>
        <w:tc>
          <w:tcPr>
            <w:tcW w:w="2114" w:type="dxa"/>
            <w:vAlign w:val="center"/>
          </w:tcPr>
          <w:p>
            <w:pPr>
              <w:pStyle w:val="16"/>
            </w:pPr>
            <w:r>
              <w:t>202</w:t>
            </w:r>
            <w:r>
              <w:rPr>
                <w:rFonts w:hint="eastAsia"/>
                <w:lang w:val="en-US" w:eastAsia="zh-CN"/>
              </w:rPr>
              <w:t>4</w:t>
            </w:r>
            <w:r>
              <w:t>年底前</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补贴金额</w:t>
            </w:r>
          </w:p>
        </w:tc>
        <w:tc>
          <w:tcPr>
            <w:tcW w:w="4228" w:type="dxa"/>
            <w:vAlign w:val="center"/>
          </w:tcPr>
          <w:p>
            <w:pPr>
              <w:pStyle w:val="16"/>
            </w:pPr>
            <w:r>
              <w:t>每名高级职业经理人完成培训补贴的金额</w:t>
            </w:r>
          </w:p>
        </w:tc>
        <w:tc>
          <w:tcPr>
            <w:tcW w:w="2114" w:type="dxa"/>
            <w:vAlign w:val="center"/>
          </w:tcPr>
          <w:p>
            <w:pPr>
              <w:pStyle w:val="16"/>
            </w:pPr>
            <w:r>
              <w:t>≤250元</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可持续影响指标</w:t>
            </w:r>
          </w:p>
        </w:tc>
        <w:tc>
          <w:tcPr>
            <w:tcW w:w="2114" w:type="dxa"/>
            <w:vAlign w:val="center"/>
          </w:tcPr>
          <w:p>
            <w:pPr>
              <w:pStyle w:val="16"/>
            </w:pPr>
            <w:r>
              <w:t>促进民营企业发展</w:t>
            </w:r>
          </w:p>
        </w:tc>
        <w:tc>
          <w:tcPr>
            <w:tcW w:w="4228" w:type="dxa"/>
            <w:vAlign w:val="center"/>
          </w:tcPr>
          <w:p>
            <w:pPr>
              <w:pStyle w:val="16"/>
            </w:pPr>
            <w:r>
              <w:t>促进民营企业发展</w:t>
            </w:r>
          </w:p>
        </w:tc>
        <w:tc>
          <w:tcPr>
            <w:tcW w:w="2114" w:type="dxa"/>
            <w:vAlign w:val="center"/>
          </w:tcPr>
          <w:p>
            <w:pPr>
              <w:pStyle w:val="16"/>
            </w:pPr>
            <w:r>
              <w:t>进一步促进民营企业发展</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9、市特色产业集群展馆运行经费绩效目标表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13050024P00940810034X</w:t>
            </w:r>
          </w:p>
        </w:tc>
        <w:tc>
          <w:tcPr>
            <w:tcW w:w="2114" w:type="dxa"/>
            <w:vAlign w:val="center"/>
          </w:tcPr>
          <w:p>
            <w:pPr>
              <w:pStyle w:val="14"/>
            </w:pPr>
            <w:r>
              <w:t>项目名称</w:t>
            </w:r>
          </w:p>
        </w:tc>
        <w:tc>
          <w:tcPr>
            <w:tcW w:w="6342" w:type="dxa"/>
            <w:gridSpan w:val="3"/>
            <w:vAlign w:val="center"/>
          </w:tcPr>
          <w:p>
            <w:pPr>
              <w:pStyle w:val="16"/>
            </w:pPr>
            <w:r>
              <w:t>市特色产业集群展馆运行经费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30.00</w:t>
            </w:r>
          </w:p>
        </w:tc>
        <w:tc>
          <w:tcPr>
            <w:tcW w:w="2114" w:type="dxa"/>
            <w:vAlign w:val="center"/>
          </w:tcPr>
          <w:p>
            <w:pPr>
              <w:pStyle w:val="14"/>
            </w:pPr>
            <w:r>
              <w:t>其中：财政    资金</w:t>
            </w:r>
          </w:p>
        </w:tc>
        <w:tc>
          <w:tcPr>
            <w:tcW w:w="2114" w:type="dxa"/>
            <w:vAlign w:val="center"/>
          </w:tcPr>
          <w:p>
            <w:pPr>
              <w:pStyle w:val="16"/>
            </w:pPr>
            <w:r>
              <w:t>30.00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市特色产业集群展馆日常水、电、网以及管理维护等所需费用，保证特色产业展馆正常运行，接待各级领导、客商、机关部门、企业家、高校学生、群众等人员参观，着力实现发展成就的展示平台、招商引资的推介平台、工业知识科普的体验基地。</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pPr>
            <w:r>
              <w:rPr>
                <w:rFonts w:hint="eastAsia" w:ascii="宋体" w:hAnsi="宋体" w:cs="宋体"/>
                <w:color w:val="000000"/>
                <w:kern w:val="0"/>
                <w:sz w:val="24"/>
                <w:lang w:bidi="ar"/>
              </w:rPr>
              <w:t>30</w:t>
            </w:r>
          </w:p>
        </w:tc>
        <w:tc>
          <w:tcPr>
            <w:tcW w:w="2114" w:type="dxa"/>
            <w:vAlign w:val="center"/>
          </w:tcPr>
          <w:p>
            <w:pPr>
              <w:widowControl/>
              <w:jc w:val="center"/>
              <w:textAlignment w:val="center"/>
            </w:pPr>
            <w:r>
              <w:rPr>
                <w:rFonts w:hint="eastAsia" w:ascii="宋体" w:hAnsi="宋体" w:cs="宋体"/>
                <w:color w:val="000000"/>
                <w:kern w:val="0"/>
                <w:sz w:val="24"/>
                <w:lang w:bidi="ar"/>
              </w:rPr>
              <w:t>50</w:t>
            </w:r>
          </w:p>
        </w:tc>
        <w:tc>
          <w:tcPr>
            <w:tcW w:w="2114" w:type="dxa"/>
            <w:vAlign w:val="center"/>
          </w:tcPr>
          <w:p>
            <w:pPr>
              <w:widowControl/>
              <w:jc w:val="center"/>
              <w:textAlignment w:val="center"/>
            </w:pPr>
            <w:r>
              <w:rPr>
                <w:rFonts w:hint="eastAsia" w:ascii="宋体" w:hAnsi="宋体" w:cs="宋体"/>
                <w:color w:val="000000"/>
                <w:kern w:val="0"/>
                <w:sz w:val="24"/>
                <w:lang w:bidi="ar"/>
              </w:rPr>
              <w:t>70</w:t>
            </w:r>
          </w:p>
        </w:tc>
        <w:tc>
          <w:tcPr>
            <w:tcW w:w="4228" w:type="dxa"/>
            <w:gridSpan w:val="2"/>
            <w:vAlign w:val="center"/>
          </w:tcPr>
          <w:p>
            <w:pPr>
              <w:widowControl/>
              <w:jc w:val="center"/>
              <w:textAlignment w:val="cente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1.特色产业展馆正常运行，接待各级领导、客商、机关部门、企业家、高校学生、群众等人员参观，着力实现发展成就的展示平台、招商引资的推介平台、工业知识科普的体验基地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展馆开放天数</w:t>
            </w:r>
          </w:p>
        </w:tc>
        <w:tc>
          <w:tcPr>
            <w:tcW w:w="4228" w:type="dxa"/>
            <w:vAlign w:val="center"/>
          </w:tcPr>
          <w:p>
            <w:pPr>
              <w:pStyle w:val="16"/>
            </w:pPr>
            <w:r>
              <w:t>昼间根据参观任务需要随时开放</w:t>
            </w:r>
          </w:p>
        </w:tc>
        <w:tc>
          <w:tcPr>
            <w:tcW w:w="2114" w:type="dxa"/>
            <w:vAlign w:val="center"/>
          </w:tcPr>
          <w:p>
            <w:pPr>
              <w:pStyle w:val="16"/>
            </w:pPr>
            <w:r>
              <w:t>≥180天</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展馆正常运行率</w:t>
            </w:r>
          </w:p>
        </w:tc>
        <w:tc>
          <w:tcPr>
            <w:tcW w:w="4228" w:type="dxa"/>
            <w:vAlign w:val="center"/>
          </w:tcPr>
          <w:p>
            <w:pPr>
              <w:pStyle w:val="16"/>
            </w:pPr>
            <w:r>
              <w:t>展馆正常运行天数/365天</w:t>
            </w:r>
          </w:p>
        </w:tc>
        <w:tc>
          <w:tcPr>
            <w:tcW w:w="2114" w:type="dxa"/>
            <w:vAlign w:val="center"/>
          </w:tcPr>
          <w:p>
            <w:pPr>
              <w:pStyle w:val="16"/>
            </w:pPr>
            <w:r>
              <w:t>≥80%</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工作完成及时率</w:t>
            </w:r>
          </w:p>
        </w:tc>
        <w:tc>
          <w:tcPr>
            <w:tcW w:w="4228" w:type="dxa"/>
            <w:vAlign w:val="center"/>
          </w:tcPr>
          <w:p>
            <w:pPr>
              <w:pStyle w:val="16"/>
            </w:pPr>
            <w:r>
              <w:t>各项任务指标完成时限</w:t>
            </w:r>
          </w:p>
        </w:tc>
        <w:tc>
          <w:tcPr>
            <w:tcW w:w="2114" w:type="dxa"/>
            <w:vAlign w:val="center"/>
          </w:tcPr>
          <w:p>
            <w:pPr>
              <w:pStyle w:val="16"/>
            </w:pPr>
            <w:r>
              <w:t>2024年底</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日常运行维护成本</w:t>
            </w:r>
          </w:p>
        </w:tc>
        <w:tc>
          <w:tcPr>
            <w:tcW w:w="4228" w:type="dxa"/>
            <w:vAlign w:val="center"/>
          </w:tcPr>
          <w:p>
            <w:pPr>
              <w:pStyle w:val="16"/>
            </w:pPr>
            <w:r>
              <w:t>展馆运行所需电、水、网、接待、物业等办公费用</w:t>
            </w:r>
          </w:p>
        </w:tc>
        <w:tc>
          <w:tcPr>
            <w:tcW w:w="2114" w:type="dxa"/>
            <w:vAlign w:val="center"/>
          </w:tcPr>
          <w:p>
            <w:pPr>
              <w:pStyle w:val="16"/>
            </w:pPr>
            <w:r>
              <w:t>≤1.5万元/月</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展品更换成本</w:t>
            </w:r>
          </w:p>
        </w:tc>
        <w:tc>
          <w:tcPr>
            <w:tcW w:w="4228" w:type="dxa"/>
            <w:vAlign w:val="center"/>
          </w:tcPr>
          <w:p>
            <w:pPr>
              <w:pStyle w:val="16"/>
            </w:pPr>
            <w:r>
              <w:t>对展馆内展示品进行及时更换更新</w:t>
            </w:r>
          </w:p>
        </w:tc>
        <w:tc>
          <w:tcPr>
            <w:tcW w:w="2114" w:type="dxa"/>
            <w:vAlign w:val="center"/>
          </w:tcPr>
          <w:p>
            <w:pPr>
              <w:pStyle w:val="16"/>
            </w:pPr>
            <w:r>
              <w:t>≥1万人次</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参观人数</w:t>
            </w:r>
          </w:p>
        </w:tc>
        <w:tc>
          <w:tcPr>
            <w:tcW w:w="4228" w:type="dxa"/>
            <w:vAlign w:val="center"/>
          </w:tcPr>
          <w:p>
            <w:pPr>
              <w:pStyle w:val="16"/>
            </w:pPr>
            <w:r>
              <w:t>接待参观各级领导干部、客商、机关部门、企业家、高校学生、群众等人员数量</w:t>
            </w:r>
          </w:p>
        </w:tc>
        <w:tc>
          <w:tcPr>
            <w:tcW w:w="2114" w:type="dxa"/>
            <w:vAlign w:val="center"/>
          </w:tcPr>
          <w:p>
            <w:pPr>
              <w:pStyle w:val="16"/>
            </w:pPr>
            <w:r>
              <w:t>≥95%</w:t>
            </w:r>
          </w:p>
        </w:tc>
        <w:tc>
          <w:tcPr>
            <w:tcW w:w="2114" w:type="dxa"/>
            <w:vAlign w:val="center"/>
          </w:tcPr>
          <w:p>
            <w:pPr>
              <w:pStyle w:val="16"/>
            </w:pPr>
            <w:r>
              <w:t>市领导在财政局关于市工信局申请将邢台特色产业集群展馆日常管理维护费列入预算的意见。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参观对象满意度</w:t>
            </w:r>
          </w:p>
        </w:tc>
        <w:tc>
          <w:tcPr>
            <w:tcW w:w="4228" w:type="dxa"/>
            <w:vAlign w:val="center"/>
          </w:tcPr>
          <w:p>
            <w:pPr>
              <w:pStyle w:val="16"/>
            </w:pPr>
            <w:r>
              <w:t>对展馆展示成果满意</w:t>
            </w:r>
          </w:p>
        </w:tc>
        <w:tc>
          <w:tcPr>
            <w:tcW w:w="2114" w:type="dxa"/>
            <w:vAlign w:val="center"/>
          </w:tcPr>
          <w:p>
            <w:pPr>
              <w:pStyle w:val="16"/>
            </w:pPr>
            <w:r>
              <w:t>≥95%</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10、数字化转型专项经费绩效目标表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13050024P00940810030F</w:t>
            </w:r>
          </w:p>
        </w:tc>
        <w:tc>
          <w:tcPr>
            <w:tcW w:w="2114" w:type="dxa"/>
            <w:vAlign w:val="center"/>
          </w:tcPr>
          <w:p>
            <w:pPr>
              <w:pStyle w:val="14"/>
            </w:pPr>
            <w:r>
              <w:t>项目名称</w:t>
            </w:r>
          </w:p>
        </w:tc>
        <w:tc>
          <w:tcPr>
            <w:tcW w:w="6342" w:type="dxa"/>
            <w:gridSpan w:val="3"/>
            <w:vAlign w:val="center"/>
          </w:tcPr>
          <w:p>
            <w:pPr>
              <w:pStyle w:val="16"/>
            </w:pPr>
            <w:r>
              <w:t>数字化转型专项经费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15.00</w:t>
            </w:r>
          </w:p>
        </w:tc>
        <w:tc>
          <w:tcPr>
            <w:tcW w:w="2114" w:type="dxa"/>
            <w:vAlign w:val="center"/>
          </w:tcPr>
          <w:p>
            <w:pPr>
              <w:pStyle w:val="14"/>
            </w:pPr>
            <w:r>
              <w:t>其中：财政    资金</w:t>
            </w:r>
          </w:p>
        </w:tc>
        <w:tc>
          <w:tcPr>
            <w:tcW w:w="2114" w:type="dxa"/>
            <w:vAlign w:val="center"/>
          </w:tcPr>
          <w:p>
            <w:pPr>
              <w:pStyle w:val="16"/>
            </w:pPr>
            <w:r>
              <w:t>15.00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推进企业数字化转型，数字赋能特色产业集群，细分行业培树转型试点。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pPr>
            <w:r>
              <w:rPr>
                <w:rFonts w:hint="eastAsia" w:ascii="宋体" w:hAnsi="宋体" w:cs="宋体"/>
                <w:color w:val="000000"/>
                <w:kern w:val="0"/>
                <w:sz w:val="20"/>
                <w:szCs w:val="20"/>
                <w:lang w:bidi="ar"/>
              </w:rPr>
              <w:t>10</w:t>
            </w:r>
          </w:p>
        </w:tc>
        <w:tc>
          <w:tcPr>
            <w:tcW w:w="2114" w:type="dxa"/>
            <w:vAlign w:val="center"/>
          </w:tcPr>
          <w:p>
            <w:pPr>
              <w:widowControl/>
              <w:jc w:val="center"/>
              <w:textAlignment w:val="center"/>
            </w:pPr>
            <w:r>
              <w:rPr>
                <w:rFonts w:hint="eastAsia" w:ascii="宋体" w:hAnsi="宋体" w:cs="宋体"/>
                <w:color w:val="000000"/>
                <w:kern w:val="0"/>
                <w:sz w:val="20"/>
                <w:szCs w:val="20"/>
                <w:lang w:bidi="ar"/>
              </w:rPr>
              <w:t>30</w:t>
            </w:r>
          </w:p>
        </w:tc>
        <w:tc>
          <w:tcPr>
            <w:tcW w:w="2114" w:type="dxa"/>
            <w:vAlign w:val="center"/>
          </w:tcPr>
          <w:p>
            <w:pPr>
              <w:widowControl/>
              <w:jc w:val="center"/>
              <w:textAlignment w:val="center"/>
            </w:pPr>
            <w:r>
              <w:rPr>
                <w:rFonts w:hint="eastAsia" w:ascii="宋体" w:hAnsi="宋体" w:cs="宋体"/>
                <w:color w:val="000000"/>
                <w:kern w:val="0"/>
                <w:sz w:val="20"/>
                <w:szCs w:val="20"/>
                <w:lang w:bidi="ar"/>
              </w:rPr>
              <w:t>70</w:t>
            </w:r>
          </w:p>
        </w:tc>
        <w:tc>
          <w:tcPr>
            <w:tcW w:w="4228" w:type="dxa"/>
            <w:gridSpan w:val="2"/>
            <w:vAlign w:val="center"/>
          </w:tcPr>
          <w:p>
            <w:pPr>
              <w:widowControl/>
              <w:jc w:val="center"/>
              <w:textAlignment w:val="center"/>
            </w:pPr>
            <w:r>
              <w:rPr>
                <w:rFonts w:hint="eastAsia" w:ascii="宋体" w:hAnsi="宋体" w:cs="宋体"/>
                <w:color w:val="000000"/>
                <w:kern w:val="0"/>
                <w:sz w:val="20"/>
                <w:szCs w:val="20"/>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1.数字赋能特色产业集群，推动产业集群快速发展。推进企业数字化转型，细分行业培树转型试点。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指导工业互联网创新发展项目建设次数</w:t>
            </w:r>
          </w:p>
        </w:tc>
        <w:tc>
          <w:tcPr>
            <w:tcW w:w="4228" w:type="dxa"/>
            <w:vAlign w:val="center"/>
          </w:tcPr>
          <w:p>
            <w:pPr>
              <w:pStyle w:val="16"/>
            </w:pPr>
            <w:r>
              <w:t>深入企业指导工业互联网创新发展项目建设次数</w:t>
            </w:r>
          </w:p>
        </w:tc>
        <w:tc>
          <w:tcPr>
            <w:tcW w:w="2114" w:type="dxa"/>
            <w:vAlign w:val="center"/>
          </w:tcPr>
          <w:p>
            <w:pPr>
              <w:pStyle w:val="16"/>
            </w:pPr>
            <w:r>
              <w:t>≥3次</w:t>
            </w:r>
          </w:p>
        </w:tc>
        <w:tc>
          <w:tcPr>
            <w:tcW w:w="2114" w:type="dxa"/>
            <w:vAlign w:val="center"/>
          </w:tcPr>
          <w:p>
            <w:pPr>
              <w:pStyle w:val="16"/>
            </w:pPr>
            <w:r>
              <w:t>邢台市人民政府《关于加快推进工业转型升级建设现代化工业体系的实施意见》《邢台市人民政府关于加快推进工业转型升级建设现代化工业体系的实施意见》的落实方案的通知邢制强市办[2018]5号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组织企业参加省召开互联网+制造业相关培训次数</w:t>
            </w:r>
          </w:p>
        </w:tc>
        <w:tc>
          <w:tcPr>
            <w:tcW w:w="4228" w:type="dxa"/>
            <w:vAlign w:val="center"/>
          </w:tcPr>
          <w:p>
            <w:pPr>
              <w:pStyle w:val="16"/>
            </w:pPr>
            <w:r>
              <w:t>动员企业积极参加了互联网+制造业、两化融合相关培训。企业通过培训，提高了认识，普及信息化知识。</w:t>
            </w:r>
          </w:p>
        </w:tc>
        <w:tc>
          <w:tcPr>
            <w:tcW w:w="2114" w:type="dxa"/>
            <w:vAlign w:val="center"/>
          </w:tcPr>
          <w:p>
            <w:pPr>
              <w:pStyle w:val="16"/>
            </w:pPr>
            <w:r>
              <w:t>≥3次</w:t>
            </w:r>
          </w:p>
        </w:tc>
        <w:tc>
          <w:tcPr>
            <w:tcW w:w="2114" w:type="dxa"/>
            <w:vAlign w:val="center"/>
          </w:tcPr>
          <w:p>
            <w:pPr>
              <w:pStyle w:val="16"/>
            </w:pPr>
            <w:r>
              <w:t>2024年预算批复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数字化转型企业数</w:t>
            </w:r>
          </w:p>
        </w:tc>
        <w:tc>
          <w:tcPr>
            <w:tcW w:w="4228" w:type="dxa"/>
            <w:vAlign w:val="center"/>
          </w:tcPr>
          <w:p>
            <w:pPr>
              <w:pStyle w:val="16"/>
            </w:pPr>
            <w:r>
              <w:t>细分行业培树转型试点</w:t>
            </w:r>
          </w:p>
        </w:tc>
        <w:tc>
          <w:tcPr>
            <w:tcW w:w="2114" w:type="dxa"/>
            <w:vAlign w:val="center"/>
          </w:tcPr>
          <w:p>
            <w:pPr>
              <w:pStyle w:val="16"/>
            </w:pPr>
            <w:r>
              <w:t>≥10次</w:t>
            </w:r>
          </w:p>
        </w:tc>
        <w:tc>
          <w:tcPr>
            <w:tcW w:w="2114" w:type="dxa"/>
            <w:vAlign w:val="center"/>
          </w:tcPr>
          <w:p>
            <w:pPr>
              <w:pStyle w:val="16"/>
            </w:pPr>
            <w:r>
              <w:t>邢台市差旅费管理规定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工业企业生产设备数字化率</w:t>
            </w:r>
          </w:p>
        </w:tc>
        <w:tc>
          <w:tcPr>
            <w:tcW w:w="4228" w:type="dxa"/>
            <w:vAlign w:val="center"/>
          </w:tcPr>
          <w:p>
            <w:pPr>
              <w:pStyle w:val="16"/>
            </w:pPr>
            <w:r>
              <w:t>工业企业生产设备数字化率超50%</w:t>
            </w:r>
          </w:p>
        </w:tc>
        <w:tc>
          <w:tcPr>
            <w:tcW w:w="2114" w:type="dxa"/>
            <w:vAlign w:val="center"/>
          </w:tcPr>
          <w:p>
            <w:pPr>
              <w:pStyle w:val="16"/>
            </w:pPr>
            <w:r>
              <w:t>≥50%</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工作完成及时率</w:t>
            </w:r>
          </w:p>
        </w:tc>
        <w:tc>
          <w:tcPr>
            <w:tcW w:w="4228" w:type="dxa"/>
            <w:vAlign w:val="center"/>
          </w:tcPr>
          <w:p>
            <w:pPr>
              <w:pStyle w:val="16"/>
            </w:pPr>
            <w:r>
              <w:t>各项任务指标完成时限</w:t>
            </w:r>
          </w:p>
        </w:tc>
        <w:tc>
          <w:tcPr>
            <w:tcW w:w="2114" w:type="dxa"/>
            <w:vAlign w:val="center"/>
          </w:tcPr>
          <w:p>
            <w:pPr>
              <w:pStyle w:val="16"/>
            </w:pPr>
            <w:r>
              <w:t>2024年底</w:t>
            </w:r>
          </w:p>
        </w:tc>
        <w:tc>
          <w:tcPr>
            <w:tcW w:w="2114" w:type="dxa"/>
            <w:vAlign w:val="center"/>
          </w:tcPr>
          <w:p>
            <w:pPr>
              <w:pStyle w:val="16"/>
            </w:pPr>
            <w:r>
              <w:t>邢台市有关培训费管理的有关规定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项目总成本</w:t>
            </w:r>
          </w:p>
        </w:tc>
        <w:tc>
          <w:tcPr>
            <w:tcW w:w="4228" w:type="dxa"/>
            <w:vAlign w:val="center"/>
          </w:tcPr>
          <w:p>
            <w:pPr>
              <w:pStyle w:val="16"/>
            </w:pPr>
            <w:r>
              <w:t>年度工作总成本</w:t>
            </w:r>
          </w:p>
        </w:tc>
        <w:tc>
          <w:tcPr>
            <w:tcW w:w="2114" w:type="dxa"/>
            <w:vAlign w:val="center"/>
          </w:tcPr>
          <w:p>
            <w:pPr>
              <w:pStyle w:val="16"/>
            </w:pPr>
            <w:r>
              <w:t>≤20万元</w:t>
            </w:r>
          </w:p>
        </w:tc>
        <w:tc>
          <w:tcPr>
            <w:tcW w:w="2114"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差旅费</w:t>
            </w:r>
          </w:p>
        </w:tc>
        <w:tc>
          <w:tcPr>
            <w:tcW w:w="4228" w:type="dxa"/>
            <w:vAlign w:val="center"/>
          </w:tcPr>
          <w:p>
            <w:pPr>
              <w:pStyle w:val="16"/>
            </w:pPr>
            <w:r>
              <w:t>因业务需求产生的差旅费</w:t>
            </w:r>
          </w:p>
        </w:tc>
        <w:tc>
          <w:tcPr>
            <w:tcW w:w="2114" w:type="dxa"/>
            <w:vAlign w:val="center"/>
          </w:tcPr>
          <w:p>
            <w:pPr>
              <w:pStyle w:val="16"/>
            </w:pPr>
            <w:r>
              <w:t>≤180元/人/天</w:t>
            </w:r>
          </w:p>
        </w:tc>
        <w:tc>
          <w:tcPr>
            <w:tcW w:w="2114"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评审专家费用</w:t>
            </w:r>
          </w:p>
        </w:tc>
        <w:tc>
          <w:tcPr>
            <w:tcW w:w="4228" w:type="dxa"/>
            <w:vAlign w:val="center"/>
          </w:tcPr>
          <w:p>
            <w:pPr>
              <w:pStyle w:val="16"/>
            </w:pPr>
            <w:r>
              <w:t>项目评审产生聘请专家费用</w:t>
            </w:r>
          </w:p>
        </w:tc>
        <w:tc>
          <w:tcPr>
            <w:tcW w:w="2114" w:type="dxa"/>
            <w:vAlign w:val="center"/>
          </w:tcPr>
          <w:p>
            <w:pPr>
              <w:pStyle w:val="16"/>
            </w:pPr>
            <w:r>
              <w:t>≤1500元/人</w:t>
            </w:r>
          </w:p>
        </w:tc>
        <w:tc>
          <w:tcPr>
            <w:tcW w:w="2114" w:type="dxa"/>
            <w:vAlign w:val="center"/>
          </w:tcPr>
          <w:p>
            <w:pPr>
              <w:pStyle w:val="16"/>
            </w:pPr>
            <w:r>
              <w:t>抽查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培训费用</w:t>
            </w:r>
          </w:p>
        </w:tc>
        <w:tc>
          <w:tcPr>
            <w:tcW w:w="4228" w:type="dxa"/>
            <w:vAlign w:val="center"/>
          </w:tcPr>
          <w:p>
            <w:pPr>
              <w:pStyle w:val="16"/>
            </w:pPr>
            <w:r>
              <w:t>组织企业参加培训费用标准</w:t>
            </w:r>
          </w:p>
        </w:tc>
        <w:tc>
          <w:tcPr>
            <w:tcW w:w="2114" w:type="dxa"/>
            <w:vAlign w:val="center"/>
          </w:tcPr>
          <w:p>
            <w:pPr>
              <w:pStyle w:val="16"/>
            </w:pPr>
            <w:r>
              <w:t>≤500元/人/天</w:t>
            </w:r>
          </w:p>
        </w:tc>
        <w:tc>
          <w:tcPr>
            <w:tcW w:w="2114" w:type="dxa"/>
            <w:vAlign w:val="center"/>
          </w:tcPr>
          <w:p>
            <w:pPr>
              <w:pStyle w:val="16"/>
            </w:pPr>
            <w:r>
              <w:t>邢台市有关培训费管理的有关规定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提升企业数字化管理水平</w:t>
            </w:r>
          </w:p>
        </w:tc>
        <w:tc>
          <w:tcPr>
            <w:tcW w:w="4228" w:type="dxa"/>
            <w:vAlign w:val="center"/>
          </w:tcPr>
          <w:p>
            <w:pPr>
              <w:pStyle w:val="16"/>
            </w:pPr>
            <w:r>
              <w:t>提升企业数字化管理水平</w:t>
            </w:r>
          </w:p>
        </w:tc>
        <w:tc>
          <w:tcPr>
            <w:tcW w:w="2114" w:type="dxa"/>
            <w:vAlign w:val="center"/>
          </w:tcPr>
          <w:p>
            <w:pPr>
              <w:pStyle w:val="16"/>
            </w:pPr>
            <w:r>
              <w:t>增长1%</w:t>
            </w:r>
          </w:p>
        </w:tc>
        <w:tc>
          <w:tcPr>
            <w:tcW w:w="2114"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推动企业信息化水平提档升级</w:t>
            </w:r>
          </w:p>
        </w:tc>
        <w:tc>
          <w:tcPr>
            <w:tcW w:w="4228" w:type="dxa"/>
            <w:vAlign w:val="center"/>
          </w:tcPr>
          <w:p>
            <w:pPr>
              <w:pStyle w:val="16"/>
            </w:pPr>
            <w:r>
              <w:t>推动企业信息化水平提档升级</w:t>
            </w:r>
          </w:p>
        </w:tc>
        <w:tc>
          <w:tcPr>
            <w:tcW w:w="2114" w:type="dxa"/>
            <w:vAlign w:val="center"/>
          </w:tcPr>
          <w:p>
            <w:pPr>
              <w:pStyle w:val="16"/>
            </w:pPr>
            <w:r>
              <w:t>增长0.5%</w:t>
            </w:r>
          </w:p>
        </w:tc>
        <w:tc>
          <w:tcPr>
            <w:tcW w:w="2114" w:type="dxa"/>
            <w:vAlign w:val="center"/>
          </w:tcPr>
          <w:p>
            <w:pPr>
              <w:pStyle w:val="16"/>
            </w:pPr>
            <w:r>
              <w:t>相关文件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受益对象满意度</w:t>
            </w:r>
          </w:p>
        </w:tc>
        <w:tc>
          <w:tcPr>
            <w:tcW w:w="4228" w:type="dxa"/>
            <w:vAlign w:val="center"/>
          </w:tcPr>
          <w:p>
            <w:pPr>
              <w:pStyle w:val="16"/>
            </w:pPr>
            <w:r>
              <w:t>受益对象满意度</w:t>
            </w:r>
          </w:p>
        </w:tc>
        <w:tc>
          <w:tcPr>
            <w:tcW w:w="2114" w:type="dxa"/>
            <w:vAlign w:val="center"/>
          </w:tcPr>
          <w:p>
            <w:pPr>
              <w:pStyle w:val="16"/>
            </w:pPr>
            <w:r>
              <w:t>≥90%</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11、职业经理人培训绩效目标表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13050024P00940810038C</w:t>
            </w:r>
          </w:p>
        </w:tc>
        <w:tc>
          <w:tcPr>
            <w:tcW w:w="2114" w:type="dxa"/>
            <w:vAlign w:val="center"/>
          </w:tcPr>
          <w:p>
            <w:pPr>
              <w:pStyle w:val="14"/>
            </w:pPr>
            <w:r>
              <w:t>项目名称</w:t>
            </w:r>
          </w:p>
        </w:tc>
        <w:tc>
          <w:tcPr>
            <w:tcW w:w="6342" w:type="dxa"/>
            <w:gridSpan w:val="3"/>
            <w:vAlign w:val="center"/>
          </w:tcPr>
          <w:p>
            <w:pPr>
              <w:pStyle w:val="16"/>
            </w:pPr>
            <w:r>
              <w:t>职业经理人培训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13.49</w:t>
            </w:r>
          </w:p>
        </w:tc>
        <w:tc>
          <w:tcPr>
            <w:tcW w:w="2114" w:type="dxa"/>
            <w:vAlign w:val="center"/>
          </w:tcPr>
          <w:p>
            <w:pPr>
              <w:pStyle w:val="14"/>
            </w:pPr>
            <w:r>
              <w:t>其中：财政    资金</w:t>
            </w:r>
          </w:p>
        </w:tc>
        <w:tc>
          <w:tcPr>
            <w:tcW w:w="2114" w:type="dxa"/>
            <w:vAlign w:val="center"/>
          </w:tcPr>
          <w:p>
            <w:pPr>
              <w:pStyle w:val="16"/>
            </w:pPr>
            <w:r>
              <w:t>13.49</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用于职业经理人培训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t xml:space="preserve"> </w:t>
            </w:r>
            <w:r>
              <w:rPr>
                <w:rFonts w:hint="eastAsia"/>
                <w:lang w:val="en-US" w:eastAsia="zh-CN"/>
              </w:rPr>
              <w:t>20</w:t>
            </w:r>
          </w:p>
        </w:tc>
        <w:tc>
          <w:tcPr>
            <w:tcW w:w="2114" w:type="dxa"/>
            <w:vAlign w:val="center"/>
          </w:tcPr>
          <w:p>
            <w:pPr>
              <w:pStyle w:val="17"/>
              <w:rPr>
                <w:rFonts w:hint="default" w:eastAsia="方正书宋_GBK"/>
                <w:lang w:val="en-US" w:eastAsia="zh-CN"/>
              </w:rPr>
            </w:pPr>
            <w:r>
              <w:t xml:space="preserve"> </w:t>
            </w:r>
            <w:r>
              <w:rPr>
                <w:rFonts w:hint="eastAsia"/>
                <w:lang w:val="en-US" w:eastAsia="zh-CN"/>
              </w:rPr>
              <w:t>40</w:t>
            </w:r>
          </w:p>
        </w:tc>
        <w:tc>
          <w:tcPr>
            <w:tcW w:w="2114" w:type="dxa"/>
            <w:vAlign w:val="center"/>
          </w:tcPr>
          <w:p>
            <w:pPr>
              <w:pStyle w:val="17"/>
              <w:rPr>
                <w:rFonts w:hint="default" w:eastAsia="方正书宋_GBK"/>
                <w:lang w:val="en-US" w:eastAsia="zh-CN"/>
              </w:rPr>
            </w:pPr>
            <w:r>
              <w:t xml:space="preserve"> </w:t>
            </w:r>
            <w:r>
              <w:rPr>
                <w:rFonts w:hint="eastAsia"/>
                <w:lang w:val="en-US" w:eastAsia="zh-CN"/>
              </w:rPr>
              <w:t>80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1.通过开展职业经理人培训，推动民营企业人才队伍建设了得实质性进展。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培训人数</w:t>
            </w:r>
          </w:p>
        </w:tc>
        <w:tc>
          <w:tcPr>
            <w:tcW w:w="4228" w:type="dxa"/>
            <w:vAlign w:val="center"/>
          </w:tcPr>
          <w:p>
            <w:pPr>
              <w:pStyle w:val="16"/>
            </w:pPr>
            <w:r>
              <w:t>培训人员数量</w:t>
            </w:r>
          </w:p>
        </w:tc>
        <w:tc>
          <w:tcPr>
            <w:tcW w:w="2114" w:type="dxa"/>
            <w:vAlign w:val="center"/>
          </w:tcPr>
          <w:p>
            <w:pPr>
              <w:pStyle w:val="16"/>
            </w:pPr>
            <w:r>
              <w:t>≥675人</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培训课时</w:t>
            </w:r>
          </w:p>
        </w:tc>
        <w:tc>
          <w:tcPr>
            <w:tcW w:w="4228" w:type="dxa"/>
            <w:vAlign w:val="center"/>
          </w:tcPr>
          <w:p>
            <w:pPr>
              <w:pStyle w:val="16"/>
            </w:pPr>
            <w:r>
              <w:t>课时要求</w:t>
            </w:r>
          </w:p>
        </w:tc>
        <w:tc>
          <w:tcPr>
            <w:tcW w:w="2114" w:type="dxa"/>
            <w:vAlign w:val="center"/>
          </w:tcPr>
          <w:p>
            <w:pPr>
              <w:pStyle w:val="16"/>
            </w:pPr>
            <w:r>
              <w:t>≥8课时</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跟新理念</w:t>
            </w:r>
          </w:p>
        </w:tc>
        <w:tc>
          <w:tcPr>
            <w:tcW w:w="4228" w:type="dxa"/>
            <w:vAlign w:val="center"/>
          </w:tcPr>
          <w:p>
            <w:pPr>
              <w:pStyle w:val="16"/>
            </w:pPr>
            <w:r>
              <w:t>经营管理能力和水平提高</w:t>
            </w:r>
          </w:p>
        </w:tc>
        <w:tc>
          <w:tcPr>
            <w:tcW w:w="2114" w:type="dxa"/>
            <w:vAlign w:val="center"/>
          </w:tcPr>
          <w:p>
            <w:pPr>
              <w:pStyle w:val="16"/>
            </w:pPr>
            <w:r>
              <w:t>经营理念得到更新</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工作完成时间</w:t>
            </w:r>
          </w:p>
        </w:tc>
        <w:tc>
          <w:tcPr>
            <w:tcW w:w="4228" w:type="dxa"/>
            <w:vAlign w:val="center"/>
          </w:tcPr>
          <w:p>
            <w:pPr>
              <w:pStyle w:val="16"/>
            </w:pPr>
            <w:r>
              <w:t>培训工作完成时间</w:t>
            </w:r>
          </w:p>
        </w:tc>
        <w:tc>
          <w:tcPr>
            <w:tcW w:w="2114" w:type="dxa"/>
            <w:vAlign w:val="center"/>
          </w:tcPr>
          <w:p>
            <w:pPr>
              <w:pStyle w:val="16"/>
            </w:pPr>
            <w:r>
              <w:t>2024年底前</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补贴金额</w:t>
            </w:r>
          </w:p>
        </w:tc>
        <w:tc>
          <w:tcPr>
            <w:tcW w:w="4228" w:type="dxa"/>
            <w:vAlign w:val="center"/>
          </w:tcPr>
          <w:p>
            <w:pPr>
              <w:pStyle w:val="16"/>
            </w:pPr>
            <w:r>
              <w:t>每人培训费用</w:t>
            </w:r>
          </w:p>
        </w:tc>
        <w:tc>
          <w:tcPr>
            <w:tcW w:w="2114" w:type="dxa"/>
            <w:vAlign w:val="center"/>
          </w:tcPr>
          <w:p>
            <w:pPr>
              <w:pStyle w:val="16"/>
            </w:pPr>
            <w:r>
              <w:t>≤200元</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促进民营企业发展</w:t>
            </w:r>
          </w:p>
        </w:tc>
        <w:tc>
          <w:tcPr>
            <w:tcW w:w="4228" w:type="dxa"/>
            <w:vAlign w:val="center"/>
          </w:tcPr>
          <w:p>
            <w:pPr>
              <w:pStyle w:val="16"/>
            </w:pPr>
            <w:r>
              <w:t>促进全市民营企业发展</w:t>
            </w:r>
          </w:p>
        </w:tc>
        <w:tc>
          <w:tcPr>
            <w:tcW w:w="2114" w:type="dxa"/>
            <w:vAlign w:val="center"/>
          </w:tcPr>
          <w:p>
            <w:pPr>
              <w:pStyle w:val="16"/>
            </w:pPr>
            <w:r>
              <w:t>促进全市民营企业发展</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12、中国国际数字经济博览会经费绩效目标表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13050024P009408100313</w:t>
            </w:r>
          </w:p>
        </w:tc>
        <w:tc>
          <w:tcPr>
            <w:tcW w:w="2114" w:type="dxa"/>
            <w:vAlign w:val="center"/>
          </w:tcPr>
          <w:p>
            <w:pPr>
              <w:pStyle w:val="14"/>
            </w:pPr>
            <w:r>
              <w:t>项目名称</w:t>
            </w:r>
          </w:p>
        </w:tc>
        <w:tc>
          <w:tcPr>
            <w:tcW w:w="6342" w:type="dxa"/>
            <w:gridSpan w:val="3"/>
            <w:vAlign w:val="center"/>
          </w:tcPr>
          <w:p>
            <w:pPr>
              <w:pStyle w:val="16"/>
            </w:pPr>
            <w:r>
              <w:t>中国国际数字经济博览会经费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42.00</w:t>
            </w:r>
          </w:p>
        </w:tc>
        <w:tc>
          <w:tcPr>
            <w:tcW w:w="2114" w:type="dxa"/>
            <w:vAlign w:val="center"/>
          </w:tcPr>
          <w:p>
            <w:pPr>
              <w:pStyle w:val="14"/>
            </w:pPr>
            <w:r>
              <w:t>其中：财政    资金</w:t>
            </w:r>
          </w:p>
        </w:tc>
        <w:tc>
          <w:tcPr>
            <w:tcW w:w="2114" w:type="dxa"/>
            <w:vAlign w:val="center"/>
          </w:tcPr>
          <w:p>
            <w:pPr>
              <w:pStyle w:val="16"/>
            </w:pPr>
            <w:r>
              <w:t>42.00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2024中国国际数字经济博览会邢台展区展台搭建及会务保障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40</w:t>
            </w:r>
          </w:p>
        </w:tc>
        <w:tc>
          <w:tcPr>
            <w:tcW w:w="2114" w:type="dxa"/>
            <w:vAlign w:val="center"/>
          </w:tcPr>
          <w:p>
            <w:pPr>
              <w:widowControl/>
              <w:jc w:val="center"/>
              <w:textAlignment w:val="center"/>
              <w:rPr>
                <w:rFonts w:hint="default" w:ascii="宋体" w:hAnsi="宋体" w:eastAsia="宋体" w:cs="宋体"/>
                <w:color w:val="000000"/>
                <w:sz w:val="24"/>
                <w:szCs w:val="24"/>
                <w:lang w:val="en-US" w:eastAsia="zh-CN" w:bidi="ar-SA"/>
              </w:rPr>
            </w:pPr>
            <w:r>
              <w:rPr>
                <w:rFonts w:hint="eastAsia" w:ascii="宋体" w:hAnsi="宋体" w:eastAsia="宋体" w:cs="宋体"/>
                <w:color w:val="000000"/>
                <w:kern w:val="0"/>
                <w:sz w:val="24"/>
                <w:lang w:val="en-US" w:eastAsia="zh-CN" w:bidi="ar"/>
              </w:rPr>
              <w:t>60</w:t>
            </w:r>
          </w:p>
        </w:tc>
        <w:tc>
          <w:tcPr>
            <w:tcW w:w="2114" w:type="dxa"/>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80</w:t>
            </w:r>
          </w:p>
        </w:tc>
        <w:tc>
          <w:tcPr>
            <w:tcW w:w="4228" w:type="dxa"/>
            <w:gridSpan w:val="2"/>
            <w:vAlign w:val="center"/>
          </w:tcPr>
          <w:p>
            <w:pPr>
              <w:widowControl/>
              <w:jc w:val="center"/>
              <w:textAlignment w:val="center"/>
              <w:rPr>
                <w:rFonts w:hint="eastAsia" w:ascii="宋体" w:hAnsi="宋体" w:eastAsia="Times New Roman" w:cs="宋体"/>
                <w:color w:val="000000"/>
                <w:sz w:val="24"/>
                <w:szCs w:val="24"/>
                <w:lang w:val="en-US" w:eastAsia="uk-UA" w:bidi="ar-SA"/>
              </w:rP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1.参展单位和产品在数字经济上要具有代表性、先进性、示范性，同时展厅设计要超前，科学合理，美观大方，展示效果要好，充分展示邢台数字经济发展成果。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参展企业及产品数量</w:t>
            </w:r>
          </w:p>
        </w:tc>
        <w:tc>
          <w:tcPr>
            <w:tcW w:w="4228" w:type="dxa"/>
            <w:vAlign w:val="center"/>
          </w:tcPr>
          <w:p>
            <w:pPr>
              <w:pStyle w:val="16"/>
            </w:pPr>
            <w:r>
              <w:t>征集符合条件企业及产品参展</w:t>
            </w:r>
          </w:p>
        </w:tc>
        <w:tc>
          <w:tcPr>
            <w:tcW w:w="2114" w:type="dxa"/>
            <w:vAlign w:val="center"/>
          </w:tcPr>
          <w:p>
            <w:pPr>
              <w:pStyle w:val="16"/>
            </w:pPr>
            <w:r>
              <w:t>≥10个</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参展企业及产品质量合格率</w:t>
            </w:r>
          </w:p>
        </w:tc>
        <w:tc>
          <w:tcPr>
            <w:tcW w:w="4228" w:type="dxa"/>
            <w:vAlign w:val="center"/>
          </w:tcPr>
          <w:p>
            <w:pPr>
              <w:pStyle w:val="16"/>
            </w:pPr>
            <w:r>
              <w:t>参展单位和产品在数字经济上要具有代表性</w:t>
            </w:r>
          </w:p>
        </w:tc>
        <w:tc>
          <w:tcPr>
            <w:tcW w:w="2114" w:type="dxa"/>
            <w:vAlign w:val="center"/>
          </w:tcPr>
          <w:p>
            <w:pPr>
              <w:pStyle w:val="16"/>
            </w:pPr>
            <w:r>
              <w:t>100%</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展厅搭建完成及时率</w:t>
            </w:r>
          </w:p>
        </w:tc>
        <w:tc>
          <w:tcPr>
            <w:tcW w:w="4228" w:type="dxa"/>
            <w:vAlign w:val="center"/>
          </w:tcPr>
          <w:p>
            <w:pPr>
              <w:pStyle w:val="16"/>
            </w:pPr>
            <w:r>
              <w:t>根据执委会要求按时完成</w:t>
            </w:r>
          </w:p>
        </w:tc>
        <w:tc>
          <w:tcPr>
            <w:tcW w:w="2114" w:type="dxa"/>
            <w:vAlign w:val="center"/>
          </w:tcPr>
          <w:p>
            <w:pPr>
              <w:pStyle w:val="16"/>
            </w:pPr>
            <w:r>
              <w:t>按要求按时完成</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展台搭建费用</w:t>
            </w:r>
          </w:p>
        </w:tc>
        <w:tc>
          <w:tcPr>
            <w:tcW w:w="4228" w:type="dxa"/>
            <w:vAlign w:val="center"/>
          </w:tcPr>
          <w:p>
            <w:pPr>
              <w:pStyle w:val="16"/>
            </w:pPr>
            <w:r>
              <w:t>搭建邢台市参展展台支出</w:t>
            </w:r>
          </w:p>
        </w:tc>
        <w:tc>
          <w:tcPr>
            <w:tcW w:w="2114" w:type="dxa"/>
            <w:vAlign w:val="center"/>
          </w:tcPr>
          <w:p>
            <w:pPr>
              <w:pStyle w:val="16"/>
            </w:pPr>
            <w:r>
              <w:t>≤40万元</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差旅费</w:t>
            </w:r>
          </w:p>
        </w:tc>
        <w:tc>
          <w:tcPr>
            <w:tcW w:w="4228" w:type="dxa"/>
            <w:vAlign w:val="center"/>
          </w:tcPr>
          <w:p>
            <w:pPr>
              <w:pStyle w:val="16"/>
            </w:pPr>
            <w:r>
              <w:t>组织企业参展产生的工作人员差旅费</w:t>
            </w:r>
          </w:p>
        </w:tc>
        <w:tc>
          <w:tcPr>
            <w:tcW w:w="2114" w:type="dxa"/>
            <w:vAlign w:val="center"/>
          </w:tcPr>
          <w:p>
            <w:pPr>
              <w:pStyle w:val="16"/>
            </w:pPr>
            <w:r>
              <w:t>≤180元/人/天</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住宿费用</w:t>
            </w:r>
          </w:p>
        </w:tc>
        <w:tc>
          <w:tcPr>
            <w:tcW w:w="4228" w:type="dxa"/>
            <w:vAlign w:val="center"/>
          </w:tcPr>
          <w:p>
            <w:pPr>
              <w:pStyle w:val="16"/>
            </w:pPr>
            <w:r>
              <w:t>组织企业参展产生的工作人员住宿费</w:t>
            </w:r>
          </w:p>
        </w:tc>
        <w:tc>
          <w:tcPr>
            <w:tcW w:w="2114" w:type="dxa"/>
            <w:vAlign w:val="center"/>
          </w:tcPr>
          <w:p>
            <w:pPr>
              <w:pStyle w:val="16"/>
            </w:pPr>
            <w:r>
              <w:t>≤500元/人/天</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充分展示邢台数字经济发展成果。</w:t>
            </w:r>
          </w:p>
        </w:tc>
        <w:tc>
          <w:tcPr>
            <w:tcW w:w="4228" w:type="dxa"/>
            <w:vAlign w:val="center"/>
          </w:tcPr>
          <w:p>
            <w:pPr>
              <w:pStyle w:val="16"/>
            </w:pPr>
            <w:r>
              <w:t>充分展示邢台数字经济发展成果</w:t>
            </w:r>
          </w:p>
        </w:tc>
        <w:tc>
          <w:tcPr>
            <w:tcW w:w="2114" w:type="dxa"/>
            <w:vAlign w:val="center"/>
          </w:tcPr>
          <w:p>
            <w:pPr>
              <w:pStyle w:val="16"/>
            </w:pPr>
            <w:r>
              <w:t>≥5家</w:t>
            </w:r>
          </w:p>
        </w:tc>
        <w:tc>
          <w:tcPr>
            <w:tcW w:w="2114" w:type="dxa"/>
            <w:vAlign w:val="center"/>
          </w:tcPr>
          <w:p>
            <w:pPr>
              <w:pStyle w:val="16"/>
            </w:pPr>
            <w:r>
              <w:t>数博会执委会《关于做好2024中国国际数字经济博览会综合展览组织筹备工作的通知》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满足参展需求</w:t>
            </w:r>
          </w:p>
        </w:tc>
        <w:tc>
          <w:tcPr>
            <w:tcW w:w="4228" w:type="dxa"/>
            <w:vAlign w:val="center"/>
          </w:tcPr>
          <w:p>
            <w:pPr>
              <w:pStyle w:val="16"/>
            </w:pPr>
            <w:r>
              <w:t>展厅搭建、参展企业及产品符合执委会要求</w:t>
            </w:r>
          </w:p>
        </w:tc>
        <w:tc>
          <w:tcPr>
            <w:tcW w:w="2114" w:type="dxa"/>
            <w:vAlign w:val="center"/>
          </w:tcPr>
          <w:p>
            <w:pPr>
              <w:pStyle w:val="16"/>
            </w:pPr>
            <w:r>
              <w:t>满意</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13、中小企业"百场万家"公益服务活动绩效目标表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13050024P00940810035H</w:t>
            </w:r>
          </w:p>
        </w:tc>
        <w:tc>
          <w:tcPr>
            <w:tcW w:w="2114" w:type="dxa"/>
            <w:vAlign w:val="center"/>
          </w:tcPr>
          <w:p>
            <w:pPr>
              <w:pStyle w:val="14"/>
            </w:pPr>
            <w:r>
              <w:t>项目名称</w:t>
            </w:r>
          </w:p>
        </w:tc>
        <w:tc>
          <w:tcPr>
            <w:tcW w:w="6342" w:type="dxa"/>
            <w:gridSpan w:val="3"/>
            <w:vAlign w:val="center"/>
          </w:tcPr>
          <w:p>
            <w:pPr>
              <w:pStyle w:val="16"/>
            </w:pPr>
            <w:r>
              <w:t>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16.00</w:t>
            </w:r>
          </w:p>
        </w:tc>
        <w:tc>
          <w:tcPr>
            <w:tcW w:w="2114" w:type="dxa"/>
            <w:vAlign w:val="center"/>
          </w:tcPr>
          <w:p>
            <w:pPr>
              <w:pStyle w:val="14"/>
            </w:pPr>
            <w:r>
              <w:t>其中：财政    资金</w:t>
            </w:r>
          </w:p>
        </w:tc>
        <w:tc>
          <w:tcPr>
            <w:tcW w:w="2114" w:type="dxa"/>
            <w:vAlign w:val="center"/>
          </w:tcPr>
          <w:p>
            <w:pPr>
              <w:pStyle w:val="16"/>
            </w:pPr>
            <w:r>
              <w:t>16.00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t xml:space="preserve"> </w:t>
            </w:r>
            <w:r>
              <w:rPr>
                <w:rFonts w:hint="eastAsia"/>
                <w:lang w:val="en-US" w:eastAsia="zh-CN"/>
              </w:rPr>
              <w:t>20</w:t>
            </w:r>
          </w:p>
        </w:tc>
        <w:tc>
          <w:tcPr>
            <w:tcW w:w="2114" w:type="dxa"/>
            <w:vAlign w:val="center"/>
          </w:tcPr>
          <w:p>
            <w:pPr>
              <w:pStyle w:val="17"/>
            </w:pPr>
            <w:r>
              <w:rPr>
                <w:rFonts w:hint="eastAsia"/>
                <w:lang w:val="en-US" w:eastAsia="zh-CN"/>
              </w:rPr>
              <w:t>40</w:t>
            </w:r>
            <w:r>
              <w:t xml:space="preserve"> </w:t>
            </w:r>
          </w:p>
        </w:tc>
        <w:tc>
          <w:tcPr>
            <w:tcW w:w="2114" w:type="dxa"/>
            <w:vAlign w:val="center"/>
          </w:tcPr>
          <w:p>
            <w:pPr>
              <w:pStyle w:val="17"/>
              <w:rPr>
                <w:rFonts w:hint="default" w:eastAsia="方正书宋_GBK"/>
                <w:lang w:val="en-US" w:eastAsia="zh-CN"/>
              </w:rPr>
            </w:pPr>
            <w:r>
              <w:rPr>
                <w:rFonts w:hint="eastAsia"/>
                <w:lang w:val="en-US" w:eastAsia="zh-CN"/>
              </w:rPr>
              <w:t>80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1.通过组织开展公益服务活动，推动企业与服务机构开展对接，进一步提高企业的经营管理水平。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活动场次</w:t>
            </w:r>
          </w:p>
        </w:tc>
        <w:tc>
          <w:tcPr>
            <w:tcW w:w="4228" w:type="dxa"/>
            <w:vAlign w:val="center"/>
          </w:tcPr>
          <w:p>
            <w:pPr>
              <w:pStyle w:val="16"/>
            </w:pPr>
            <w:r>
              <w:t>开展“百场万家”公益服务活动场次</w:t>
            </w:r>
          </w:p>
        </w:tc>
        <w:tc>
          <w:tcPr>
            <w:tcW w:w="2114" w:type="dxa"/>
            <w:vAlign w:val="center"/>
          </w:tcPr>
          <w:p>
            <w:pPr>
              <w:pStyle w:val="16"/>
            </w:pPr>
            <w:r>
              <w:t>8场</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服务企业个数</w:t>
            </w:r>
          </w:p>
        </w:tc>
        <w:tc>
          <w:tcPr>
            <w:tcW w:w="4228" w:type="dxa"/>
            <w:vAlign w:val="center"/>
          </w:tcPr>
          <w:p>
            <w:pPr>
              <w:pStyle w:val="16"/>
            </w:pPr>
            <w:r>
              <w:t>通过线上线下相结合的方式，服务全市中小企业个数</w:t>
            </w:r>
          </w:p>
        </w:tc>
        <w:tc>
          <w:tcPr>
            <w:tcW w:w="2114" w:type="dxa"/>
            <w:vAlign w:val="center"/>
          </w:tcPr>
          <w:p>
            <w:pPr>
              <w:pStyle w:val="16"/>
            </w:pPr>
            <w:r>
              <w:t>800个</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活动完成率</w:t>
            </w:r>
          </w:p>
        </w:tc>
        <w:tc>
          <w:tcPr>
            <w:tcW w:w="4228" w:type="dxa"/>
            <w:vAlign w:val="center"/>
          </w:tcPr>
          <w:p>
            <w:pPr>
              <w:pStyle w:val="16"/>
            </w:pPr>
            <w:r>
              <w:t>实际完成服务企业家数与年度活动计划服务企业家数之比</w:t>
            </w:r>
          </w:p>
        </w:tc>
        <w:tc>
          <w:tcPr>
            <w:tcW w:w="2114" w:type="dxa"/>
            <w:vAlign w:val="center"/>
          </w:tcPr>
          <w:p>
            <w:pPr>
              <w:pStyle w:val="16"/>
            </w:pPr>
            <w:r>
              <w:t>100百分比</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工作完成时间</w:t>
            </w:r>
          </w:p>
        </w:tc>
        <w:tc>
          <w:tcPr>
            <w:tcW w:w="4228" w:type="dxa"/>
            <w:vAlign w:val="center"/>
          </w:tcPr>
          <w:p>
            <w:pPr>
              <w:pStyle w:val="16"/>
            </w:pPr>
            <w:r>
              <w:t>活动完成时间</w:t>
            </w:r>
          </w:p>
        </w:tc>
        <w:tc>
          <w:tcPr>
            <w:tcW w:w="2114" w:type="dxa"/>
            <w:vAlign w:val="center"/>
          </w:tcPr>
          <w:p>
            <w:pPr>
              <w:pStyle w:val="16"/>
            </w:pPr>
            <w:r>
              <w:t>2024年底前</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服务活动每场费用</w:t>
            </w:r>
          </w:p>
        </w:tc>
        <w:tc>
          <w:tcPr>
            <w:tcW w:w="4228" w:type="dxa"/>
            <w:vAlign w:val="center"/>
          </w:tcPr>
          <w:p>
            <w:pPr>
              <w:pStyle w:val="16"/>
            </w:pPr>
            <w:r>
              <w:t>服务活动平均每场费用</w:t>
            </w:r>
          </w:p>
        </w:tc>
        <w:tc>
          <w:tcPr>
            <w:tcW w:w="2114" w:type="dxa"/>
            <w:vAlign w:val="center"/>
          </w:tcPr>
          <w:p>
            <w:pPr>
              <w:pStyle w:val="16"/>
            </w:pPr>
            <w:r>
              <w:t>≤2万元</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优化中小企业营商环境</w:t>
            </w:r>
          </w:p>
        </w:tc>
        <w:tc>
          <w:tcPr>
            <w:tcW w:w="4228" w:type="dxa"/>
            <w:vAlign w:val="center"/>
          </w:tcPr>
          <w:p>
            <w:pPr>
              <w:pStyle w:val="16"/>
            </w:pPr>
            <w:r>
              <w:t>引导各市开展中小企业公益服务活动，在中小企业融资、解决纠纷、减少损失、企业上云等方面提供服务</w:t>
            </w:r>
          </w:p>
        </w:tc>
        <w:tc>
          <w:tcPr>
            <w:tcW w:w="2114" w:type="dxa"/>
            <w:vAlign w:val="center"/>
          </w:tcPr>
          <w:p>
            <w:pPr>
              <w:pStyle w:val="16"/>
            </w:pPr>
            <w:r>
              <w:t>引导各市开展中小企业公益服务活动，在中小企业融资、解决纠纷、减少损失、企业上云等方面提供服务</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14、中小企业“百场万家”公益服务活动绩效目标表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13050023P009571100027</w:t>
            </w:r>
          </w:p>
        </w:tc>
        <w:tc>
          <w:tcPr>
            <w:tcW w:w="2114" w:type="dxa"/>
            <w:vAlign w:val="center"/>
          </w:tcPr>
          <w:p>
            <w:pPr>
              <w:pStyle w:val="14"/>
            </w:pPr>
            <w:r>
              <w:t>项目名称</w:t>
            </w:r>
          </w:p>
        </w:tc>
        <w:tc>
          <w:tcPr>
            <w:tcW w:w="6342" w:type="dxa"/>
            <w:gridSpan w:val="3"/>
            <w:vAlign w:val="center"/>
          </w:tcPr>
          <w:p>
            <w:pPr>
              <w:pStyle w:val="16"/>
            </w:pPr>
            <w:r>
              <w:t>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19.20</w:t>
            </w:r>
          </w:p>
        </w:tc>
        <w:tc>
          <w:tcPr>
            <w:tcW w:w="2114" w:type="dxa"/>
            <w:vAlign w:val="center"/>
          </w:tcPr>
          <w:p>
            <w:pPr>
              <w:pStyle w:val="14"/>
            </w:pPr>
            <w:r>
              <w:t>其中：财政    资金</w:t>
            </w:r>
          </w:p>
        </w:tc>
        <w:tc>
          <w:tcPr>
            <w:tcW w:w="2114" w:type="dxa"/>
            <w:vAlign w:val="center"/>
          </w:tcPr>
          <w:p>
            <w:pPr>
              <w:pStyle w:val="16"/>
            </w:pPr>
            <w:r>
              <w:t>19.20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举办中小企业“百场万家”公益服务活动，以“专精特新”中小企业培育为导向，通过线上线下相结合的方式开展服务活动8场次以上、服务企业800家以上。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80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1.举办中小企业“百场万家”公益服务活动，以“专精特新”中小企业培育为导向，通过线上线下相结合的方式开展服务活动8场次以上、服务企业800家以上。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活动场次</w:t>
            </w:r>
          </w:p>
        </w:tc>
        <w:tc>
          <w:tcPr>
            <w:tcW w:w="4228" w:type="dxa"/>
            <w:vAlign w:val="center"/>
          </w:tcPr>
          <w:p>
            <w:pPr>
              <w:pStyle w:val="16"/>
            </w:pPr>
            <w:r>
              <w:t>开展“百场万家”公益服务活动场次</w:t>
            </w:r>
          </w:p>
        </w:tc>
        <w:tc>
          <w:tcPr>
            <w:tcW w:w="2114" w:type="dxa"/>
            <w:vAlign w:val="center"/>
          </w:tcPr>
          <w:p>
            <w:pPr>
              <w:pStyle w:val="16"/>
            </w:pPr>
            <w:r>
              <w:t>≥8场</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服务企业个数</w:t>
            </w:r>
          </w:p>
        </w:tc>
        <w:tc>
          <w:tcPr>
            <w:tcW w:w="4228" w:type="dxa"/>
            <w:vAlign w:val="center"/>
          </w:tcPr>
          <w:p>
            <w:pPr>
              <w:pStyle w:val="16"/>
            </w:pPr>
            <w:r>
              <w:t>通过线上线下相结合的方式，服务全省中小企业个数</w:t>
            </w:r>
          </w:p>
        </w:tc>
        <w:tc>
          <w:tcPr>
            <w:tcW w:w="2114" w:type="dxa"/>
            <w:vAlign w:val="center"/>
          </w:tcPr>
          <w:p>
            <w:pPr>
              <w:pStyle w:val="16"/>
            </w:pPr>
            <w:r>
              <w:t>≥800个</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活动完成率</w:t>
            </w:r>
          </w:p>
        </w:tc>
        <w:tc>
          <w:tcPr>
            <w:tcW w:w="4228" w:type="dxa"/>
            <w:vAlign w:val="center"/>
          </w:tcPr>
          <w:p>
            <w:pPr>
              <w:pStyle w:val="16"/>
            </w:pPr>
            <w:r>
              <w:t>实际完成服务企业家数与年度活动计划服务企业家数之比</w:t>
            </w:r>
          </w:p>
        </w:tc>
        <w:tc>
          <w:tcPr>
            <w:tcW w:w="2114" w:type="dxa"/>
            <w:vAlign w:val="center"/>
          </w:tcPr>
          <w:p>
            <w:pPr>
              <w:pStyle w:val="16"/>
            </w:pPr>
            <w:r>
              <w:t>100%</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参加活动人员构成</w:t>
            </w:r>
          </w:p>
        </w:tc>
        <w:tc>
          <w:tcPr>
            <w:tcW w:w="4228" w:type="dxa"/>
            <w:vAlign w:val="center"/>
          </w:tcPr>
          <w:p>
            <w:pPr>
              <w:pStyle w:val="16"/>
            </w:pPr>
            <w:r>
              <w:t>企业董事长、总经理人数占企业参加人数的比率</w:t>
            </w:r>
          </w:p>
        </w:tc>
        <w:tc>
          <w:tcPr>
            <w:tcW w:w="2114" w:type="dxa"/>
            <w:vAlign w:val="center"/>
          </w:tcPr>
          <w:p>
            <w:pPr>
              <w:pStyle w:val="16"/>
            </w:pPr>
            <w:r>
              <w:t>≥50%</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工作完成时间</w:t>
            </w:r>
          </w:p>
        </w:tc>
        <w:tc>
          <w:tcPr>
            <w:tcW w:w="4228" w:type="dxa"/>
            <w:vAlign w:val="center"/>
          </w:tcPr>
          <w:p>
            <w:pPr>
              <w:pStyle w:val="16"/>
            </w:pPr>
            <w:r>
              <w:t>活动完成时间</w:t>
            </w:r>
          </w:p>
        </w:tc>
        <w:tc>
          <w:tcPr>
            <w:tcW w:w="2114" w:type="dxa"/>
            <w:vAlign w:val="center"/>
          </w:tcPr>
          <w:p>
            <w:pPr>
              <w:pStyle w:val="16"/>
            </w:pPr>
            <w:r>
              <w:t>202</w:t>
            </w:r>
            <w:r>
              <w:rPr>
                <w:rFonts w:hint="eastAsia"/>
                <w:lang w:val="en-US" w:eastAsia="zh-CN"/>
              </w:rPr>
              <w:t>4</w:t>
            </w:r>
            <w:r>
              <w:t>年底前</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补助标准</w:t>
            </w:r>
          </w:p>
        </w:tc>
        <w:tc>
          <w:tcPr>
            <w:tcW w:w="4228" w:type="dxa"/>
            <w:vAlign w:val="center"/>
          </w:tcPr>
          <w:p>
            <w:pPr>
              <w:pStyle w:val="16"/>
            </w:pPr>
            <w:r>
              <w:t>每人每天补助标准</w:t>
            </w:r>
          </w:p>
        </w:tc>
        <w:tc>
          <w:tcPr>
            <w:tcW w:w="2114" w:type="dxa"/>
            <w:vAlign w:val="center"/>
          </w:tcPr>
          <w:p>
            <w:pPr>
              <w:pStyle w:val="16"/>
            </w:pPr>
            <w:r>
              <w:t>≤240元</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优化中小企业营商环境</w:t>
            </w:r>
          </w:p>
        </w:tc>
        <w:tc>
          <w:tcPr>
            <w:tcW w:w="4228" w:type="dxa"/>
            <w:vAlign w:val="center"/>
          </w:tcPr>
          <w:p>
            <w:pPr>
              <w:pStyle w:val="16"/>
            </w:pPr>
            <w:r>
              <w:t>引导各市开展中小企业公益服务活动，在中小企业融资、解决纠纷、减少损失、企业上云等方面提供服务</w:t>
            </w:r>
          </w:p>
        </w:tc>
        <w:tc>
          <w:tcPr>
            <w:tcW w:w="2114" w:type="dxa"/>
            <w:vAlign w:val="center"/>
          </w:tcPr>
          <w:p>
            <w:pPr>
              <w:pStyle w:val="16"/>
            </w:pPr>
            <w:r>
              <w:t>发挥财政资金引导作用，进一步优化全省中小企业营商环境</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关于下达2023年省级中小企业发展专项资金预算的通知  冀财建[2023]28号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关于下达2023年省级中小企业发展专项资金预算的通知  冀财建[2023]28号 </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15、中小企业运行监测绩效目标表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13050023P009569100031</w:t>
            </w:r>
          </w:p>
        </w:tc>
        <w:tc>
          <w:tcPr>
            <w:tcW w:w="2114" w:type="dxa"/>
            <w:vAlign w:val="center"/>
          </w:tcPr>
          <w:p>
            <w:pPr>
              <w:pStyle w:val="14"/>
            </w:pPr>
            <w:r>
              <w:t>项目名称</w:t>
            </w:r>
          </w:p>
        </w:tc>
        <w:tc>
          <w:tcPr>
            <w:tcW w:w="6342" w:type="dxa"/>
            <w:gridSpan w:val="3"/>
            <w:vAlign w:val="center"/>
          </w:tcPr>
          <w:p>
            <w:pPr>
              <w:pStyle w:val="16"/>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4.50</w:t>
            </w:r>
          </w:p>
        </w:tc>
        <w:tc>
          <w:tcPr>
            <w:tcW w:w="2114" w:type="dxa"/>
            <w:vAlign w:val="center"/>
          </w:tcPr>
          <w:p>
            <w:pPr>
              <w:pStyle w:val="14"/>
            </w:pPr>
            <w:r>
              <w:t>其中：财政    资金</w:t>
            </w:r>
          </w:p>
        </w:tc>
        <w:tc>
          <w:tcPr>
            <w:tcW w:w="2114" w:type="dxa"/>
            <w:vAlign w:val="center"/>
          </w:tcPr>
          <w:p>
            <w:pPr>
              <w:pStyle w:val="16"/>
            </w:pPr>
            <w:r>
              <w:t>4.50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全省纳入监测中小企业不少于3500家，每月组织监测企业不少于3000家上报生产经营数据，为工信部及各级政府部门决策参考提供支撑服务。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rPr>
                <w:rFonts w:hint="eastAsia"/>
                <w:lang w:val="en-US" w:eastAsia="zh-CN"/>
              </w:rPr>
              <w:t>20</w:t>
            </w:r>
          </w:p>
        </w:tc>
        <w:tc>
          <w:tcPr>
            <w:tcW w:w="2114" w:type="dxa"/>
            <w:vAlign w:val="center"/>
          </w:tcPr>
          <w:p>
            <w:pPr>
              <w:pStyle w:val="17"/>
              <w:rPr>
                <w:rFonts w:hint="default" w:eastAsia="方正书宋_GBK"/>
                <w:lang w:val="en-US" w:eastAsia="zh-CN"/>
              </w:rPr>
            </w:pPr>
            <w:r>
              <w:rPr>
                <w:rFonts w:hint="eastAsia"/>
                <w:lang w:val="en-US" w:eastAsia="zh-CN"/>
              </w:rPr>
              <w:t>40</w:t>
            </w:r>
          </w:p>
        </w:tc>
        <w:tc>
          <w:tcPr>
            <w:tcW w:w="2114" w:type="dxa"/>
            <w:vAlign w:val="center"/>
          </w:tcPr>
          <w:p>
            <w:pPr>
              <w:pStyle w:val="17"/>
              <w:rPr>
                <w:rFonts w:hint="default" w:eastAsia="方正书宋_GBK"/>
                <w:lang w:val="en-US" w:eastAsia="zh-CN"/>
              </w:rPr>
            </w:pPr>
            <w:r>
              <w:rPr>
                <w:rFonts w:hint="eastAsia"/>
                <w:lang w:val="en-US" w:eastAsia="zh-CN"/>
              </w:rPr>
              <w:t>80</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1.全省纳入监测中小企业不少于3500家，每月组织监测企业不少于3000家上报生产经营数据，为工信部及各级政府部门决策参考提供支撑服务。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监测企业总量</w:t>
            </w:r>
          </w:p>
        </w:tc>
        <w:tc>
          <w:tcPr>
            <w:tcW w:w="4228" w:type="dxa"/>
            <w:vAlign w:val="center"/>
          </w:tcPr>
          <w:p>
            <w:pPr>
              <w:pStyle w:val="16"/>
            </w:pPr>
            <w:r>
              <w:t>全省纳入中小监测运行监测企业户数</w:t>
            </w:r>
          </w:p>
        </w:tc>
        <w:tc>
          <w:tcPr>
            <w:tcW w:w="2114" w:type="dxa"/>
            <w:vAlign w:val="center"/>
          </w:tcPr>
          <w:p>
            <w:pPr>
              <w:pStyle w:val="16"/>
            </w:pPr>
            <w:r>
              <w:t>各市指标以资金文件所确定的分市支持项目数量为准.</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月均报送量</w:t>
            </w:r>
          </w:p>
        </w:tc>
        <w:tc>
          <w:tcPr>
            <w:tcW w:w="4228" w:type="dxa"/>
            <w:vAlign w:val="center"/>
          </w:tcPr>
          <w:p>
            <w:pPr>
              <w:pStyle w:val="16"/>
            </w:pPr>
            <w:r>
              <w:t>月均企业填报生产经营数据户数</w:t>
            </w:r>
          </w:p>
        </w:tc>
        <w:tc>
          <w:tcPr>
            <w:tcW w:w="2114" w:type="dxa"/>
            <w:vAlign w:val="center"/>
          </w:tcPr>
          <w:p>
            <w:pPr>
              <w:pStyle w:val="16"/>
            </w:pPr>
            <w:r>
              <w:t>各市指标以资金文件所确定的分市支持项目数量为准</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报送时限</w:t>
            </w:r>
          </w:p>
        </w:tc>
        <w:tc>
          <w:tcPr>
            <w:tcW w:w="4228" w:type="dxa"/>
            <w:vAlign w:val="center"/>
          </w:tcPr>
          <w:p>
            <w:pPr>
              <w:pStyle w:val="16"/>
            </w:pPr>
            <w:r>
              <w:t>完成数据报送时限要求</w:t>
            </w:r>
          </w:p>
        </w:tc>
        <w:tc>
          <w:tcPr>
            <w:tcW w:w="2114" w:type="dxa"/>
            <w:vAlign w:val="center"/>
          </w:tcPr>
          <w:p>
            <w:pPr>
              <w:pStyle w:val="16"/>
            </w:pPr>
            <w:r>
              <w:t>月后30日内</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补助经费标准</w:t>
            </w:r>
          </w:p>
        </w:tc>
        <w:tc>
          <w:tcPr>
            <w:tcW w:w="4228" w:type="dxa"/>
            <w:vAlign w:val="center"/>
          </w:tcPr>
          <w:p>
            <w:pPr>
              <w:pStyle w:val="16"/>
            </w:pPr>
            <w:r>
              <w:t>对各市（含县市区）综合补助费用平均每家企业每月补助金额</w:t>
            </w:r>
          </w:p>
        </w:tc>
        <w:tc>
          <w:tcPr>
            <w:tcW w:w="2114" w:type="dxa"/>
            <w:vAlign w:val="center"/>
          </w:tcPr>
          <w:p>
            <w:pPr>
              <w:pStyle w:val="16"/>
            </w:pPr>
            <w:r>
              <w:t>≤80 元</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为工信部提供监测数据</w:t>
            </w:r>
          </w:p>
        </w:tc>
        <w:tc>
          <w:tcPr>
            <w:tcW w:w="4228" w:type="dxa"/>
            <w:vAlign w:val="center"/>
          </w:tcPr>
          <w:p>
            <w:pPr>
              <w:pStyle w:val="16"/>
            </w:pPr>
            <w:r>
              <w:t>根据中小企业运行监测工作和工信部安排部署等要求，每月提供监测企业数据，为工信部决策参考提供有效监测企业数据</w:t>
            </w:r>
          </w:p>
        </w:tc>
        <w:tc>
          <w:tcPr>
            <w:tcW w:w="2114" w:type="dxa"/>
            <w:vAlign w:val="center"/>
          </w:tcPr>
          <w:p>
            <w:pPr>
              <w:pStyle w:val="16"/>
            </w:pPr>
            <w:r>
              <w:t>按时提供监测数据，提供有效监测数据</w:t>
            </w:r>
          </w:p>
        </w:tc>
        <w:tc>
          <w:tcPr>
            <w:tcW w:w="2114" w:type="dxa"/>
            <w:vAlign w:val="center"/>
          </w:tcPr>
          <w:p>
            <w:pPr>
              <w:pStyle w:val="16"/>
            </w:pPr>
            <w:r>
              <w:t>关于提前下达2023年省级中小企业发展专项资金的通知冀财建[2022]238号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 xml:space="preserve"> 不涉及</w:t>
            </w:r>
          </w:p>
        </w:tc>
        <w:tc>
          <w:tcPr>
            <w:tcW w:w="4228" w:type="dxa"/>
            <w:vAlign w:val="center"/>
          </w:tcPr>
          <w:p>
            <w:pPr>
              <w:pStyle w:val="16"/>
            </w:pPr>
            <w:r>
              <w:t xml:space="preserve"> 不涉及</w:t>
            </w:r>
          </w:p>
        </w:tc>
        <w:tc>
          <w:tcPr>
            <w:tcW w:w="2114" w:type="dxa"/>
            <w:vAlign w:val="center"/>
          </w:tcPr>
          <w:p>
            <w:pPr>
              <w:pStyle w:val="16"/>
            </w:pPr>
            <w:r>
              <w:t xml:space="preserve"> 不涉及</w:t>
            </w:r>
          </w:p>
        </w:tc>
        <w:tc>
          <w:tcPr>
            <w:tcW w:w="2114" w:type="dxa"/>
            <w:vAlign w:val="center"/>
          </w:tcPr>
          <w:p>
            <w:pPr>
              <w:pStyle w:val="16"/>
            </w:pPr>
            <w:r>
              <w:t xml:space="preserve"> 不涉及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16、中小企业运行监测绩效目标表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13050024P009408100365</w:t>
            </w:r>
          </w:p>
        </w:tc>
        <w:tc>
          <w:tcPr>
            <w:tcW w:w="2114" w:type="dxa"/>
            <w:vAlign w:val="center"/>
          </w:tcPr>
          <w:p>
            <w:pPr>
              <w:pStyle w:val="14"/>
            </w:pPr>
            <w:r>
              <w:t>项目名称</w:t>
            </w:r>
          </w:p>
        </w:tc>
        <w:tc>
          <w:tcPr>
            <w:tcW w:w="6342" w:type="dxa"/>
            <w:gridSpan w:val="3"/>
            <w:vAlign w:val="center"/>
          </w:tcPr>
          <w:p>
            <w:pPr>
              <w:pStyle w:val="16"/>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5.50</w:t>
            </w:r>
          </w:p>
        </w:tc>
        <w:tc>
          <w:tcPr>
            <w:tcW w:w="2114" w:type="dxa"/>
            <w:vAlign w:val="center"/>
          </w:tcPr>
          <w:p>
            <w:pPr>
              <w:pStyle w:val="14"/>
            </w:pPr>
            <w:r>
              <w:t>其中：财政    资金</w:t>
            </w:r>
          </w:p>
        </w:tc>
        <w:tc>
          <w:tcPr>
            <w:tcW w:w="2114" w:type="dxa"/>
            <w:vAlign w:val="center"/>
          </w:tcPr>
          <w:p>
            <w:pPr>
              <w:pStyle w:val="16"/>
            </w:pPr>
            <w:r>
              <w:t>5.50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pStyle w:val="17"/>
              <w:rPr>
                <w:rFonts w:hint="default" w:eastAsia="方正书宋_GBK"/>
                <w:lang w:val="en-US" w:eastAsia="zh-CN"/>
              </w:rPr>
            </w:pPr>
            <w:r>
              <w:t xml:space="preserve"> </w:t>
            </w:r>
            <w:r>
              <w:rPr>
                <w:rFonts w:hint="eastAsia"/>
                <w:lang w:val="en-US" w:eastAsia="zh-CN"/>
              </w:rPr>
              <w:t>20</w:t>
            </w:r>
          </w:p>
        </w:tc>
        <w:tc>
          <w:tcPr>
            <w:tcW w:w="2114" w:type="dxa"/>
            <w:vAlign w:val="center"/>
          </w:tcPr>
          <w:p>
            <w:pPr>
              <w:pStyle w:val="17"/>
            </w:pPr>
            <w:r>
              <w:rPr>
                <w:rFonts w:hint="eastAsia"/>
                <w:lang w:val="en-US" w:eastAsia="zh-CN"/>
              </w:rPr>
              <w:t>40</w:t>
            </w:r>
            <w:r>
              <w:t xml:space="preserve"> </w:t>
            </w:r>
          </w:p>
        </w:tc>
        <w:tc>
          <w:tcPr>
            <w:tcW w:w="2114" w:type="dxa"/>
            <w:vAlign w:val="center"/>
          </w:tcPr>
          <w:p>
            <w:pPr>
              <w:pStyle w:val="17"/>
            </w:pPr>
            <w:r>
              <w:rPr>
                <w:rFonts w:hint="eastAsia"/>
                <w:lang w:val="en-US" w:eastAsia="zh-CN"/>
              </w:rPr>
              <w:t>80</w:t>
            </w:r>
            <w:r>
              <w:t xml:space="preserve"> </w:t>
            </w:r>
          </w:p>
        </w:tc>
        <w:tc>
          <w:tcPr>
            <w:tcW w:w="4228" w:type="dxa"/>
            <w:gridSpan w:val="2"/>
            <w:vAlign w:val="center"/>
          </w:tcPr>
          <w:p>
            <w:pPr>
              <w:pStyle w:val="17"/>
              <w:rPr>
                <w:rFonts w:hint="default" w:eastAsia="方正书宋_GBK"/>
                <w:lang w:val="en-US" w:eastAsia="zh-CN"/>
              </w:rPr>
            </w:pPr>
            <w:r>
              <w:rPr>
                <w:rFonts w:hint="eastAsia"/>
                <w:lang w:val="en-US" w:eastAsia="zh-CN"/>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1.全市纳入监测中小企业不少于150家，每月组织监测企业不少于140家上报生产经营数据，为工信部及各级政府部门决策参考提供支撑服务。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监测企业总量</w:t>
            </w:r>
          </w:p>
        </w:tc>
        <w:tc>
          <w:tcPr>
            <w:tcW w:w="4228" w:type="dxa"/>
            <w:vAlign w:val="center"/>
          </w:tcPr>
          <w:p>
            <w:pPr>
              <w:pStyle w:val="16"/>
            </w:pPr>
            <w:r>
              <w:t>全市纳入中小监测运行监测企业户数</w:t>
            </w:r>
          </w:p>
        </w:tc>
        <w:tc>
          <w:tcPr>
            <w:tcW w:w="2114" w:type="dxa"/>
            <w:vAlign w:val="center"/>
          </w:tcPr>
          <w:p>
            <w:pPr>
              <w:pStyle w:val="16"/>
            </w:pPr>
            <w:r>
              <w:t>≥150家</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月均报送量</w:t>
            </w:r>
          </w:p>
        </w:tc>
        <w:tc>
          <w:tcPr>
            <w:tcW w:w="4228" w:type="dxa"/>
            <w:vAlign w:val="center"/>
          </w:tcPr>
          <w:p>
            <w:pPr>
              <w:pStyle w:val="16"/>
            </w:pPr>
            <w:r>
              <w:t>月均企业填报生产经营数据户数</w:t>
            </w:r>
          </w:p>
        </w:tc>
        <w:tc>
          <w:tcPr>
            <w:tcW w:w="2114" w:type="dxa"/>
            <w:vAlign w:val="center"/>
          </w:tcPr>
          <w:p>
            <w:pPr>
              <w:pStyle w:val="16"/>
            </w:pPr>
            <w:r>
              <w:t>≥140家</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报送时限</w:t>
            </w:r>
          </w:p>
        </w:tc>
        <w:tc>
          <w:tcPr>
            <w:tcW w:w="4228" w:type="dxa"/>
            <w:vAlign w:val="center"/>
          </w:tcPr>
          <w:p>
            <w:pPr>
              <w:pStyle w:val="16"/>
            </w:pPr>
            <w:r>
              <w:t>完成数据报送时限要求</w:t>
            </w:r>
          </w:p>
        </w:tc>
        <w:tc>
          <w:tcPr>
            <w:tcW w:w="2114" w:type="dxa"/>
            <w:vAlign w:val="center"/>
          </w:tcPr>
          <w:p>
            <w:pPr>
              <w:pStyle w:val="16"/>
            </w:pPr>
            <w:r>
              <w:t>月后30日前</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补助经费</w:t>
            </w:r>
          </w:p>
        </w:tc>
        <w:tc>
          <w:tcPr>
            <w:tcW w:w="4228" w:type="dxa"/>
            <w:vAlign w:val="center"/>
          </w:tcPr>
          <w:p>
            <w:pPr>
              <w:pStyle w:val="16"/>
            </w:pPr>
            <w:r>
              <w:t>对各市（含县市区）综合补助费用平均每家企业每月补助金额</w:t>
            </w:r>
          </w:p>
        </w:tc>
        <w:tc>
          <w:tcPr>
            <w:tcW w:w="2114" w:type="dxa"/>
            <w:vAlign w:val="center"/>
          </w:tcPr>
          <w:p>
            <w:pPr>
              <w:pStyle w:val="16"/>
            </w:pPr>
            <w:r>
              <w:t>≤100元</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社会效益指标</w:t>
            </w:r>
          </w:p>
        </w:tc>
        <w:tc>
          <w:tcPr>
            <w:tcW w:w="2114" w:type="dxa"/>
            <w:vAlign w:val="center"/>
          </w:tcPr>
          <w:p>
            <w:pPr>
              <w:pStyle w:val="16"/>
            </w:pPr>
            <w:r>
              <w:t>为工信部提供监测数据</w:t>
            </w:r>
          </w:p>
        </w:tc>
        <w:tc>
          <w:tcPr>
            <w:tcW w:w="4228" w:type="dxa"/>
            <w:vAlign w:val="center"/>
          </w:tcPr>
          <w:p>
            <w:pPr>
              <w:pStyle w:val="16"/>
            </w:pPr>
            <w:r>
              <w:t>根据中小企业运行监测工作和工信部安排部署等要求，每月提供监测企业数据，为工信部决策参考提供有效监测企业数据</w:t>
            </w:r>
          </w:p>
        </w:tc>
        <w:tc>
          <w:tcPr>
            <w:tcW w:w="2114" w:type="dxa"/>
            <w:vAlign w:val="center"/>
          </w:tcPr>
          <w:p>
            <w:pPr>
              <w:pStyle w:val="16"/>
            </w:pPr>
            <w:r>
              <w:t>按时提供监测数据</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经济效益指标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17、重点产业链专项工作经费绩效目标表</w:t>
      </w:r>
    </w:p>
    <w:tbl>
      <w:tblPr>
        <w:tblStyle w:val="8"/>
        <w:tblW w:w="14798"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798"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项目编码</w:t>
            </w:r>
          </w:p>
        </w:tc>
        <w:tc>
          <w:tcPr>
            <w:tcW w:w="4228" w:type="dxa"/>
            <w:gridSpan w:val="2"/>
            <w:vAlign w:val="center"/>
          </w:tcPr>
          <w:p>
            <w:pPr>
              <w:pStyle w:val="16"/>
            </w:pPr>
            <w:r>
              <w:t>13050024P00940810028G</w:t>
            </w:r>
          </w:p>
        </w:tc>
        <w:tc>
          <w:tcPr>
            <w:tcW w:w="2114" w:type="dxa"/>
            <w:vAlign w:val="center"/>
          </w:tcPr>
          <w:p>
            <w:pPr>
              <w:pStyle w:val="14"/>
            </w:pPr>
            <w:r>
              <w:t>项目名称</w:t>
            </w:r>
          </w:p>
        </w:tc>
        <w:tc>
          <w:tcPr>
            <w:tcW w:w="6342" w:type="dxa"/>
            <w:gridSpan w:val="3"/>
            <w:vAlign w:val="center"/>
          </w:tcPr>
          <w:p>
            <w:pPr>
              <w:pStyle w:val="16"/>
            </w:pPr>
            <w:r>
              <w:t>重点产业链专项工作经费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预算规模及资金用途</w:t>
            </w:r>
          </w:p>
        </w:tc>
        <w:tc>
          <w:tcPr>
            <w:tcW w:w="2114" w:type="dxa"/>
            <w:vAlign w:val="center"/>
          </w:tcPr>
          <w:p>
            <w:pPr>
              <w:pStyle w:val="14"/>
            </w:pPr>
            <w:r>
              <w:t>预算数</w:t>
            </w:r>
          </w:p>
        </w:tc>
        <w:tc>
          <w:tcPr>
            <w:tcW w:w="2114" w:type="dxa"/>
            <w:vAlign w:val="center"/>
          </w:tcPr>
          <w:p>
            <w:pPr>
              <w:pStyle w:val="16"/>
            </w:pPr>
            <w:r>
              <w:t>30.00</w:t>
            </w:r>
          </w:p>
        </w:tc>
        <w:tc>
          <w:tcPr>
            <w:tcW w:w="2114" w:type="dxa"/>
            <w:vAlign w:val="center"/>
          </w:tcPr>
          <w:p>
            <w:pPr>
              <w:pStyle w:val="14"/>
            </w:pPr>
            <w:r>
              <w:t>其中：财政    资金</w:t>
            </w:r>
          </w:p>
        </w:tc>
        <w:tc>
          <w:tcPr>
            <w:tcW w:w="2114" w:type="dxa"/>
            <w:vAlign w:val="center"/>
          </w:tcPr>
          <w:p>
            <w:pPr>
              <w:pStyle w:val="16"/>
            </w:pPr>
            <w:r>
              <w:t>30.00</w:t>
            </w:r>
          </w:p>
        </w:tc>
        <w:tc>
          <w:tcPr>
            <w:tcW w:w="2114" w:type="dxa"/>
            <w:vAlign w:val="center"/>
          </w:tcPr>
          <w:p>
            <w:pPr>
              <w:pStyle w:val="14"/>
            </w:pPr>
            <w:r>
              <w:t>其他资金</w:t>
            </w:r>
          </w:p>
        </w:tc>
        <w:tc>
          <w:tcPr>
            <w:tcW w:w="2114" w:type="dxa"/>
            <w:vAlign w:val="center"/>
          </w:tcPr>
          <w:p>
            <w:pPr>
              <w:pStyle w:val="16"/>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12684" w:type="dxa"/>
            <w:gridSpan w:val="6"/>
            <w:vAlign w:val="center"/>
          </w:tcPr>
          <w:p>
            <w:pPr>
              <w:pStyle w:val="16"/>
            </w:pPr>
            <w:r>
              <w:t>加快我市制造业重点产业链补链延链强链，大力提升重点产业链核心竞争力和现代化水平。促进全市特色产业高质量赶超发展，特色产业集群营业收入增长率10%以上。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restart"/>
            <w:vAlign w:val="center"/>
          </w:tcPr>
          <w:p>
            <w:pPr>
              <w:pStyle w:val="14"/>
            </w:pPr>
            <w:r>
              <w:t>资金支出计划（%）</w:t>
            </w:r>
          </w:p>
        </w:tc>
        <w:tc>
          <w:tcPr>
            <w:tcW w:w="4228" w:type="dxa"/>
            <w:gridSpan w:val="2"/>
            <w:vAlign w:val="center"/>
          </w:tcPr>
          <w:p>
            <w:pPr>
              <w:pStyle w:val="14"/>
            </w:pPr>
            <w:r>
              <w:t>3月底</w:t>
            </w:r>
          </w:p>
        </w:tc>
        <w:tc>
          <w:tcPr>
            <w:tcW w:w="2114" w:type="dxa"/>
            <w:vAlign w:val="center"/>
          </w:tcPr>
          <w:p>
            <w:pPr>
              <w:pStyle w:val="14"/>
            </w:pPr>
            <w:r>
              <w:t>6月底</w:t>
            </w:r>
          </w:p>
        </w:tc>
        <w:tc>
          <w:tcPr>
            <w:tcW w:w="2114" w:type="dxa"/>
            <w:vAlign w:val="center"/>
          </w:tcPr>
          <w:p>
            <w:pPr>
              <w:pStyle w:val="14"/>
            </w:pPr>
            <w:r>
              <w:t>10月底</w:t>
            </w:r>
          </w:p>
        </w:tc>
        <w:tc>
          <w:tcPr>
            <w:tcW w:w="422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Merge w:val="continue"/>
          </w:tcPr>
          <w:p/>
        </w:tc>
        <w:tc>
          <w:tcPr>
            <w:tcW w:w="4228" w:type="dxa"/>
            <w:gridSpan w:val="2"/>
            <w:vAlign w:val="center"/>
          </w:tcPr>
          <w:p>
            <w:pPr>
              <w:widowControl/>
              <w:jc w:val="center"/>
              <w:textAlignment w:val="center"/>
            </w:pPr>
            <w:r>
              <w:rPr>
                <w:rFonts w:hint="eastAsia" w:ascii="宋体" w:hAnsi="宋体" w:cs="宋体"/>
                <w:color w:val="000000"/>
                <w:kern w:val="0"/>
                <w:sz w:val="24"/>
                <w:lang w:bidi="ar"/>
              </w:rPr>
              <w:t>20</w:t>
            </w:r>
          </w:p>
        </w:tc>
        <w:tc>
          <w:tcPr>
            <w:tcW w:w="2114" w:type="dxa"/>
            <w:vAlign w:val="center"/>
          </w:tcPr>
          <w:p>
            <w:pPr>
              <w:widowControl/>
              <w:jc w:val="center"/>
              <w:textAlignment w:val="center"/>
            </w:pPr>
            <w:r>
              <w:rPr>
                <w:rFonts w:hint="eastAsia" w:ascii="宋体" w:hAnsi="宋体" w:cs="宋体"/>
                <w:color w:val="000000"/>
                <w:kern w:val="0"/>
                <w:sz w:val="24"/>
                <w:lang w:bidi="ar"/>
              </w:rPr>
              <w:t>50</w:t>
            </w:r>
          </w:p>
        </w:tc>
        <w:tc>
          <w:tcPr>
            <w:tcW w:w="2114" w:type="dxa"/>
            <w:vAlign w:val="center"/>
          </w:tcPr>
          <w:p>
            <w:pPr>
              <w:widowControl/>
              <w:jc w:val="center"/>
              <w:textAlignment w:val="center"/>
            </w:pPr>
            <w:r>
              <w:rPr>
                <w:rFonts w:hint="eastAsia" w:ascii="宋体" w:hAnsi="宋体" w:cs="宋体"/>
                <w:color w:val="000000"/>
                <w:kern w:val="0"/>
                <w:sz w:val="24"/>
                <w:lang w:bidi="ar"/>
              </w:rPr>
              <w:t>70</w:t>
            </w:r>
          </w:p>
        </w:tc>
        <w:tc>
          <w:tcPr>
            <w:tcW w:w="4228" w:type="dxa"/>
            <w:gridSpan w:val="2"/>
            <w:vAlign w:val="center"/>
          </w:tcPr>
          <w:p>
            <w:pPr>
              <w:widowControl/>
              <w:jc w:val="center"/>
              <w:textAlignment w:val="center"/>
            </w:pPr>
            <w:r>
              <w:rPr>
                <w:rFonts w:hint="eastAsia" w:ascii="宋体" w:hAnsi="宋体" w:cs="宋体"/>
                <w:color w:val="000000"/>
                <w:kern w:val="0"/>
                <w:sz w:val="24"/>
                <w:lang w:bidi="ar"/>
              </w:rP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14" w:type="dxa"/>
            <w:vAlign w:val="center"/>
          </w:tcPr>
          <w:p>
            <w:pPr>
              <w:pStyle w:val="14"/>
            </w:pPr>
            <w:r>
              <w:t>绩效目标</w:t>
            </w:r>
          </w:p>
        </w:tc>
        <w:tc>
          <w:tcPr>
            <w:tcW w:w="12684" w:type="dxa"/>
            <w:gridSpan w:val="6"/>
            <w:vAlign w:val="center"/>
          </w:tcPr>
          <w:p>
            <w:pPr>
              <w:pStyle w:val="16"/>
            </w:pPr>
            <w:r>
              <w:t>1.加快我市制造业重点产业链补链延链强链，大力提升重点产业链核心竞争力和现代化水平。促进全市特色产业高质量赶超发展，特色产业集群营业收入增长率10%以上。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47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114" w:type="dxa"/>
            <w:vAlign w:val="center"/>
          </w:tcPr>
          <w:p>
            <w:pPr>
              <w:pStyle w:val="14"/>
            </w:pPr>
            <w:r>
              <w:t>一级指标</w:t>
            </w:r>
          </w:p>
        </w:tc>
        <w:tc>
          <w:tcPr>
            <w:tcW w:w="2114" w:type="dxa"/>
            <w:vAlign w:val="center"/>
          </w:tcPr>
          <w:p>
            <w:pPr>
              <w:pStyle w:val="14"/>
            </w:pPr>
            <w:r>
              <w:t>二级指标</w:t>
            </w:r>
          </w:p>
        </w:tc>
        <w:tc>
          <w:tcPr>
            <w:tcW w:w="2114" w:type="dxa"/>
            <w:vAlign w:val="center"/>
          </w:tcPr>
          <w:p>
            <w:pPr>
              <w:pStyle w:val="14"/>
            </w:pPr>
            <w:r>
              <w:t>三级指标</w:t>
            </w:r>
          </w:p>
        </w:tc>
        <w:tc>
          <w:tcPr>
            <w:tcW w:w="4228" w:type="dxa"/>
            <w:vAlign w:val="center"/>
          </w:tcPr>
          <w:p>
            <w:pPr>
              <w:pStyle w:val="14"/>
            </w:pPr>
            <w:r>
              <w:t>绩效指标描述</w:t>
            </w:r>
          </w:p>
        </w:tc>
        <w:tc>
          <w:tcPr>
            <w:tcW w:w="2114" w:type="dxa"/>
            <w:vAlign w:val="center"/>
          </w:tcPr>
          <w:p>
            <w:pPr>
              <w:pStyle w:val="14"/>
            </w:pPr>
            <w:r>
              <w:t>指标值</w:t>
            </w:r>
          </w:p>
        </w:tc>
        <w:tc>
          <w:tcPr>
            <w:tcW w:w="2114"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产出指标</w:t>
            </w:r>
          </w:p>
        </w:tc>
        <w:tc>
          <w:tcPr>
            <w:tcW w:w="2114" w:type="dxa"/>
            <w:vAlign w:val="center"/>
          </w:tcPr>
          <w:p>
            <w:pPr>
              <w:pStyle w:val="16"/>
            </w:pPr>
            <w:r>
              <w:t>数量指标</w:t>
            </w:r>
          </w:p>
        </w:tc>
        <w:tc>
          <w:tcPr>
            <w:tcW w:w="2114" w:type="dxa"/>
            <w:vAlign w:val="center"/>
          </w:tcPr>
          <w:p>
            <w:pPr>
              <w:pStyle w:val="16"/>
            </w:pPr>
            <w:r>
              <w:t>新增“专精特新”企业数</w:t>
            </w:r>
          </w:p>
        </w:tc>
        <w:tc>
          <w:tcPr>
            <w:tcW w:w="4228" w:type="dxa"/>
            <w:vAlign w:val="center"/>
          </w:tcPr>
          <w:p>
            <w:pPr>
              <w:pStyle w:val="16"/>
            </w:pPr>
            <w:r>
              <w:t>年度新增“专精特新”企业数量</w:t>
            </w:r>
          </w:p>
        </w:tc>
        <w:tc>
          <w:tcPr>
            <w:tcW w:w="2114" w:type="dxa"/>
            <w:vAlign w:val="center"/>
          </w:tcPr>
          <w:p>
            <w:pPr>
              <w:pStyle w:val="16"/>
            </w:pPr>
            <w:r>
              <w:t>60个</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超百亿元特色产业集群数量</w:t>
            </w:r>
          </w:p>
        </w:tc>
        <w:tc>
          <w:tcPr>
            <w:tcW w:w="4228" w:type="dxa"/>
            <w:vAlign w:val="center"/>
          </w:tcPr>
          <w:p>
            <w:pPr>
              <w:pStyle w:val="16"/>
            </w:pPr>
            <w:r>
              <w:t>2024年培育主营业务超百亿产业集群数量</w:t>
            </w:r>
          </w:p>
        </w:tc>
        <w:tc>
          <w:tcPr>
            <w:tcW w:w="2114" w:type="dxa"/>
            <w:vAlign w:val="center"/>
          </w:tcPr>
          <w:p>
            <w:pPr>
              <w:pStyle w:val="16"/>
            </w:pPr>
            <w:r>
              <w:t>19个</w:t>
            </w:r>
          </w:p>
        </w:tc>
        <w:tc>
          <w:tcPr>
            <w:tcW w:w="2114" w:type="dxa"/>
            <w:vAlign w:val="center"/>
          </w:tcPr>
          <w:p>
            <w:pPr>
              <w:pStyle w:val="16"/>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数量指标</w:t>
            </w:r>
          </w:p>
        </w:tc>
        <w:tc>
          <w:tcPr>
            <w:tcW w:w="2114" w:type="dxa"/>
            <w:vAlign w:val="center"/>
          </w:tcPr>
          <w:p>
            <w:pPr>
              <w:pStyle w:val="16"/>
            </w:pPr>
            <w:r>
              <w:t>实施邢台市重点工业技术改造项目个数</w:t>
            </w:r>
          </w:p>
        </w:tc>
        <w:tc>
          <w:tcPr>
            <w:tcW w:w="4228" w:type="dxa"/>
            <w:vAlign w:val="center"/>
          </w:tcPr>
          <w:p>
            <w:pPr>
              <w:pStyle w:val="16"/>
            </w:pPr>
            <w:r>
              <w:t>2024实施邢台市重点工业技术改造项目数量</w:t>
            </w:r>
          </w:p>
        </w:tc>
        <w:tc>
          <w:tcPr>
            <w:tcW w:w="2114" w:type="dxa"/>
            <w:vAlign w:val="center"/>
          </w:tcPr>
          <w:p>
            <w:pPr>
              <w:pStyle w:val="16"/>
            </w:pPr>
            <w:r>
              <w:t>≥100个</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质量指标</w:t>
            </w:r>
          </w:p>
        </w:tc>
        <w:tc>
          <w:tcPr>
            <w:tcW w:w="2114" w:type="dxa"/>
            <w:vAlign w:val="center"/>
          </w:tcPr>
          <w:p>
            <w:pPr>
              <w:pStyle w:val="16"/>
            </w:pPr>
            <w:r>
              <w:t>工作完成率</w:t>
            </w:r>
          </w:p>
        </w:tc>
        <w:tc>
          <w:tcPr>
            <w:tcW w:w="4228" w:type="dxa"/>
            <w:vAlign w:val="center"/>
          </w:tcPr>
          <w:p>
            <w:pPr>
              <w:pStyle w:val="16"/>
            </w:pPr>
            <w:r>
              <w:t>各项任务指标完成率</w:t>
            </w:r>
          </w:p>
        </w:tc>
        <w:tc>
          <w:tcPr>
            <w:tcW w:w="2114" w:type="dxa"/>
            <w:vAlign w:val="center"/>
          </w:tcPr>
          <w:p>
            <w:pPr>
              <w:pStyle w:val="16"/>
            </w:pPr>
            <w:r>
              <w:t>≥95%</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时效指标</w:t>
            </w:r>
          </w:p>
        </w:tc>
        <w:tc>
          <w:tcPr>
            <w:tcW w:w="2114" w:type="dxa"/>
            <w:vAlign w:val="center"/>
          </w:tcPr>
          <w:p>
            <w:pPr>
              <w:pStyle w:val="16"/>
            </w:pPr>
            <w:r>
              <w:t>工作完成及时率</w:t>
            </w:r>
          </w:p>
        </w:tc>
        <w:tc>
          <w:tcPr>
            <w:tcW w:w="4228" w:type="dxa"/>
            <w:vAlign w:val="center"/>
          </w:tcPr>
          <w:p>
            <w:pPr>
              <w:pStyle w:val="16"/>
            </w:pPr>
            <w:r>
              <w:t>各项任务指标完成时限</w:t>
            </w:r>
          </w:p>
        </w:tc>
        <w:tc>
          <w:tcPr>
            <w:tcW w:w="2114" w:type="dxa"/>
            <w:vAlign w:val="center"/>
          </w:tcPr>
          <w:p>
            <w:pPr>
              <w:pStyle w:val="16"/>
            </w:pPr>
            <w:r>
              <w:t>2024年底</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支出成本</w:t>
            </w:r>
          </w:p>
        </w:tc>
        <w:tc>
          <w:tcPr>
            <w:tcW w:w="4228" w:type="dxa"/>
            <w:vAlign w:val="center"/>
          </w:tcPr>
          <w:p>
            <w:pPr>
              <w:pStyle w:val="16"/>
            </w:pPr>
            <w:r>
              <w:t>年度工作总成本</w:t>
            </w:r>
          </w:p>
        </w:tc>
        <w:tc>
          <w:tcPr>
            <w:tcW w:w="2114" w:type="dxa"/>
            <w:vAlign w:val="center"/>
          </w:tcPr>
          <w:p>
            <w:pPr>
              <w:pStyle w:val="16"/>
            </w:pPr>
            <w:r>
              <w:t>≤30万元</w:t>
            </w:r>
          </w:p>
        </w:tc>
        <w:tc>
          <w:tcPr>
            <w:tcW w:w="2114" w:type="dxa"/>
            <w:vAlign w:val="center"/>
          </w:tcPr>
          <w:p>
            <w:pPr>
              <w:pStyle w:val="16"/>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差旅费</w:t>
            </w:r>
          </w:p>
        </w:tc>
        <w:tc>
          <w:tcPr>
            <w:tcW w:w="4228" w:type="dxa"/>
            <w:vAlign w:val="center"/>
          </w:tcPr>
          <w:p>
            <w:pPr>
              <w:pStyle w:val="16"/>
            </w:pPr>
            <w:r>
              <w:t>因业务需求产生的差旅费</w:t>
            </w:r>
          </w:p>
        </w:tc>
        <w:tc>
          <w:tcPr>
            <w:tcW w:w="2114" w:type="dxa"/>
            <w:vAlign w:val="center"/>
          </w:tcPr>
          <w:p>
            <w:pPr>
              <w:pStyle w:val="16"/>
            </w:pPr>
            <w:r>
              <w:t>≤180元/人/天</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成本指标</w:t>
            </w:r>
          </w:p>
        </w:tc>
        <w:tc>
          <w:tcPr>
            <w:tcW w:w="2114" w:type="dxa"/>
            <w:vAlign w:val="center"/>
          </w:tcPr>
          <w:p>
            <w:pPr>
              <w:pStyle w:val="16"/>
            </w:pPr>
            <w:r>
              <w:t>评审专家费用</w:t>
            </w:r>
          </w:p>
        </w:tc>
        <w:tc>
          <w:tcPr>
            <w:tcW w:w="4228" w:type="dxa"/>
            <w:vAlign w:val="center"/>
          </w:tcPr>
          <w:p>
            <w:pPr>
              <w:pStyle w:val="16"/>
            </w:pPr>
            <w:r>
              <w:t>项目评审产生聘请专家费用</w:t>
            </w:r>
          </w:p>
        </w:tc>
        <w:tc>
          <w:tcPr>
            <w:tcW w:w="2114" w:type="dxa"/>
            <w:vAlign w:val="center"/>
          </w:tcPr>
          <w:p>
            <w:pPr>
              <w:pStyle w:val="16"/>
            </w:pPr>
            <w:r>
              <w:t>≤1500元/人/天</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restart"/>
            <w:vAlign w:val="center"/>
          </w:tcPr>
          <w:p>
            <w:pPr>
              <w:pStyle w:val="17"/>
            </w:pPr>
            <w:r>
              <w:t>效益指标</w:t>
            </w:r>
          </w:p>
        </w:tc>
        <w:tc>
          <w:tcPr>
            <w:tcW w:w="2114" w:type="dxa"/>
            <w:vAlign w:val="center"/>
          </w:tcPr>
          <w:p>
            <w:pPr>
              <w:pStyle w:val="16"/>
            </w:pPr>
            <w:r>
              <w:t>经济效益指标</w:t>
            </w:r>
          </w:p>
        </w:tc>
        <w:tc>
          <w:tcPr>
            <w:tcW w:w="2114" w:type="dxa"/>
            <w:vAlign w:val="center"/>
          </w:tcPr>
          <w:p>
            <w:pPr>
              <w:pStyle w:val="16"/>
            </w:pPr>
            <w:r>
              <w:t>特色产业集群营业收入增长率</w:t>
            </w:r>
          </w:p>
        </w:tc>
        <w:tc>
          <w:tcPr>
            <w:tcW w:w="4228" w:type="dxa"/>
            <w:vAlign w:val="center"/>
          </w:tcPr>
          <w:p>
            <w:pPr>
              <w:pStyle w:val="16"/>
            </w:pPr>
            <w:r>
              <w:t>年度特色产业集群营业收入增长率</w:t>
            </w:r>
          </w:p>
        </w:tc>
        <w:tc>
          <w:tcPr>
            <w:tcW w:w="2114" w:type="dxa"/>
            <w:vAlign w:val="center"/>
          </w:tcPr>
          <w:p>
            <w:pPr>
              <w:pStyle w:val="16"/>
            </w:pPr>
            <w:r>
              <w:t>≥10%</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社会效益指标</w:t>
            </w:r>
          </w:p>
        </w:tc>
        <w:tc>
          <w:tcPr>
            <w:tcW w:w="2114" w:type="dxa"/>
            <w:vAlign w:val="center"/>
          </w:tcPr>
          <w:p>
            <w:pPr>
              <w:pStyle w:val="16"/>
            </w:pPr>
            <w:r>
              <w:t>数字化改造</w:t>
            </w:r>
          </w:p>
        </w:tc>
        <w:tc>
          <w:tcPr>
            <w:tcW w:w="4228" w:type="dxa"/>
            <w:vAlign w:val="center"/>
          </w:tcPr>
          <w:p>
            <w:pPr>
              <w:pStyle w:val="16"/>
            </w:pPr>
            <w:r>
              <w:t>数字化改造提升项目数量</w:t>
            </w:r>
          </w:p>
        </w:tc>
        <w:tc>
          <w:tcPr>
            <w:tcW w:w="2114" w:type="dxa"/>
            <w:vAlign w:val="center"/>
          </w:tcPr>
          <w:p>
            <w:pPr>
              <w:pStyle w:val="16"/>
            </w:pPr>
            <w:r>
              <w:t>≥13个</w:t>
            </w:r>
          </w:p>
        </w:tc>
        <w:tc>
          <w:tcPr>
            <w:tcW w:w="2114" w:type="dxa"/>
            <w:vAlign w:val="center"/>
          </w:tcPr>
          <w:p>
            <w:pPr>
              <w:pStyle w:val="16"/>
            </w:pPr>
            <w:r>
              <w:t>《关于印发邢台市特色产业提质升级实施意见（2021-2025年）的通知》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生态效益指标</w:t>
            </w:r>
          </w:p>
        </w:tc>
        <w:tc>
          <w:tcPr>
            <w:tcW w:w="2114" w:type="dxa"/>
            <w:vAlign w:val="center"/>
          </w:tcPr>
          <w:p>
            <w:pPr>
              <w:pStyle w:val="16"/>
            </w:pPr>
            <w:r>
              <w:t>绿色化发展</w:t>
            </w:r>
          </w:p>
        </w:tc>
        <w:tc>
          <w:tcPr>
            <w:tcW w:w="4228" w:type="dxa"/>
            <w:vAlign w:val="center"/>
          </w:tcPr>
          <w:p>
            <w:pPr>
              <w:pStyle w:val="16"/>
            </w:pPr>
            <w:r>
              <w:t>年度新增省级以上绿色工厂数量</w:t>
            </w:r>
          </w:p>
        </w:tc>
        <w:tc>
          <w:tcPr>
            <w:tcW w:w="2114" w:type="dxa"/>
            <w:vAlign w:val="center"/>
          </w:tcPr>
          <w:p>
            <w:pPr>
              <w:pStyle w:val="16"/>
            </w:pPr>
            <w:r>
              <w:t>≥5个</w:t>
            </w:r>
          </w:p>
        </w:tc>
        <w:tc>
          <w:tcPr>
            <w:tcW w:w="2114" w:type="dxa"/>
            <w:vAlign w:val="center"/>
          </w:tcPr>
          <w:p>
            <w:pPr>
              <w:pStyle w:val="16"/>
            </w:pPr>
            <w:r>
              <w:t>《邢台市人民政府关于支持制造业重点产业链高质量发展的实施意见》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Merge w:val="continue"/>
            <w:vAlign w:val="center"/>
          </w:tcPr>
          <w:p/>
        </w:tc>
        <w:tc>
          <w:tcPr>
            <w:tcW w:w="2114" w:type="dxa"/>
            <w:vAlign w:val="center"/>
          </w:tcPr>
          <w:p>
            <w:pPr>
              <w:pStyle w:val="16"/>
            </w:pPr>
            <w:r>
              <w:t>可持续影响指标</w:t>
            </w:r>
          </w:p>
        </w:tc>
        <w:tc>
          <w:tcPr>
            <w:tcW w:w="2114" w:type="dxa"/>
            <w:vAlign w:val="center"/>
          </w:tcPr>
          <w:p>
            <w:pPr>
              <w:pStyle w:val="16"/>
            </w:pPr>
            <w:r>
              <w:t>不涉及</w:t>
            </w:r>
          </w:p>
        </w:tc>
        <w:tc>
          <w:tcPr>
            <w:tcW w:w="4228" w:type="dxa"/>
            <w:vAlign w:val="center"/>
          </w:tcPr>
          <w:p>
            <w:pPr>
              <w:pStyle w:val="16"/>
            </w:pPr>
            <w:r>
              <w:t>不涉及</w:t>
            </w:r>
          </w:p>
        </w:tc>
        <w:tc>
          <w:tcPr>
            <w:tcW w:w="2114" w:type="dxa"/>
            <w:vAlign w:val="center"/>
          </w:tcPr>
          <w:p>
            <w:pPr>
              <w:pStyle w:val="16"/>
            </w:pPr>
            <w:r>
              <w:t>不涉及</w:t>
            </w:r>
          </w:p>
        </w:tc>
        <w:tc>
          <w:tcPr>
            <w:tcW w:w="2114" w:type="dxa"/>
            <w:vAlign w:val="center"/>
          </w:tcPr>
          <w:p>
            <w:pPr>
              <w:pStyle w:val="1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114" w:type="dxa"/>
            <w:vAlign w:val="center"/>
          </w:tcPr>
          <w:p>
            <w:pPr>
              <w:pStyle w:val="17"/>
            </w:pPr>
            <w:r>
              <w:t>满意度指标</w:t>
            </w:r>
          </w:p>
        </w:tc>
        <w:tc>
          <w:tcPr>
            <w:tcW w:w="2114" w:type="dxa"/>
            <w:vAlign w:val="center"/>
          </w:tcPr>
          <w:p>
            <w:pPr>
              <w:pStyle w:val="16"/>
            </w:pPr>
            <w:r>
              <w:t>服务对象满意度指标</w:t>
            </w:r>
          </w:p>
        </w:tc>
        <w:tc>
          <w:tcPr>
            <w:tcW w:w="2114" w:type="dxa"/>
            <w:vAlign w:val="center"/>
          </w:tcPr>
          <w:p>
            <w:pPr>
              <w:pStyle w:val="16"/>
            </w:pPr>
            <w:r>
              <w:t>服务对象满意度</w:t>
            </w:r>
          </w:p>
        </w:tc>
        <w:tc>
          <w:tcPr>
            <w:tcW w:w="4228" w:type="dxa"/>
            <w:vAlign w:val="center"/>
          </w:tcPr>
          <w:p>
            <w:pPr>
              <w:pStyle w:val="16"/>
            </w:pPr>
            <w:r>
              <w:t>服务对象满意度</w:t>
            </w:r>
          </w:p>
        </w:tc>
        <w:tc>
          <w:tcPr>
            <w:tcW w:w="2114" w:type="dxa"/>
            <w:vAlign w:val="center"/>
          </w:tcPr>
          <w:p>
            <w:pPr>
              <w:pStyle w:val="16"/>
            </w:pPr>
            <w:r>
              <w:t>≥90%</w:t>
            </w:r>
          </w:p>
        </w:tc>
        <w:tc>
          <w:tcPr>
            <w:tcW w:w="2114" w:type="dxa"/>
            <w:vAlign w:val="center"/>
          </w:tcPr>
          <w:p>
            <w:pPr>
              <w:pStyle w:val="16"/>
            </w:pPr>
            <w:r>
              <w:t>抽查</w:t>
            </w:r>
          </w:p>
        </w:tc>
      </w:tr>
    </w:tbl>
    <w:p>
      <w:pPr>
        <w:sectPr>
          <w:pgSz w:w="16840" w:h="11900" w:orient="landscape"/>
          <w:pgMar w:top="1361" w:right="1020" w:bottom="1134" w:left="1020" w:header="720" w:footer="720" w:gutter="0"/>
          <w:cols w:space="720" w:num="1"/>
        </w:sectPr>
      </w:pPr>
    </w:p>
    <w:p>
      <w:pPr>
        <w:spacing w:before="10" w:after="10" w:line="240" w:lineRule="auto"/>
        <w:ind w:firstLine="640" w:firstLineChars="200"/>
        <w:jc w:val="left"/>
        <w:outlineLvl w:val="2"/>
      </w:pPr>
      <w:bookmarkStart w:id="14" w:name="_Toc_3_3_0000000016"/>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147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902" w:type="dxa"/>
            <w:gridSpan w:val="7"/>
            <w:tcBorders>
              <w:top w:val="single" w:color="FFFFFF" w:sz="6" w:space="0"/>
              <w:left w:val="single" w:color="FFFFFF" w:sz="6" w:space="0"/>
              <w:right w:val="single" w:color="FFFFFF" w:sz="6" w:space="0"/>
            </w:tcBorders>
            <w:vAlign w:val="center"/>
          </w:tcPr>
          <w:p>
            <w:pPr>
              <w:pStyle w:val="13"/>
            </w:pPr>
            <w:r>
              <w:t>501邢台市工业和信息化局</w:t>
            </w:r>
          </w:p>
        </w:tc>
        <w:tc>
          <w:tcPr>
            <w:tcW w:w="7888"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2" w:type="dxa"/>
            <w:gridSpan w:val="2"/>
            <w:vAlign w:val="center"/>
          </w:tcPr>
          <w:p>
            <w:pPr>
              <w:pStyle w:val="14"/>
            </w:pPr>
            <w:r>
              <w:t>政府采购项目来源</w:t>
            </w:r>
          </w:p>
        </w:tc>
        <w:tc>
          <w:tcPr>
            <w:tcW w:w="986" w:type="dxa"/>
            <w:vMerge w:val="restart"/>
            <w:vAlign w:val="center"/>
          </w:tcPr>
          <w:p>
            <w:pPr>
              <w:pStyle w:val="14"/>
            </w:pPr>
            <w:r>
              <w:t>采购物品名称</w:t>
            </w:r>
          </w:p>
        </w:tc>
        <w:tc>
          <w:tcPr>
            <w:tcW w:w="986" w:type="dxa"/>
            <w:vMerge w:val="restart"/>
            <w:vAlign w:val="center"/>
          </w:tcPr>
          <w:p>
            <w:pPr>
              <w:pStyle w:val="14"/>
            </w:pPr>
            <w:r>
              <w:t>政府采购目录序号</w:t>
            </w:r>
          </w:p>
        </w:tc>
        <w:tc>
          <w:tcPr>
            <w:tcW w:w="986" w:type="dxa"/>
            <w:vMerge w:val="restart"/>
            <w:vAlign w:val="center"/>
          </w:tcPr>
          <w:p>
            <w:pPr>
              <w:pStyle w:val="14"/>
            </w:pPr>
            <w:r>
              <w:t>计量  单位</w:t>
            </w:r>
          </w:p>
        </w:tc>
        <w:tc>
          <w:tcPr>
            <w:tcW w:w="986" w:type="dxa"/>
            <w:vMerge w:val="restart"/>
            <w:vAlign w:val="center"/>
          </w:tcPr>
          <w:p>
            <w:pPr>
              <w:pStyle w:val="14"/>
            </w:pPr>
            <w:r>
              <w:t>数量</w:t>
            </w:r>
          </w:p>
        </w:tc>
        <w:tc>
          <w:tcPr>
            <w:tcW w:w="986" w:type="dxa"/>
            <w:vMerge w:val="restart"/>
            <w:vAlign w:val="center"/>
          </w:tcPr>
          <w:p>
            <w:pPr>
              <w:pStyle w:val="14"/>
            </w:pPr>
            <w:r>
              <w:t>单价</w:t>
            </w:r>
          </w:p>
        </w:tc>
        <w:tc>
          <w:tcPr>
            <w:tcW w:w="6902" w:type="dxa"/>
            <w:gridSpan w:val="7"/>
            <w:vAlign w:val="center"/>
          </w:tcPr>
          <w:p>
            <w:pPr>
              <w:pStyle w:val="14"/>
            </w:pPr>
            <w:r>
              <w:t>政府采购金额（当年部门预算安排资金）</w:t>
            </w:r>
          </w:p>
        </w:tc>
        <w:tc>
          <w:tcPr>
            <w:tcW w:w="986" w:type="dxa"/>
            <w:vMerge w:val="restart"/>
            <w:vAlign w:val="center"/>
          </w:tcPr>
          <w:p>
            <w:pPr>
              <w:pStyle w:val="14"/>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86" w:type="dxa"/>
            <w:vAlign w:val="center"/>
          </w:tcPr>
          <w:p>
            <w:pPr>
              <w:pStyle w:val="14"/>
            </w:pPr>
            <w:r>
              <w:t>项目名称</w:t>
            </w:r>
          </w:p>
        </w:tc>
        <w:tc>
          <w:tcPr>
            <w:tcW w:w="986" w:type="dxa"/>
            <w:vAlign w:val="center"/>
          </w:tcPr>
          <w:p>
            <w:pPr>
              <w:pStyle w:val="14"/>
            </w:pPr>
            <w:r>
              <w:t>预算    资金</w:t>
            </w: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Merge w:val="continue"/>
          </w:tcPr>
          <w:p/>
        </w:tc>
        <w:tc>
          <w:tcPr>
            <w:tcW w:w="986" w:type="dxa"/>
            <w:vAlign w:val="center"/>
          </w:tcPr>
          <w:p>
            <w:pPr>
              <w:pStyle w:val="14"/>
            </w:pPr>
            <w:r>
              <w:t>合计</w:t>
            </w:r>
          </w:p>
        </w:tc>
        <w:tc>
          <w:tcPr>
            <w:tcW w:w="986" w:type="dxa"/>
            <w:vAlign w:val="center"/>
          </w:tcPr>
          <w:p>
            <w:pPr>
              <w:pStyle w:val="14"/>
            </w:pPr>
            <w:r>
              <w:t>一般公共预算拨款</w:t>
            </w:r>
          </w:p>
        </w:tc>
        <w:tc>
          <w:tcPr>
            <w:tcW w:w="986" w:type="dxa"/>
            <w:vAlign w:val="center"/>
          </w:tcPr>
          <w:p>
            <w:pPr>
              <w:pStyle w:val="14"/>
            </w:pPr>
            <w:r>
              <w:t>基金预算拨款</w:t>
            </w:r>
          </w:p>
        </w:tc>
        <w:tc>
          <w:tcPr>
            <w:tcW w:w="986" w:type="dxa"/>
            <w:vAlign w:val="center"/>
          </w:tcPr>
          <w:p>
            <w:pPr>
              <w:pStyle w:val="14"/>
            </w:pPr>
            <w:r>
              <w:t>国有资本经营预算拨款</w:t>
            </w:r>
          </w:p>
        </w:tc>
        <w:tc>
          <w:tcPr>
            <w:tcW w:w="986" w:type="dxa"/>
            <w:vAlign w:val="center"/>
          </w:tcPr>
          <w:p>
            <w:pPr>
              <w:pStyle w:val="14"/>
            </w:pPr>
            <w:r>
              <w:t>财政专户核拨</w:t>
            </w:r>
          </w:p>
        </w:tc>
        <w:tc>
          <w:tcPr>
            <w:tcW w:w="986" w:type="dxa"/>
            <w:vAlign w:val="center"/>
          </w:tcPr>
          <w:p>
            <w:pPr>
              <w:pStyle w:val="14"/>
            </w:pPr>
            <w:r>
              <w:t>单位    资金</w:t>
            </w:r>
          </w:p>
        </w:tc>
        <w:tc>
          <w:tcPr>
            <w:tcW w:w="986" w:type="dxa"/>
            <w:vAlign w:val="center"/>
          </w:tcPr>
          <w:p>
            <w:pPr>
              <w:pStyle w:val="14"/>
            </w:pPr>
            <w:r>
              <w:t>上年结转结余</w:t>
            </w:r>
          </w:p>
        </w:tc>
        <w:tc>
          <w:tcPr>
            <w:tcW w:w="9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986" w:type="dxa"/>
            <w:vAlign w:val="center"/>
          </w:tcPr>
          <w:p>
            <w:pPr>
              <w:pStyle w:val="16"/>
            </w:pPr>
          </w:p>
        </w:tc>
        <w:tc>
          <w:tcPr>
            <w:tcW w:w="986" w:type="dxa"/>
            <w:vAlign w:val="center"/>
          </w:tcPr>
          <w:p>
            <w:pPr>
              <w:pStyle w:val="15"/>
            </w:pPr>
          </w:p>
        </w:tc>
        <w:tc>
          <w:tcPr>
            <w:tcW w:w="986" w:type="dxa"/>
            <w:vAlign w:val="center"/>
          </w:tcPr>
          <w:p>
            <w:pPr>
              <w:pStyle w:val="16"/>
            </w:pPr>
          </w:p>
        </w:tc>
        <w:tc>
          <w:tcPr>
            <w:tcW w:w="986" w:type="dxa"/>
            <w:vAlign w:val="center"/>
          </w:tcPr>
          <w:p>
            <w:pPr>
              <w:pStyle w:val="16"/>
            </w:pPr>
          </w:p>
        </w:tc>
        <w:tc>
          <w:tcPr>
            <w:tcW w:w="986" w:type="dxa"/>
            <w:vAlign w:val="center"/>
          </w:tcPr>
          <w:p>
            <w:pPr>
              <w:pStyle w:val="17"/>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c>
          <w:tcPr>
            <w:tcW w:w="986"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rPr>
          <w:rFonts w:hint="eastAsia" w:ascii="黑体" w:hAnsi="黑体" w:eastAsia="黑体" w:cs="黑体"/>
          <w:color w:val="000000"/>
          <w:sz w:val="32"/>
          <w:lang w:val="en-US" w:eastAsia="zh-CN"/>
        </w:rPr>
      </w:pPr>
    </w:p>
    <w:p>
      <w:pPr>
        <w:spacing w:before="10" w:after="10" w:line="240" w:lineRule="auto"/>
        <w:ind w:firstLine="640"/>
        <w:jc w:val="left"/>
        <w:outlineLvl w:val="2"/>
      </w:pPr>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邢台市工业和信息化局（含所属单位）上年末固定资产金额为</w:t>
      </w:r>
      <w:r>
        <w:rPr>
          <w:rFonts w:hint="eastAsia" w:eastAsia="方正仿宋_GBK" w:cs="Times New Roman"/>
          <w:b w:val="0"/>
          <w:color w:val="000000"/>
          <w:sz w:val="28"/>
          <w:lang w:val="en-US" w:eastAsia="zh-CN"/>
        </w:rPr>
        <w:t>414.43</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3913"/>
        <w:gridCol w:w="59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501邢台市工业和信息化局</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4"/>
            </w:pPr>
            <w:r>
              <w:t>项   目</w:t>
            </w:r>
          </w:p>
        </w:tc>
        <w:tc>
          <w:tcPr>
            <w:tcW w:w="3913" w:type="dxa"/>
            <w:vAlign w:val="center"/>
          </w:tcPr>
          <w:p>
            <w:pPr>
              <w:pStyle w:val="14"/>
            </w:pPr>
            <w:r>
              <w:t>数量</w:t>
            </w:r>
          </w:p>
        </w:tc>
        <w:tc>
          <w:tcPr>
            <w:tcW w:w="5953"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资产总额</w:t>
            </w:r>
          </w:p>
        </w:tc>
        <w:tc>
          <w:tcPr>
            <w:tcW w:w="3913" w:type="dxa"/>
            <w:vAlign w:val="center"/>
          </w:tcPr>
          <w:p>
            <w:pPr>
              <w:pStyle w:val="17"/>
            </w:pPr>
          </w:p>
        </w:tc>
        <w:tc>
          <w:tcPr>
            <w:tcW w:w="5953" w:type="dxa"/>
            <w:vAlign w:val="center"/>
          </w:tcPr>
          <w:p>
            <w:pPr>
              <w:pStyle w:val="15"/>
              <w:rPr>
                <w:rFonts w:hint="default" w:eastAsia="方正书宋_GBK"/>
                <w:lang w:val="en-US" w:eastAsia="zh-CN"/>
              </w:rPr>
            </w:pPr>
            <w:r>
              <w:rPr>
                <w:rFonts w:hint="eastAsia"/>
                <w:lang w:val="en-US" w:eastAsia="zh-CN"/>
              </w:rPr>
              <w:t>414.43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1、房屋（平方米）</w:t>
            </w:r>
          </w:p>
        </w:tc>
        <w:tc>
          <w:tcPr>
            <w:tcW w:w="3913" w:type="dxa"/>
            <w:vAlign w:val="center"/>
          </w:tcPr>
          <w:p>
            <w:pPr>
              <w:pStyle w:val="17"/>
              <w:rPr>
                <w:rFonts w:hint="default" w:eastAsia="方正书宋_GBK"/>
                <w:lang w:val="en-US" w:eastAsia="zh-CN"/>
              </w:rPr>
            </w:pPr>
            <w:r>
              <w:rPr>
                <w:rFonts w:hint="eastAsia"/>
                <w:lang w:val="en-US" w:eastAsia="zh-CN"/>
              </w:rPr>
              <w:t>1225</w:t>
            </w:r>
          </w:p>
        </w:tc>
        <w:tc>
          <w:tcPr>
            <w:tcW w:w="5953"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　　其中：办公用房（平方米）</w:t>
            </w:r>
          </w:p>
        </w:tc>
        <w:tc>
          <w:tcPr>
            <w:tcW w:w="3913" w:type="dxa"/>
            <w:vAlign w:val="center"/>
          </w:tcPr>
          <w:p>
            <w:pPr>
              <w:pStyle w:val="17"/>
              <w:rPr>
                <w:rFonts w:hint="default" w:eastAsia="方正书宋_GBK"/>
                <w:lang w:val="en-US" w:eastAsia="zh-CN"/>
              </w:rPr>
            </w:pPr>
            <w:r>
              <w:rPr>
                <w:rFonts w:hint="eastAsia"/>
                <w:lang w:val="en-US" w:eastAsia="zh-CN"/>
              </w:rPr>
              <w:t>1225</w:t>
            </w:r>
          </w:p>
        </w:tc>
        <w:tc>
          <w:tcPr>
            <w:tcW w:w="5953" w:type="dxa"/>
            <w:vAlign w:val="center"/>
          </w:tcPr>
          <w:p>
            <w:pPr>
              <w:pStyle w:val="15"/>
            </w:pPr>
            <w:r>
              <w:t>174.00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2、车辆（台、辆）</w:t>
            </w:r>
          </w:p>
        </w:tc>
        <w:tc>
          <w:tcPr>
            <w:tcW w:w="3913" w:type="dxa"/>
            <w:vAlign w:val="center"/>
          </w:tcPr>
          <w:p>
            <w:pPr>
              <w:pStyle w:val="17"/>
            </w:pPr>
            <w:r>
              <w:t>3</w:t>
            </w:r>
          </w:p>
        </w:tc>
        <w:tc>
          <w:tcPr>
            <w:tcW w:w="5953" w:type="dxa"/>
            <w:vAlign w:val="center"/>
          </w:tcPr>
          <w:p>
            <w:pPr>
              <w:pStyle w:val="15"/>
            </w:pPr>
            <w:r>
              <w:t>53.60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3、单价在20万元以上的设备</w:t>
            </w:r>
          </w:p>
        </w:tc>
        <w:tc>
          <w:tcPr>
            <w:tcW w:w="3913" w:type="dxa"/>
            <w:vAlign w:val="center"/>
          </w:tcPr>
          <w:p>
            <w:pPr>
              <w:pStyle w:val="17"/>
            </w:pPr>
          </w:p>
        </w:tc>
        <w:tc>
          <w:tcPr>
            <w:tcW w:w="595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6"/>
            </w:pPr>
            <w:r>
              <w:t>4、其他固定资产</w:t>
            </w:r>
          </w:p>
        </w:tc>
        <w:tc>
          <w:tcPr>
            <w:tcW w:w="3913" w:type="dxa"/>
            <w:vAlign w:val="center"/>
          </w:tcPr>
          <w:p>
            <w:pPr>
              <w:pStyle w:val="17"/>
            </w:pPr>
          </w:p>
        </w:tc>
        <w:tc>
          <w:tcPr>
            <w:tcW w:w="5953" w:type="dxa"/>
            <w:vAlign w:val="center"/>
          </w:tcPr>
          <w:p>
            <w:pPr>
              <w:pStyle w:val="15"/>
              <w:rPr>
                <w:rFonts w:hint="default" w:eastAsia="方正书宋_GBK"/>
                <w:lang w:val="en-US" w:eastAsia="zh-CN"/>
              </w:rPr>
            </w:pPr>
            <w:r>
              <w:rPr>
                <w:rFonts w:hint="eastAsia"/>
                <w:lang w:val="en-US" w:eastAsia="zh-CN"/>
              </w:rPr>
              <w:t>186.83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6"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p>
      <w:pPr>
        <w:spacing w:before="0" w:after="0" w:line="500" w:lineRule="exact"/>
        <w:ind w:firstLine="560"/>
        <w:jc w:val="left"/>
        <w:outlineLvl w:val="9"/>
        <w:rPr>
          <w:rFonts w:hint="eastAsia" w:eastAsia="方正仿宋_GBK"/>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NzBkNThmNTE5MThjYjMyYWI0ZTExZGM0MzYxN2EifQ=="/>
  </w:docVars>
  <w:rsids>
    <w:rsidRoot w:val="00000000"/>
    <w:rsid w:val="04691722"/>
    <w:rsid w:val="05A04472"/>
    <w:rsid w:val="086F4EDC"/>
    <w:rsid w:val="135D72F3"/>
    <w:rsid w:val="15FF3E44"/>
    <w:rsid w:val="168251B7"/>
    <w:rsid w:val="18B762A4"/>
    <w:rsid w:val="1A1A6308"/>
    <w:rsid w:val="1E932C2B"/>
    <w:rsid w:val="20BA0087"/>
    <w:rsid w:val="248372DC"/>
    <w:rsid w:val="25466F02"/>
    <w:rsid w:val="278B1598"/>
    <w:rsid w:val="2AD2014A"/>
    <w:rsid w:val="2F721F05"/>
    <w:rsid w:val="36631E52"/>
    <w:rsid w:val="366F77CB"/>
    <w:rsid w:val="3BF94CE7"/>
    <w:rsid w:val="44ED1DF3"/>
    <w:rsid w:val="4832149E"/>
    <w:rsid w:val="488C6E00"/>
    <w:rsid w:val="4A602BA6"/>
    <w:rsid w:val="4B50503D"/>
    <w:rsid w:val="4BD249D5"/>
    <w:rsid w:val="4D9A3D6D"/>
    <w:rsid w:val="4E242BEF"/>
    <w:rsid w:val="4F8148A7"/>
    <w:rsid w:val="509B7E5A"/>
    <w:rsid w:val="51A52CE0"/>
    <w:rsid w:val="53EC5CAF"/>
    <w:rsid w:val="57650F48"/>
    <w:rsid w:val="5B8B07A5"/>
    <w:rsid w:val="5C11782A"/>
    <w:rsid w:val="5C710704"/>
    <w:rsid w:val="5F2931A3"/>
    <w:rsid w:val="5FB15A5A"/>
    <w:rsid w:val="60275DCE"/>
    <w:rsid w:val="60EE184A"/>
    <w:rsid w:val="66286A15"/>
    <w:rsid w:val="69BA2969"/>
    <w:rsid w:val="6A743963"/>
    <w:rsid w:val="74E1265B"/>
    <w:rsid w:val="77A83689"/>
    <w:rsid w:val="7AC42674"/>
    <w:rsid w:val="7D58423F"/>
    <w:rsid w:val="7D87553D"/>
    <w:rsid w:val="7DB067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toc 3"/>
    <w:basedOn w:val="1"/>
    <w:next w:val="1"/>
    <w:qFormat/>
    <w:uiPriority w:val="0"/>
    <w:pPr>
      <w:ind w:left="480"/>
    </w:p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fontTable.xml" Type="http://schemas.openxmlformats.org/officeDocument/2006/relationships/fontTable"/><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2023-02-28T17:39:50Z</dcterms:created>
  <dcterms:modified xsi:type="dcterms:W3CDTF">2023-02-28T09:39:50Z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2023-02-28T17:39:50Z</dcterms:created>
  <dcterms:modified xsi:type="dcterms:W3CDTF">2023-02-28T09:39:50Z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2023-02-28T17:39:08Z</dcterms:created>
  <dcterms:modified xsi:type="dcterms:W3CDTF">2023-02-28T09:39:08Z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2023-02-28T17:39:08Z</dcterms:created>
  <dcterms:modified xsi:type="dcterms:W3CDTF">2023-02-28T09:39:08Z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2023-02-28T17:39:08Z</dcterms:created>
  <dcterms:modified xsi:type="dcterms:W3CDTF">2023-02-28T09:39:08Z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2023-02-28T17:39:08Z</dcterms:created>
  <dcterms:modified xsi:type="dcterms:W3CDTF">2023-02-28T09:39:08Z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2023-02-28T17:39:10Z</dcterms:created>
  <dcterms:modified xsi:type="dcterms:W3CDTF">2023-02-28T09:39:10Z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2023-02-28T17:39:11Z</dcterms:created>
  <dcterms:modified xsi:type="dcterms:W3CDTF">2023-02-28T09:39:11Z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2023-02-28T17:39:44Z</dcterms:created>
  <dcterms:modified xsi:type="dcterms:W3CDTF">2023-02-28T09:39:44Z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2023-02-28T17:39:47Z</dcterms:created>
  <dcterms:modified xsi:type="dcterms:W3CDTF">2023-02-28T09:39:47Z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2023-02-28T17:39:08Z</dcterms:created>
  <dcterms:modified xsi:type="dcterms:W3CDTF">2023-02-28T09:39:08Z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2023-02-28T17:39:50Z</dcterms:created>
  <dcterms:modified xsi:type="dcterms:W3CDTF">2023-02-28T09:39:50Z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2023-02-28T17:39:50Z</dcterms:created>
  <dcterms:modified xsi:type="dcterms:W3CDTF">2023-02-28T09:39:50Z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2023-02-28T17:39:48Z</dcterms:created>
  <dcterms:modified xsi:type="dcterms:W3CDTF">2023-02-28T09:39:48Z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2023-02-28T17:39:09Z</dcterms:created>
  <dcterms:modified xsi:type="dcterms:W3CDTF">2023-02-28T09:39:09Z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2023-02-28T17:39:49Z</dcterms:created>
  <dcterms:modified xsi:type="dcterms:W3CDTF">2023-02-28T09:39:49Z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2023-02-28T17:39:23Z</dcterms:created>
  <dcterms:modified xsi:type="dcterms:W3CDTF">2023-02-28T09:39:23Z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2023-02-28T17:39:50Z</dcterms:created>
  <dcterms:modified xsi:type="dcterms:W3CDTF">2023-02-28T09:39:50Z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5e0110-309c-47aa-9f1a-4c8c9a2db810}">
  <ds:schemaRefs/>
</ds:datastoreItem>
</file>

<file path=customXml/itemProps10.xml><?xml version="1.0" encoding="utf-8"?>
<ds:datastoreItem xmlns:ds="http://schemas.openxmlformats.org/officeDocument/2006/customXml" ds:itemID="{3065c3f8-89d1-4bb5-bbc5-790177e346ae}">
  <ds:schemaRefs/>
</ds:datastoreItem>
</file>

<file path=customXml/itemProps11.xml><?xml version="1.0" encoding="utf-8"?>
<ds:datastoreItem xmlns:ds="http://schemas.openxmlformats.org/officeDocument/2006/customXml" ds:itemID="{4032126f-d576-4e89-916e-8cd915f9382a}">
  <ds:schemaRefs/>
</ds:datastoreItem>
</file>

<file path=customXml/itemProps12.xml><?xml version="1.0" encoding="utf-8"?>
<ds:datastoreItem xmlns:ds="http://schemas.openxmlformats.org/officeDocument/2006/customXml" ds:itemID="{405546ba-e2b4-4880-a85f-c719d4acb4cf}">
  <ds:schemaRefs/>
</ds:datastoreItem>
</file>

<file path=customXml/itemProps13.xml><?xml version="1.0" encoding="utf-8"?>
<ds:datastoreItem xmlns:ds="http://schemas.openxmlformats.org/officeDocument/2006/customXml" ds:itemID="{ff695105-13da-4b1b-8685-1dabe7b5c214}">
  <ds:schemaRefs/>
</ds:datastoreItem>
</file>

<file path=customXml/itemProps14.xml><?xml version="1.0" encoding="utf-8"?>
<ds:datastoreItem xmlns:ds="http://schemas.openxmlformats.org/officeDocument/2006/customXml" ds:itemID="{62acaeaa-3327-47e5-b685-bfa9baa73a20}">
  <ds:schemaRefs/>
</ds:datastoreItem>
</file>

<file path=customXml/itemProps15.xml><?xml version="1.0" encoding="utf-8"?>
<ds:datastoreItem xmlns:ds="http://schemas.openxmlformats.org/officeDocument/2006/customXml" ds:itemID="{b9131b52-e69e-4d28-92d6-d650831a76a7}">
  <ds:schemaRefs/>
</ds:datastoreItem>
</file>

<file path=customXml/itemProps16.xml><?xml version="1.0" encoding="utf-8"?>
<ds:datastoreItem xmlns:ds="http://schemas.openxmlformats.org/officeDocument/2006/customXml" ds:itemID="{6c7ebb69-2df4-47b3-b9c9-0de33fabd447}">
  <ds:schemaRefs/>
</ds:datastoreItem>
</file>

<file path=customXml/itemProps17.xml><?xml version="1.0" encoding="utf-8"?>
<ds:datastoreItem xmlns:ds="http://schemas.openxmlformats.org/officeDocument/2006/customXml" ds:itemID="{e9d8c955-02b1-40fc-89d0-2c1ff6d64a87}">
  <ds:schemaRefs/>
</ds:datastoreItem>
</file>

<file path=customXml/itemProps18.xml><?xml version="1.0" encoding="utf-8"?>
<ds:datastoreItem xmlns:ds="http://schemas.openxmlformats.org/officeDocument/2006/customXml" ds:itemID="{3a4225b9-fb8a-45e5-9708-8abeae9ec7ee}">
  <ds:schemaRefs/>
</ds:datastoreItem>
</file>

<file path=customXml/itemProps19.xml><?xml version="1.0" encoding="utf-8"?>
<ds:datastoreItem xmlns:ds="http://schemas.openxmlformats.org/officeDocument/2006/customXml" ds:itemID="{2c10c273-6b14-4deb-9bc1-a6530b92d1b1}">
  <ds:schemaRefs/>
</ds:datastoreItem>
</file>

<file path=customXml/itemProps2.xml><?xml version="1.0" encoding="utf-8"?>
<ds:datastoreItem xmlns:ds="http://schemas.openxmlformats.org/officeDocument/2006/customXml" ds:itemID="{2c2976c7-afa4-4dae-bb11-25921e6e2f52}">
  <ds:schemaRefs/>
</ds:datastoreItem>
</file>

<file path=customXml/itemProps20.xml><?xml version="1.0" encoding="utf-8"?>
<ds:datastoreItem xmlns:ds="http://schemas.openxmlformats.org/officeDocument/2006/customXml" ds:itemID="{76f8b790-2d0e-4b1a-8b6d-1a93b3b949d6}">
  <ds:schemaRefs/>
</ds:datastoreItem>
</file>

<file path=customXml/itemProps21.xml><?xml version="1.0" encoding="utf-8"?>
<ds:datastoreItem xmlns:ds="http://schemas.openxmlformats.org/officeDocument/2006/customXml" ds:itemID="{77be704d-7193-4110-85ae-4ea6c5ab15c4}">
  <ds:schemaRefs/>
</ds:datastoreItem>
</file>

<file path=customXml/itemProps22.xml><?xml version="1.0" encoding="utf-8"?>
<ds:datastoreItem xmlns:ds="http://schemas.openxmlformats.org/officeDocument/2006/customXml" ds:itemID="{6f7f5f97-bbbf-4cad-8371-46941c34bad9}">
  <ds:schemaRefs/>
</ds:datastoreItem>
</file>

<file path=customXml/itemProps23.xml><?xml version="1.0" encoding="utf-8"?>
<ds:datastoreItem xmlns:ds="http://schemas.openxmlformats.org/officeDocument/2006/customXml" ds:itemID="{48eaa723-a5e0-448d-8390-c51f12b44c01}">
  <ds:schemaRefs/>
</ds:datastoreItem>
</file>

<file path=customXml/itemProps24.xml><?xml version="1.0" encoding="utf-8"?>
<ds:datastoreItem xmlns:ds="http://schemas.openxmlformats.org/officeDocument/2006/customXml" ds:itemID="{d835ee83-304d-4587-8b7a-45644db4607e}">
  <ds:schemaRefs/>
</ds:datastoreItem>
</file>

<file path=customXml/itemProps25.xml><?xml version="1.0" encoding="utf-8"?>
<ds:datastoreItem xmlns:ds="http://schemas.openxmlformats.org/officeDocument/2006/customXml" ds:itemID="{4ad753c7-05a3-492c-90c4-8ed81d69dfe3}">
  <ds:schemaRefs/>
</ds:datastoreItem>
</file>

<file path=customXml/itemProps26.xml><?xml version="1.0" encoding="utf-8"?>
<ds:datastoreItem xmlns:ds="http://schemas.openxmlformats.org/officeDocument/2006/customXml" ds:itemID="{d66cc75e-0467-40c9-a749-26f4f1f98975}">
  <ds:schemaRefs/>
</ds:datastoreItem>
</file>

<file path=customXml/itemProps27.xml><?xml version="1.0" encoding="utf-8"?>
<ds:datastoreItem xmlns:ds="http://schemas.openxmlformats.org/officeDocument/2006/customXml" ds:itemID="{069f52b7-9d46-4e24-bd45-2e4b94086c3c}">
  <ds:schemaRefs/>
</ds:datastoreItem>
</file>

<file path=customXml/itemProps28.xml><?xml version="1.0" encoding="utf-8"?>
<ds:datastoreItem xmlns:ds="http://schemas.openxmlformats.org/officeDocument/2006/customXml" ds:itemID="{01d59574-c470-4a52-b047-e60ddbe88399}">
  <ds:schemaRefs/>
</ds:datastoreItem>
</file>

<file path=customXml/itemProps29.xml><?xml version="1.0" encoding="utf-8"?>
<ds:datastoreItem xmlns:ds="http://schemas.openxmlformats.org/officeDocument/2006/customXml" ds:itemID="{477537c1-2832-40be-b83d-49e1a62e5c6c}">
  <ds:schemaRefs/>
</ds:datastoreItem>
</file>

<file path=customXml/itemProps3.xml><?xml version="1.0" encoding="utf-8"?>
<ds:datastoreItem xmlns:ds="http://schemas.openxmlformats.org/officeDocument/2006/customXml" ds:itemID="{db4e88f8-9eac-49df-a148-a8b569e953a3}">
  <ds:schemaRefs/>
</ds:datastoreItem>
</file>

<file path=customXml/itemProps30.xml><?xml version="1.0" encoding="utf-8"?>
<ds:datastoreItem xmlns:ds="http://schemas.openxmlformats.org/officeDocument/2006/customXml" ds:itemID="{f6bd94a1-029d-4756-9a18-5287c2e40ce7}">
  <ds:schemaRefs/>
</ds:datastoreItem>
</file>

<file path=customXml/itemProps31.xml><?xml version="1.0" encoding="utf-8"?>
<ds:datastoreItem xmlns:ds="http://schemas.openxmlformats.org/officeDocument/2006/customXml" ds:itemID="{9663d316-4252-4f04-80e4-c37e9551de47}">
  <ds:schemaRefs/>
</ds:datastoreItem>
</file>

<file path=customXml/itemProps32.xml><?xml version="1.0" encoding="utf-8"?>
<ds:datastoreItem xmlns:ds="http://schemas.openxmlformats.org/officeDocument/2006/customXml" ds:itemID="{d6a65e1c-6d50-4de8-a600-bc8a50053fab}">
  <ds:schemaRefs/>
</ds:datastoreItem>
</file>

<file path=customXml/itemProps33.xml><?xml version="1.0" encoding="utf-8"?>
<ds:datastoreItem xmlns:ds="http://schemas.openxmlformats.org/officeDocument/2006/customXml" ds:itemID="{0e0959ad-124e-4a32-a326-3a790ba668be}">
  <ds:schemaRefs/>
</ds:datastoreItem>
</file>

<file path=customXml/itemProps34.xml><?xml version="1.0" encoding="utf-8"?>
<ds:datastoreItem xmlns:ds="http://schemas.openxmlformats.org/officeDocument/2006/customXml" ds:itemID="{68d34390-e4a3-4062-bdb6-45aafc856f35}">
  <ds:schemaRefs/>
</ds:datastoreItem>
</file>

<file path=customXml/itemProps35.xml><?xml version="1.0" encoding="utf-8"?>
<ds:datastoreItem xmlns:ds="http://schemas.openxmlformats.org/officeDocument/2006/customXml" ds:itemID="{e70c5e50-39b9-428d-8f8c-5298881cd204}">
  <ds:schemaRefs/>
</ds:datastoreItem>
</file>

<file path=customXml/itemProps36.xml><?xml version="1.0" encoding="utf-8"?>
<ds:datastoreItem xmlns:ds="http://schemas.openxmlformats.org/officeDocument/2006/customXml" ds:itemID="{98a65e2a-cdeb-4fa0-b47a-0a92c158b38d}">
  <ds:schemaRefs/>
</ds:datastoreItem>
</file>

<file path=customXml/itemProps37.xml><?xml version="1.0" encoding="utf-8"?>
<ds:datastoreItem xmlns:ds="http://schemas.openxmlformats.org/officeDocument/2006/customXml" ds:itemID="{b8bc1a93-0061-48a5-8787-da65da8a4f1f}">
  <ds:schemaRefs/>
</ds:datastoreItem>
</file>

<file path=customXml/itemProps38.xml><?xml version="1.0" encoding="utf-8"?>
<ds:datastoreItem xmlns:ds="http://schemas.openxmlformats.org/officeDocument/2006/customXml" ds:itemID="{a80cffc4-bf9b-41c0-801c-9d212b2d6acb}">
  <ds:schemaRefs/>
</ds:datastoreItem>
</file>

<file path=customXml/itemProps39.xml><?xml version="1.0" encoding="utf-8"?>
<ds:datastoreItem xmlns:ds="http://schemas.openxmlformats.org/officeDocument/2006/customXml" ds:itemID="{87752966-6fbc-4e16-94cd-7e00c55191f7}">
  <ds:schemaRefs/>
</ds:datastoreItem>
</file>

<file path=customXml/itemProps4.xml><?xml version="1.0" encoding="utf-8"?>
<ds:datastoreItem xmlns:ds="http://schemas.openxmlformats.org/officeDocument/2006/customXml" ds:itemID="{a89ec0a3-9f1b-4f06-9fe0-0f6a69c34072}">
  <ds:schemaRefs/>
</ds:datastoreItem>
</file>

<file path=customXml/itemProps40.xml><?xml version="1.0" encoding="utf-8"?>
<ds:datastoreItem xmlns:ds="http://schemas.openxmlformats.org/officeDocument/2006/customXml" ds:itemID="{54818819-5504-4e68-b702-a5982a8c5917}">
  <ds:schemaRefs/>
</ds:datastoreItem>
</file>

<file path=customXml/itemProps41.xml><?xml version="1.0" encoding="utf-8"?>
<ds:datastoreItem xmlns:ds="http://schemas.openxmlformats.org/officeDocument/2006/customXml" ds:itemID="{4b0b11d0-1930-4d92-9e32-58ccd625f613}">
  <ds:schemaRefs/>
</ds:datastoreItem>
</file>

<file path=customXml/itemProps42.xml><?xml version="1.0" encoding="utf-8"?>
<ds:datastoreItem xmlns:ds="http://schemas.openxmlformats.org/officeDocument/2006/customXml" ds:itemID="{1069ae12-fc67-4754-a187-a311641570c1}">
  <ds:schemaRefs/>
</ds:datastoreItem>
</file>

<file path=customXml/itemProps43.xml><?xml version="1.0" encoding="utf-8"?>
<ds:datastoreItem xmlns:ds="http://schemas.openxmlformats.org/officeDocument/2006/customXml" ds:itemID="{1c962d31-7a40-4baf-a4c2-f54328fe71fd}">
  <ds:schemaRefs/>
</ds:datastoreItem>
</file>

<file path=customXml/itemProps44.xml><?xml version="1.0" encoding="utf-8"?>
<ds:datastoreItem xmlns:ds="http://schemas.openxmlformats.org/officeDocument/2006/customXml" ds:itemID="{b4a13cd0-c9bb-480a-9259-b50d938a0043}">
  <ds:schemaRefs/>
</ds:datastoreItem>
</file>

<file path=customXml/itemProps45.xml><?xml version="1.0" encoding="utf-8"?>
<ds:datastoreItem xmlns:ds="http://schemas.openxmlformats.org/officeDocument/2006/customXml" ds:itemID="{d5ffc33b-fc98-4ea3-add9-28f1e81122d2}">
  <ds:schemaRefs/>
</ds:datastoreItem>
</file>

<file path=customXml/itemProps46.xml><?xml version="1.0" encoding="utf-8"?>
<ds:datastoreItem xmlns:ds="http://schemas.openxmlformats.org/officeDocument/2006/customXml" ds:itemID="{4d099d88-be45-4aa0-80d4-a01e103864c0}">
  <ds:schemaRefs/>
</ds:datastoreItem>
</file>

<file path=customXml/itemProps47.xml><?xml version="1.0" encoding="utf-8"?>
<ds:datastoreItem xmlns:ds="http://schemas.openxmlformats.org/officeDocument/2006/customXml" ds:itemID="{18499acb-c7f9-45d7-b1f3-1f720692eec6}">
  <ds:schemaRefs/>
</ds:datastoreItem>
</file>

<file path=customXml/itemProps48.xml><?xml version="1.0" encoding="utf-8"?>
<ds:datastoreItem xmlns:ds="http://schemas.openxmlformats.org/officeDocument/2006/customXml" ds:itemID="{540f5720-9d0a-43ab-b247-beee77b07f8f}">
  <ds:schemaRefs/>
</ds:datastoreItem>
</file>

<file path=customXml/itemProps49.xml><?xml version="1.0" encoding="utf-8"?>
<ds:datastoreItem xmlns:ds="http://schemas.openxmlformats.org/officeDocument/2006/customXml" ds:itemID="{f729d44e-c026-474d-924e-441aadc1ff7b}">
  <ds:schemaRefs/>
</ds:datastoreItem>
</file>

<file path=customXml/itemProps5.xml><?xml version="1.0" encoding="utf-8"?>
<ds:datastoreItem xmlns:ds="http://schemas.openxmlformats.org/officeDocument/2006/customXml" ds:itemID="{c90235ff-9de5-4426-8260-bcff0d7e60fc}">
  <ds:schemaRefs/>
</ds:datastoreItem>
</file>

<file path=customXml/itemProps50.xml><?xml version="1.0" encoding="utf-8"?>
<ds:datastoreItem xmlns:ds="http://schemas.openxmlformats.org/officeDocument/2006/customXml" ds:itemID="{45aaa99d-4026-4c82-b766-83771669ddd2}">
  <ds:schemaRefs/>
</ds:datastoreItem>
</file>

<file path=customXml/itemProps51.xml><?xml version="1.0" encoding="utf-8"?>
<ds:datastoreItem xmlns:ds="http://schemas.openxmlformats.org/officeDocument/2006/customXml" ds:itemID="{b8307ca5-787b-46a8-afd6-e832c808615b}">
  <ds:schemaRefs/>
</ds:datastoreItem>
</file>

<file path=customXml/itemProps52.xml><?xml version="1.0" encoding="utf-8"?>
<ds:datastoreItem xmlns:ds="http://schemas.openxmlformats.org/officeDocument/2006/customXml" ds:itemID="{5e4112bf-11b4-4d24-a54a-994daf65ffd2}">
  <ds:schemaRefs/>
</ds:datastoreItem>
</file>

<file path=customXml/itemProps53.xml><?xml version="1.0" encoding="utf-8"?>
<ds:datastoreItem xmlns:ds="http://schemas.openxmlformats.org/officeDocument/2006/customXml" ds:itemID="{a23e1d5e-4ce9-4d68-b05e-4f2fc742e631}">
  <ds:schemaRefs/>
</ds:datastoreItem>
</file>

<file path=customXml/itemProps54.xml><?xml version="1.0" encoding="utf-8"?>
<ds:datastoreItem xmlns:ds="http://schemas.openxmlformats.org/officeDocument/2006/customXml" ds:itemID="{581b0a05-b651-44b2-b5cf-c80a32b83068}">
  <ds:schemaRefs/>
</ds:datastoreItem>
</file>

<file path=customXml/itemProps55.xml><?xml version="1.0" encoding="utf-8"?>
<ds:datastoreItem xmlns:ds="http://schemas.openxmlformats.org/officeDocument/2006/customXml" ds:itemID="{d63f49d1-f033-4832-b89e-cee2d5918a1c}">
  <ds:schemaRefs/>
</ds:datastoreItem>
</file>

<file path=customXml/itemProps56.xml><?xml version="1.0" encoding="utf-8"?>
<ds:datastoreItem xmlns:ds="http://schemas.openxmlformats.org/officeDocument/2006/customXml" ds:itemID="{6360c4ae-a864-421b-a89c-db11f68530be}">
  <ds:schemaRefs/>
</ds:datastoreItem>
</file>

<file path=customXml/itemProps57.xml><?xml version="1.0" encoding="utf-8"?>
<ds:datastoreItem xmlns:ds="http://schemas.openxmlformats.org/officeDocument/2006/customXml" ds:itemID="{97ebf66d-4c44-4025-9284-60525542299e}">
  <ds:schemaRefs/>
</ds:datastoreItem>
</file>

<file path=customXml/itemProps58.xml><?xml version="1.0" encoding="utf-8"?>
<ds:datastoreItem xmlns:ds="http://schemas.openxmlformats.org/officeDocument/2006/customXml" ds:itemID="{f126cfb0-0d86-4260-b7e9-7c4782feefdb}">
  <ds:schemaRefs/>
</ds:datastoreItem>
</file>

<file path=customXml/itemProps59.xml><?xml version="1.0" encoding="utf-8"?>
<ds:datastoreItem xmlns:ds="http://schemas.openxmlformats.org/officeDocument/2006/customXml" ds:itemID="{b01d7525-5e15-4806-9717-4819d941c464}">
  <ds:schemaRefs/>
</ds:datastoreItem>
</file>

<file path=customXml/itemProps6.xml><?xml version="1.0" encoding="utf-8"?>
<ds:datastoreItem xmlns:ds="http://schemas.openxmlformats.org/officeDocument/2006/customXml" ds:itemID="{8a2e1e86-852b-4a29-9b11-68011cc0859e}">
  <ds:schemaRefs/>
</ds:datastoreItem>
</file>

<file path=customXml/itemProps60.xml><?xml version="1.0" encoding="utf-8"?>
<ds:datastoreItem xmlns:ds="http://schemas.openxmlformats.org/officeDocument/2006/customXml" ds:itemID="{0eb9b39b-dc55-43a0-8437-a8b1c4125bcf}">
  <ds:schemaRefs/>
</ds:datastoreItem>
</file>

<file path=customXml/itemProps61.xml><?xml version="1.0" encoding="utf-8"?>
<ds:datastoreItem xmlns:ds="http://schemas.openxmlformats.org/officeDocument/2006/customXml" ds:itemID="{bf98ba40-81c7-463d-9513-512598605d38}">
  <ds:schemaRefs/>
</ds:datastoreItem>
</file>

<file path=customXml/itemProps62.xml><?xml version="1.0" encoding="utf-8"?>
<ds:datastoreItem xmlns:ds="http://schemas.openxmlformats.org/officeDocument/2006/customXml" ds:itemID="{cfe19c7b-71a5-4b06-adde-96e4fe11e941}">
  <ds:schemaRefs/>
</ds:datastoreItem>
</file>

<file path=customXml/itemProps63.xml><?xml version="1.0" encoding="utf-8"?>
<ds:datastoreItem xmlns:ds="http://schemas.openxmlformats.org/officeDocument/2006/customXml" ds:itemID="{3ec8fd23-0085-4598-aab9-9696c42ec6a8}">
  <ds:schemaRefs/>
</ds:datastoreItem>
</file>

<file path=customXml/itemProps64.xml><?xml version="1.0" encoding="utf-8"?>
<ds:datastoreItem xmlns:ds="http://schemas.openxmlformats.org/officeDocument/2006/customXml" ds:itemID="{cff8c4f2-fa91-49bd-84ee-bc11e37b8ebf}">
  <ds:schemaRefs/>
</ds:datastoreItem>
</file>

<file path=customXml/itemProps65.xml><?xml version="1.0" encoding="utf-8"?>
<ds:datastoreItem xmlns:ds="http://schemas.openxmlformats.org/officeDocument/2006/customXml" ds:itemID="{b8478308-df87-4cb1-8653-5ddce32947fe}">
  <ds:schemaRefs/>
</ds:datastoreItem>
</file>

<file path=customXml/itemProps66.xml><?xml version="1.0" encoding="utf-8"?>
<ds:datastoreItem xmlns:ds="http://schemas.openxmlformats.org/officeDocument/2006/customXml" ds:itemID="{9a704af7-ec3a-49d6-8159-1e552cb591e0}">
  <ds:schemaRefs/>
</ds:datastoreItem>
</file>

<file path=customXml/itemProps67.xml><?xml version="1.0" encoding="utf-8"?>
<ds:datastoreItem xmlns:ds="http://schemas.openxmlformats.org/officeDocument/2006/customXml" ds:itemID="{e912c98c-c4a2-4d56-9c81-0fe64b66d19e}">
  <ds:schemaRefs/>
</ds:datastoreItem>
</file>

<file path=customXml/itemProps68.xml><?xml version="1.0" encoding="utf-8"?>
<ds:datastoreItem xmlns:ds="http://schemas.openxmlformats.org/officeDocument/2006/customXml" ds:itemID="{4a2768cf-9378-47a7-a368-75bf24e86af0}">
  <ds:schemaRefs/>
</ds:datastoreItem>
</file>

<file path=customXml/itemProps69.xml><?xml version="1.0" encoding="utf-8"?>
<ds:datastoreItem xmlns:ds="http://schemas.openxmlformats.org/officeDocument/2006/customXml" ds:itemID="{00236ba2-3da9-408d-a9a3-1c3ec06f0096}">
  <ds:schemaRefs/>
</ds:datastoreItem>
</file>

<file path=customXml/itemProps7.xml><?xml version="1.0" encoding="utf-8"?>
<ds:datastoreItem xmlns:ds="http://schemas.openxmlformats.org/officeDocument/2006/customXml" ds:itemID="{7e9bc285-435f-435f-8ee5-3586dd126a24}">
  <ds:schemaRefs/>
</ds:datastoreItem>
</file>

<file path=customXml/itemProps70.xml><?xml version="1.0" encoding="utf-8"?>
<ds:datastoreItem xmlns:ds="http://schemas.openxmlformats.org/officeDocument/2006/customXml" ds:itemID="{4f8f727a-b0ad-4968-be49-07c262409929}">
  <ds:schemaRefs/>
</ds:datastoreItem>
</file>

<file path=customXml/itemProps71.xml><?xml version="1.0" encoding="utf-8"?>
<ds:datastoreItem xmlns:ds="http://schemas.openxmlformats.org/officeDocument/2006/customXml" ds:itemID="{0cadf96f-b467-496e-b2c5-d02cc4661d02}">
  <ds:schemaRefs/>
</ds:datastoreItem>
</file>

<file path=customXml/itemProps72.xml><?xml version="1.0" encoding="utf-8"?>
<ds:datastoreItem xmlns:ds="http://schemas.openxmlformats.org/officeDocument/2006/customXml" ds:itemID="{2a4cf782-b9a6-43f9-9c5f-6fc4dd9b2e3b}">
  <ds:schemaRefs/>
</ds:datastoreItem>
</file>

<file path=customXml/itemProps73.xml><?xml version="1.0" encoding="utf-8"?>
<ds:datastoreItem xmlns:ds="http://schemas.openxmlformats.org/officeDocument/2006/customXml" ds:itemID="{59b26376-c2f4-4237-83d4-3e679dddbd70}">
  <ds:schemaRefs/>
</ds:datastoreItem>
</file>

<file path=customXml/itemProps74.xml><?xml version="1.0" encoding="utf-8"?>
<ds:datastoreItem xmlns:ds="http://schemas.openxmlformats.org/officeDocument/2006/customXml" ds:itemID="{44a07405-4e24-433b-b114-b47c14fc89b1}">
  <ds:schemaRefs/>
</ds:datastoreItem>
</file>

<file path=customXml/itemProps75.xml><?xml version="1.0" encoding="utf-8"?>
<ds:datastoreItem xmlns:ds="http://schemas.openxmlformats.org/officeDocument/2006/customXml" ds:itemID="{23ce42a7-b83c-4e64-8fe8-205574c25e8f}">
  <ds:schemaRefs/>
</ds:datastoreItem>
</file>

<file path=customXml/itemProps76.xml><?xml version="1.0" encoding="utf-8"?>
<ds:datastoreItem xmlns:ds="http://schemas.openxmlformats.org/officeDocument/2006/customXml" ds:itemID="{1f0cca49-bd03-44cf-82e0-92ff53a7c672}">
  <ds:schemaRefs/>
</ds:datastoreItem>
</file>

<file path=customXml/itemProps77.xml><?xml version="1.0" encoding="utf-8"?>
<ds:datastoreItem xmlns:ds="http://schemas.openxmlformats.org/officeDocument/2006/customXml" ds:itemID="{e3c73d3d-866e-47c6-b54b-305537472943}">
  <ds:schemaRefs/>
</ds:datastoreItem>
</file>

<file path=customXml/itemProps78.xml><?xml version="1.0" encoding="utf-8"?>
<ds:datastoreItem xmlns:ds="http://schemas.openxmlformats.org/officeDocument/2006/customXml" ds:itemID="{8fc31ea1-623a-4606-aa13-e5ed3ab4a363}">
  <ds:schemaRefs/>
</ds:datastoreItem>
</file>

<file path=customXml/itemProps8.xml><?xml version="1.0" encoding="utf-8"?>
<ds:datastoreItem xmlns:ds="http://schemas.openxmlformats.org/officeDocument/2006/customXml" ds:itemID="{0f8c812d-83ca-491a-a00f-0726839f0a08}">
  <ds:schemaRefs/>
</ds:datastoreItem>
</file>

<file path=customXml/itemProps9.xml><?xml version="1.0" encoding="utf-8"?>
<ds:datastoreItem xmlns:ds="http://schemas.openxmlformats.org/officeDocument/2006/customXml" ds:itemID="{881945d9-097e-4a6d-9baf-6fe2aa583be4}">
  <ds:schemaRefs/>
</ds:datastoreItem>
</file>

<file path=docProps/app.xml><?xml version="1.0" encoding="utf-8"?>
<Properties xmlns="http://schemas.openxmlformats.org/officeDocument/2006/extended-properties" xmlns:vt="http://schemas.openxmlformats.org/officeDocument/2006/docPropsVTypes">
  <Pages>52</Pages>
  <Words>21300</Words>
  <Characters>23563</Characters>
  <TotalTime>989</TotalTime>
  <ScaleCrop>false</ScaleCrop>
  <LinksUpToDate>false</LinksUpToDate>
  <CharactersWithSpaces>23896</CharactersWithSpaces>
  <Application>WPS Office_11.8.2.11716_F1E327BC-269C-435d-A152-05C5408002CA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2023-02-28T17:39:00Z</dcterms:created>
  <dc:creator>lenovo</dc:creator>
  <cp:lastModifiedBy>Administrator</cp:lastModifiedBy>
  <cp:lastPrinted>2024-02-22T09:15:00Z</cp:lastPrinted>
  <dcterms:modified xsi:type="dcterms:W3CDTF">2024-09-11T07:24:37Z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83DFD14D081B45F19017505627B59103</vt:lpwstr>
  </property>
</Properties>
</file>