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重点项目推进办公室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(一)加强主动公开。主动公开工作情况，根据《中华人民共和国政府信息公开条例》及国务院、省、市、区政府信息公开工作要求，认真履行主动公开政府信息的职能，积极推动基本信息公开、重点信息公开、重点领域信息公开，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在政府信息平台共主动公开了财政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和乡镇政府承接省下放行政处罚事项17项信息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(二)规范依申请公开。今年以来未收到政府信息公开申请件。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(三)严格政府信息管理。一是进一步健全政府信息公开工作制度，完善相关工作流程，明确政府信息公开的范围，不断扩大主动公开。二是加强信息管理，明确工作人员对公开的信息进行审核把关，并进行归档管理。在公开政府信息前，依照保密制度规定，由承办人拟定意见，单位分管负责人、主要领导逐级批准后才能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(四)推进政府信息公开平台建设。依托“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邢台高新区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发布”等区级信息发布平台，严格落实《中华人民共和国政府信息公开条例》相关要求，在工作开展中及时收集发布信息，确保平台信息发布。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（五）强化监督保障。严格落实政务公开工作任务清单和政务公开考评要求,坚持问题导向,及时对标对表，实时查漏补缺分类推进问题整改，持续强化政府公开信息的日常检查、更新和维护。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我办因行政区划代码以及职能不完善等因素影响，部分业务如退役、统战等职能不全;无行政执法主体资格不具备执法权，相关工作信息较少。下一步，我办将继续按照高新区党工委、管委会信息公开工作的统一部署和要求，以“公开为常态，不公开为例外”的工作作风，做到持续加强信息依法公开意识，加强工作人员的学习培训,进一步压实政务公开工作责任丰富信息公开内容，确保政府信息公开工作按照既定工作程序高效运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认真贯彻执行国务院办公厅《政府信息公开信息处理费管理办法》和《关于政府信息公开处理费管理有关事项的通知》。2024年我办未收取信息处理费。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textAlignment w:val="auto"/>
        <w:rPr>
          <w:rFonts w:hint="eastAsia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fill="FFFFFF"/>
          <w:lang w:val="en-US" w:eastAsia="zh-CN" w:bidi="ar-SA"/>
        </w:rPr>
        <w:t>邢台高新区重点项目推进办公室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</w:pPr>
      <w:r>
        <w:rPr>
          <w:rFonts w:hint="eastAsia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fill="FFFFFF"/>
          <w:lang w:val="en-US" w:eastAsia="zh-CN" w:bidi="ar-SA"/>
        </w:rPr>
        <w:t>2025年1月20日</w:t>
      </w: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8E29"/>
    <w:multiLevelType w:val="singleLevel"/>
    <w:tmpl w:val="03F18E2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30B1E85"/>
    <w:rsid w:val="03636DC6"/>
    <w:rsid w:val="04380733"/>
    <w:rsid w:val="046855E1"/>
    <w:rsid w:val="076B2C00"/>
    <w:rsid w:val="077D7A80"/>
    <w:rsid w:val="0A5533E9"/>
    <w:rsid w:val="15C578C3"/>
    <w:rsid w:val="21C523C7"/>
    <w:rsid w:val="25B737CE"/>
    <w:rsid w:val="281F66F4"/>
    <w:rsid w:val="29F44FA0"/>
    <w:rsid w:val="34827D81"/>
    <w:rsid w:val="35CF5B56"/>
    <w:rsid w:val="3ACB5377"/>
    <w:rsid w:val="3BF46AA8"/>
    <w:rsid w:val="3C884423"/>
    <w:rsid w:val="40584805"/>
    <w:rsid w:val="4D8B54B8"/>
    <w:rsid w:val="5CD27C33"/>
    <w:rsid w:val="62E978B2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  <w:rsid w:val="769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1794</Words>
  <Characters>1832</Characters>
  <Lines>0</Lines>
  <Paragraphs>0</Paragraphs>
  <TotalTime>3</TotalTime>
  <ScaleCrop>false</ScaleCrop>
  <LinksUpToDate>false</LinksUpToDate>
  <CharactersWithSpaces>1843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2025-01-20T06:26:00Z</cp:lastPrinted>
  <dcterms:modified xsi:type="dcterms:W3CDTF">2025-01-26T08:24:09Z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eyJoZGlkIjoiYjcyZmZhOGUwNTI3NDJlNDQ1YzkxOTA1NzcyOWQ2NmYiLCJ1c2VySWQiOiI5NzgxOTE1NzIifQ==</vt:lpwstr>
  </property>
  <property fmtid="{D5CDD505-2E9C-101B-9397-08002B2CF9AE}" pid="4" name="ICV">
    <vt:lpwstr>979FD95643B5431688F0B03490C6BEB0_12</vt:lpwstr>
  </property>
</Properties>
</file>