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C8B8D">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国家税务总局邢台邢东新区税务局</w:t>
      </w:r>
    </w:p>
    <w:p w14:paraId="0662538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14:paraId="44A0B892">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14:paraId="6AF374C2">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14:paraId="4B4F4A4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14:paraId="358DDF21">
      <w:pPr>
        <w:keepNext w:val="0"/>
        <w:keepLines w:val="0"/>
        <w:pageBreakBefore w:val="0"/>
        <w:widowControl w:val="0"/>
        <w:kinsoku/>
        <w:wordWrap/>
        <w:overflowPunct/>
        <w:topLinePunct w:val="0"/>
        <w:autoSpaceDE/>
        <w:autoSpaceDN/>
        <w:bidi w:val="0"/>
        <w:snapToGrid/>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　　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w:t>
      </w:r>
      <w:r>
        <w:rPr>
          <w:rFonts w:hint="eastAsia" w:ascii="仿宋_GB2312" w:hAnsi="仿宋_GB2312" w:eastAsia="仿宋_GB2312" w:cs="仿宋_GB2312"/>
          <w:b w:val="0"/>
          <w:bCs w:val="0"/>
          <w:sz w:val="32"/>
          <w:szCs w:val="32"/>
          <w:lang w:val="en-US" w:eastAsia="zh-CN"/>
        </w:rPr>
        <w:t>邢东新区</w:t>
      </w:r>
      <w:r>
        <w:rPr>
          <w:rFonts w:hint="eastAsia" w:ascii="仿宋_GB2312" w:hAnsi="仿宋_GB2312" w:eastAsia="仿宋_GB2312" w:cs="仿宋_GB2312"/>
          <w:b w:val="0"/>
          <w:bCs w:val="0"/>
          <w:sz w:val="32"/>
          <w:szCs w:val="32"/>
          <w:lang w:eastAsia="zh-CN"/>
        </w:rPr>
        <w:t>税务局坚持以习近平新时代中国特色社会主义思想为指导，始终严格执行《中华人民共和国政府信息公开条例》及</w:t>
      </w:r>
      <w:r>
        <w:rPr>
          <w:rFonts w:hint="eastAsia" w:ascii="仿宋_GB2312" w:hAnsi="仿宋_GB2312" w:eastAsia="仿宋_GB2312" w:cs="仿宋_GB2312"/>
          <w:b w:val="0"/>
          <w:bCs w:val="0"/>
          <w:sz w:val="32"/>
          <w:szCs w:val="32"/>
          <w:lang w:val="en-US" w:eastAsia="zh-CN"/>
        </w:rPr>
        <w:t>各级党委政府有关</w:t>
      </w:r>
      <w:r>
        <w:rPr>
          <w:rFonts w:hint="eastAsia" w:ascii="仿宋_GB2312" w:hAnsi="仿宋_GB2312" w:eastAsia="仿宋_GB2312" w:cs="仿宋_GB2312"/>
          <w:b w:val="0"/>
          <w:bCs w:val="0"/>
          <w:sz w:val="32"/>
          <w:szCs w:val="32"/>
          <w:lang w:eastAsia="zh-CN"/>
        </w:rPr>
        <w:t>政务公开</w:t>
      </w:r>
      <w:r>
        <w:rPr>
          <w:rFonts w:hint="eastAsia" w:ascii="仿宋_GB2312" w:hAnsi="仿宋_GB2312" w:eastAsia="仿宋_GB2312" w:cs="仿宋_GB2312"/>
          <w:b w:val="0"/>
          <w:bCs w:val="0"/>
          <w:sz w:val="32"/>
          <w:szCs w:val="32"/>
          <w:lang w:val="en-US" w:eastAsia="zh-CN"/>
        </w:rPr>
        <w:t>工作的</w:t>
      </w:r>
      <w:r>
        <w:rPr>
          <w:rFonts w:hint="eastAsia" w:ascii="仿宋_GB2312" w:hAnsi="仿宋_GB2312" w:eastAsia="仿宋_GB2312" w:cs="仿宋_GB2312"/>
          <w:b w:val="0"/>
          <w:bCs w:val="0"/>
          <w:sz w:val="32"/>
          <w:szCs w:val="32"/>
          <w:lang w:eastAsia="zh-CN"/>
        </w:rPr>
        <w:t>要求</w:t>
      </w:r>
      <w:r>
        <w:rPr>
          <w:rFonts w:hint="eastAsia" w:ascii="仿宋_GB2312" w:hAnsi="仿宋_GB2312" w:eastAsia="仿宋_GB2312" w:cs="仿宋_GB2312"/>
          <w:b w:val="0"/>
          <w:bCs w:val="0"/>
          <w:sz w:val="32"/>
          <w:szCs w:val="32"/>
          <w:lang w:val="en-US" w:eastAsia="zh-CN"/>
        </w:rPr>
        <w:t>，政务公开工作有序运转。</w:t>
      </w:r>
    </w:p>
    <w:p w14:paraId="3121D13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rPr>
      </w:pPr>
      <w:r>
        <w:rPr>
          <w:rFonts w:hint="eastAsia" w:ascii="楷体_GB2312" w:hAnsi="楷体_GB2312" w:eastAsia="楷体_GB2312" w:cs="楷体_GB2312"/>
          <w:b w:val="0"/>
          <w:bCs w:val="0"/>
          <w:sz w:val="32"/>
          <w:szCs w:val="32"/>
          <w:lang w:eastAsia="zh-CN"/>
        </w:rPr>
        <w:t>（一）加强主动公开。</w:t>
      </w:r>
      <w:r>
        <w:rPr>
          <w:rFonts w:hint="eastAsia" w:ascii="仿宋_GB2312" w:hAnsi="仿宋_GB2312" w:eastAsia="仿宋_GB2312" w:cs="仿宋_GB2312"/>
          <w:b w:val="0"/>
          <w:bCs w:val="0"/>
          <w:sz w:val="32"/>
          <w:szCs w:val="32"/>
          <w:lang w:val="en-US" w:eastAsia="zh-CN"/>
        </w:rPr>
        <w:t>邢东新</w:t>
      </w:r>
      <w:r>
        <w:rPr>
          <w:rFonts w:hint="eastAsia" w:ascii="仿宋_GB2312" w:hAnsi="仿宋_GB2312" w:eastAsia="仿宋_GB2312" w:cs="仿宋_GB2312"/>
          <w:b w:val="0"/>
          <w:bCs w:val="0"/>
          <w:sz w:val="32"/>
          <w:szCs w:val="32"/>
          <w:lang w:eastAsia="zh-CN"/>
        </w:rPr>
        <w:t>区税务局充分发挥办税服务厅</w:t>
      </w:r>
      <w:r>
        <w:rPr>
          <w:rFonts w:hint="eastAsia" w:ascii="仿宋_GB2312" w:hAnsi="仿宋_GB2312" w:eastAsia="仿宋_GB2312" w:cs="仿宋_GB2312"/>
          <w:b w:val="0"/>
          <w:bCs w:val="0"/>
          <w:sz w:val="32"/>
          <w:szCs w:val="32"/>
          <w:lang w:val="en-US" w:eastAsia="zh-CN"/>
        </w:rPr>
        <w:t>及新媒体平台</w:t>
      </w:r>
      <w:r>
        <w:rPr>
          <w:rFonts w:hint="eastAsia" w:ascii="仿宋_GB2312" w:hAnsi="仿宋_GB2312" w:eastAsia="仿宋_GB2312" w:cs="仿宋_GB2312"/>
          <w:b w:val="0"/>
          <w:bCs w:val="0"/>
          <w:sz w:val="32"/>
          <w:szCs w:val="32"/>
          <w:lang w:eastAsia="zh-CN"/>
        </w:rPr>
        <w:t>作用，把政府信息公开与信息回应等工作紧密结合，将涉及纳税人切身利益、普遍关注的热点内容作为信息公开重点，持续</w:t>
      </w:r>
      <w:r>
        <w:rPr>
          <w:rFonts w:hint="eastAsia" w:ascii="仿宋_GB2312" w:hAnsi="仿宋_GB2312" w:eastAsia="仿宋_GB2312" w:cs="仿宋_GB2312"/>
          <w:b w:val="0"/>
          <w:bCs w:val="0"/>
          <w:sz w:val="32"/>
          <w:szCs w:val="32"/>
          <w:lang w:val="en-US" w:eastAsia="zh-CN"/>
        </w:rPr>
        <w:t>学习贯彻</w:t>
      </w:r>
      <w:r>
        <w:rPr>
          <w:rFonts w:hint="eastAsia" w:ascii="仿宋_GB2312" w:hAnsi="仿宋_GB2312" w:eastAsia="仿宋_GB2312" w:cs="仿宋_GB2312"/>
          <w:b w:val="0"/>
          <w:bCs w:val="0"/>
          <w:sz w:val="32"/>
          <w:szCs w:val="32"/>
          <w:lang w:eastAsia="zh-CN"/>
        </w:rPr>
        <w:t>行政执法公示制度，畅通政府信息公开联系方式，及时回应社会关切，依法及时主动向社会公开。</w:t>
      </w:r>
    </w:p>
    <w:p w14:paraId="43660EED">
      <w:pPr>
        <w:keepNext w:val="0"/>
        <w:keepLines w:val="0"/>
        <w:pageBreakBefore w:val="0"/>
        <w:widowControl w:val="0"/>
        <w:kinsoku/>
        <w:wordWrap/>
        <w:overflowPunct/>
        <w:topLinePunct w:val="0"/>
        <w:autoSpaceDE/>
        <w:autoSpaceDN/>
        <w:bidi w:val="0"/>
        <w:snapToGrid/>
        <w:textAlignment w:val="auto"/>
      </w:pPr>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（二）规范依申请公开。</w:t>
      </w:r>
      <w:r>
        <w:rPr>
          <w:rFonts w:hint="eastAsia" w:ascii="仿宋_GB2312" w:hAnsi="仿宋_GB2312" w:eastAsia="仿宋_GB2312" w:cs="仿宋_GB2312"/>
          <w:b w:val="0"/>
          <w:bCs w:val="0"/>
          <w:sz w:val="32"/>
          <w:szCs w:val="32"/>
          <w:lang w:eastAsia="zh-CN"/>
        </w:rPr>
        <w:t>坚持完善依申请公开制度，优化和规范内部办理流程，畅通申请渠道，202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年度未收到依申请公开事项。</w:t>
      </w:r>
    </w:p>
    <w:p w14:paraId="34F0AAC4">
      <w:pPr>
        <w:keepNext w:val="0"/>
        <w:keepLines w:val="0"/>
        <w:pageBreakBefore w:val="0"/>
        <w:widowControl w:val="0"/>
        <w:kinsoku/>
        <w:wordWrap/>
        <w:overflowPunct/>
        <w:topLinePunct w:val="0"/>
        <w:autoSpaceDE/>
        <w:autoSpaceDN/>
        <w:bidi w:val="0"/>
        <w:snapToGrid/>
        <w:textAlignment w:val="auto"/>
      </w:pPr>
      <w:r>
        <w:rPr>
          <w:rFonts w:hint="eastAsia" w:ascii="楷体_GB2312" w:hAnsi="楷体_GB2312" w:eastAsia="楷体_GB2312" w:cs="楷体_GB2312"/>
          <w:b w:val="0"/>
          <w:bCs w:val="0"/>
          <w:sz w:val="32"/>
          <w:szCs w:val="32"/>
          <w:lang w:eastAsia="zh-CN"/>
        </w:rPr>
        <w:t>　　（三）严格政府信息管理。</w:t>
      </w:r>
      <w:r>
        <w:rPr>
          <w:rFonts w:hint="eastAsia" w:ascii="仿宋_GB2312" w:hAnsi="仿宋_GB2312" w:eastAsia="仿宋_GB2312" w:cs="仿宋_GB2312"/>
          <w:b w:val="0"/>
          <w:bCs w:val="0"/>
          <w:sz w:val="32"/>
          <w:szCs w:val="32"/>
          <w:lang w:eastAsia="zh-CN"/>
        </w:rPr>
        <w:t>指定专职人员专门负责政府信息公开工作，对拟公开的信息按照特别重要信息、重要信息和一般信息，履行签批程序。确保信息实时动态更新。全面公开税收违法行为检举电话、税务干部违纪举报电话、局长信箱、信息公开监督电话、纳税服务举报投诉电话，同时，严格执行政府信息公开保密审查，确保不出现失泄密、公开不当引发负面舆情等情况。</w:t>
      </w:r>
    </w:p>
    <w:p w14:paraId="3BE39C1B">
      <w:pPr>
        <w:keepNext w:val="0"/>
        <w:keepLines w:val="0"/>
        <w:pageBreakBefore w:val="0"/>
        <w:widowControl w:val="0"/>
        <w:kinsoku/>
        <w:wordWrap/>
        <w:overflowPunct/>
        <w:topLinePunct w:val="0"/>
        <w:autoSpaceDE/>
        <w:autoSpaceDN/>
        <w:bidi w:val="0"/>
        <w:snapToGrid/>
        <w:textAlignment w:val="auto"/>
        <w:rPr>
          <w:rFonts w:hint="default"/>
          <w:lang w:val="en-US"/>
        </w:rPr>
      </w:pPr>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（四）推进政府信息公开平台建设。</w:t>
      </w:r>
      <w:r>
        <w:rPr>
          <w:rFonts w:hint="eastAsia" w:ascii="仿宋_GB2312" w:hAnsi="仿宋_GB2312" w:eastAsia="仿宋_GB2312" w:cs="仿宋_GB2312"/>
          <w:b w:val="0"/>
          <w:bCs w:val="0"/>
          <w:sz w:val="32"/>
          <w:szCs w:val="32"/>
          <w:lang w:val="en-US" w:eastAsia="zh-CN"/>
        </w:rPr>
        <w:t>由于我局成立时间较短，尚未建立门户网站，当前公开渠道主要为办税服务厅公开栏，及时公开了以下内容，包括：税务规章、规范性文件及解读信息；办理行政许可和其他服务事项的办理依据及流程；实施行政处罚和强制的依据、条件和程序以及依据国家有关规定规定应当主动公开的其他政府信息。尚未以“邢东新区税务局”名义设立微信公众号、新浪微博等新媒体平台。</w:t>
      </w:r>
    </w:p>
    <w:p w14:paraId="0F2D48C2">
      <w:pPr>
        <w:keepNext w:val="0"/>
        <w:keepLines w:val="0"/>
        <w:pageBreakBefore w:val="0"/>
        <w:widowControl w:val="0"/>
        <w:kinsoku/>
        <w:wordWrap/>
        <w:overflowPunct/>
        <w:topLinePunct w:val="0"/>
        <w:autoSpaceDE/>
        <w:autoSpaceDN/>
        <w:bidi w:val="0"/>
        <w:snapToGrid/>
        <w:textAlignment w:val="auto"/>
      </w:pPr>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（五）强化监督保障。</w:t>
      </w:r>
      <w:r>
        <w:rPr>
          <w:rFonts w:hint="eastAsia" w:ascii="仿宋_GB2312" w:hAnsi="仿宋_GB2312" w:eastAsia="仿宋_GB2312" w:cs="仿宋_GB2312"/>
          <w:b w:val="0"/>
          <w:bCs w:val="0"/>
          <w:sz w:val="32"/>
          <w:szCs w:val="32"/>
          <w:lang w:eastAsia="zh-CN"/>
        </w:rPr>
        <w:t>我局不断完善内部信息审核与报送制度，严格按照信息公开等绩效指标要求，做到“应公开、尽公开”，压紧压实工作责任，始终坚持“公开为常态、不公开为例外”的原则，同时认真梳理政府信息公开平台相关内容，逐项对照开展自查，深入分析问题原因，加强对税务干部</w:t>
      </w:r>
      <w:r>
        <w:rPr>
          <w:rFonts w:hint="eastAsia" w:ascii="仿宋_GB2312" w:hAnsi="仿宋_GB2312" w:eastAsia="仿宋_GB2312" w:cs="仿宋_GB2312"/>
          <w:b w:val="0"/>
          <w:bCs w:val="0"/>
          <w:sz w:val="32"/>
          <w:szCs w:val="32"/>
          <w:lang w:val="en-US" w:eastAsia="zh-CN"/>
        </w:rPr>
        <w:t>政务公开相关规定</w:t>
      </w:r>
      <w:r>
        <w:rPr>
          <w:rFonts w:hint="eastAsia" w:ascii="仿宋_GB2312" w:hAnsi="仿宋_GB2312" w:eastAsia="仿宋_GB2312" w:cs="仿宋_GB2312"/>
          <w:b w:val="0"/>
          <w:bCs w:val="0"/>
          <w:sz w:val="32"/>
          <w:szCs w:val="32"/>
          <w:lang w:eastAsia="zh-CN"/>
        </w:rPr>
        <w:t>的培训，提升我局政务公开</w:t>
      </w:r>
      <w:r>
        <w:rPr>
          <w:rFonts w:hint="eastAsia" w:ascii="仿宋_GB2312" w:hAnsi="仿宋_GB2312" w:eastAsia="仿宋_GB2312" w:cs="仿宋_GB2312"/>
          <w:b w:val="0"/>
          <w:bCs w:val="0"/>
          <w:sz w:val="32"/>
          <w:szCs w:val="32"/>
          <w:lang w:val="en-US" w:eastAsia="zh-CN"/>
        </w:rPr>
        <w:t>整体</w:t>
      </w:r>
      <w:r>
        <w:rPr>
          <w:rFonts w:hint="eastAsia" w:ascii="仿宋_GB2312" w:hAnsi="仿宋_GB2312" w:eastAsia="仿宋_GB2312" w:cs="仿宋_GB2312"/>
          <w:b w:val="0"/>
          <w:bCs w:val="0"/>
          <w:sz w:val="32"/>
          <w:szCs w:val="32"/>
          <w:lang w:eastAsia="zh-CN"/>
        </w:rPr>
        <w:t>业务水平。</w:t>
      </w:r>
    </w:p>
    <w:p w14:paraId="06723E2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Layout w:type="fixed"/>
        <w:tblCellMar>
          <w:top w:w="0" w:type="dxa"/>
          <w:left w:w="0" w:type="dxa"/>
          <w:bottom w:w="0" w:type="dxa"/>
          <w:right w:w="0" w:type="dxa"/>
        </w:tblCellMar>
      </w:tblPr>
      <w:tblGrid>
        <w:gridCol w:w="3225"/>
        <w:gridCol w:w="1901"/>
        <w:gridCol w:w="1671"/>
        <w:gridCol w:w="2043"/>
      </w:tblGrid>
      <w:tr w14:paraId="0AEE6EC9">
        <w:tblPrEx>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14:paraId="0764EA8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14:paraId="5C1212D1">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2A3A44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14:paraId="256276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642B3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6CF8EE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14:paraId="133F1A9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181F4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5E87D3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0062DF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266BA80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14:paraId="25EE6503">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34CA5F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14:paraId="6C0364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14:paraId="537E03D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14:paraId="67AE16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0C4AF495">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647E47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14:paraId="25662672">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BAFB5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41E109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14:paraId="32307E4B">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7967B3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4478A2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6</w:t>
            </w:r>
          </w:p>
        </w:tc>
      </w:tr>
      <w:tr w14:paraId="2C04A254">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042A09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14:paraId="5032689E">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16DB77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14:paraId="679B242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p>
        </w:tc>
      </w:tr>
      <w:tr w14:paraId="524E84D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1C44156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2B2B45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14:paraId="15F87458">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B130D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14:paraId="00975D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bookmarkStart w:id="0" w:name="_GoBack"/>
            <w:bookmarkEnd w:id="0"/>
          </w:p>
        </w:tc>
      </w:tr>
      <w:tr w14:paraId="766DB564">
        <w:tblPrEx>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14:paraId="748713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14:paraId="08D7335B">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540598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7D45915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14:paraId="5D8B43E9">
        <w:tblPrEx>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14:paraId="405063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14:paraId="0E3E1A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14:paraId="1E3E59DE">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14:paraId="31E260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A9DEA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14:paraId="5F563C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14:paraId="22499F6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6A34E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14:paraId="742DF4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14:paraId="1E621F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14:paraId="13FCBE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3F4C20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781CF9F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14:paraId="2A7991F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3D9A61E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14:paraId="4FBF305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31194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FF914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ADDFA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98AFA1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27C67A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0751419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r>
      <w:tr w14:paraId="705F4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436825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12EAE3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B73C7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B21E2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B39EB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6E5584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24D4B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F3367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1B24D3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0BF0DD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C08178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AFCAD5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7259E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3AC7E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34D47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5B76B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B61EE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549A4F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6E3F47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6078E1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FE0238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AA643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E895D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AF800C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CA1FF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4B8DB6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6BCE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C0F582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406A6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4412167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BC8AF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C273B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1D356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C50011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FA787B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0B6D8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30A57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466A5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D3950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59A14C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E204A0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B8879A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2A9F8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0C3A4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5A772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7178E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63C9B7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B5BC2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EBB65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2B8F54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5A6250E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4B89C8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DE3E34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7449B6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3B74A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2F3A3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B273C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1FA46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FF41E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A1A26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64E771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B27CEC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B9458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DF5AE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650D4D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A0483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84E0B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FD1D2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C4511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DFA43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2C95B0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27532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28E83FB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4B724C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40498A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73251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4F1BA2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0DA0C7A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E353C3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D918CE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AB3549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7C4BB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EAE6F8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7C08F1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7DB961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4455E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D8843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B9CFA5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F77513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9977B9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6E3D1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8E25C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C386ED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9ED8B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4707934E">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B0A1A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8E0AC0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D4294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46CF1E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FE1301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4772C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C42638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13CCE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0C6D64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3DBDDC0">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33E6E43F">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83949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59DBA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259D0F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8CA74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C5640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E6BFC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329651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6B33C4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2AD24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E243A0D">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3D49C6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6F8217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06EAE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0A5F6E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553568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1AACB25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87A22E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F6711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4CDEF2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632ECDD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9893AC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60DAF9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2E8F32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2DEA74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CC797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2351E5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6C02C8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516B139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858C18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B20F3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64FF85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7A9368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E8C47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3F41DB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7081A9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3BAF93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39A29C9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E5AB3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2D526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B48FDD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3ED13F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B8E46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BD0749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5CF86DE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B4613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11DD1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75767D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09906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F1DCF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E344A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6AE78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098568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427C37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AC395C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14:paraId="04D49D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14:paraId="2E6FFDF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5C8B31C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567F7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2DA3C7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4054C2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2FB64F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7D5CFC7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4ABBFB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56176F3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3EBCA7C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C375CB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1D4838E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08185C4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0BC14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70E788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5329264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294D5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07EEA20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A5E191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5C554C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14:paraId="7D141C2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3C647A9">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6D3912D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07EEF6B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10E3190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63CCC8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7F6F41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DF3B6F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1BA9AD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19F4FC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084206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123AA6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930688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14:paraId="08F5BD17">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14:paraId="13C6C2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46A95B2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E9029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71C66E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2384B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ED81EA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3B616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7F2225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1721CAD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672915E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14:paraId="6226AC0C">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45E0B1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04134FF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5222D81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A19591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130C02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6D0D79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7D90BA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F78A3E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473441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4AF5E5C3">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14:paraId="7FE9A84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3F9753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7A37A8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C2AE69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144ADB3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5891CC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4292FE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97C23E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60142B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27B4494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9188572">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14:paraId="1EA0B73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172201A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5AD28CB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2C653E7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9205FD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38266C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8790C3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B0839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4F2003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15E7C4C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2A8E1915">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14:paraId="34C6432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14:paraId="17D8AC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DFF6A7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42A46D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6F681C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6F862C7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3FC1FFA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47F740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2F622B5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797E9D1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D5E125B">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14:paraId="485C61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3644FD6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3A89EF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0772B11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7A66E2C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1EB4D59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1E43407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4A1DD6C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14:paraId="6DE38E3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14:paraId="23023E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14:paraId="6E76357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14:paraId="6E4133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14:paraId="273AC56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14:paraId="4A49CEB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14:paraId="24E76E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75AA33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14:paraId="312504AE">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14:paraId="6658F42C">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5A93A61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384B8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4B33AFE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14:paraId="2EE6D46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F8C3EB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183822D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6DB912A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4EB3A4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58C64E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7A334AD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0CE97EE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14:paraId="3BF5142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1AD5CA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650E64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858DED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EE0BE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2C672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0AC01C7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1F02B07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658382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B9E73B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2A29F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4E013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C47B6D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0F56216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0B2FDA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CA709D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14:paraId="6C798FE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DE770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A770D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C26BCF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22D1C03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599B540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D3BF7D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939BC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98A1EB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A0C03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4E20D4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2DD1E95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76A9EF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37039FB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227621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28B325DC">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14:paraId="73BC9168">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14:paraId="0C5F8024">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微软雅黑" w:eastAsia="仿宋_GB2312" w:cs="仿宋_GB2312"/>
          <w:b w:val="0"/>
          <w:color w:val="333333"/>
          <w:sz w:val="32"/>
          <w:szCs w:val="32"/>
          <w:shd w:val="clear" w:fill="FFFFFF"/>
          <w:lang w:val="en-US" w:eastAsia="zh-CN"/>
        </w:rPr>
      </w:pPr>
      <w:r>
        <w:rPr>
          <w:rFonts w:hint="eastAsia" w:ascii="仿宋_GB2312" w:hAnsi="微软雅黑" w:eastAsia="仿宋_GB2312" w:cs="仿宋_GB2312"/>
          <w:b w:val="0"/>
          <w:color w:val="333333"/>
          <w:sz w:val="32"/>
          <w:szCs w:val="32"/>
          <w:shd w:val="clear" w:fill="FFFFFF"/>
          <w:lang w:val="en-US" w:eastAsia="zh-CN"/>
        </w:rPr>
        <w:t>2024年，我局按照</w:t>
      </w:r>
      <w:r>
        <w:rPr>
          <w:rFonts w:hint="eastAsia" w:ascii="仿宋_GB2312" w:hAnsi="仿宋_GB2312" w:eastAsia="仿宋_GB2312" w:cs="仿宋_GB2312"/>
          <w:sz w:val="32"/>
          <w:szCs w:val="32"/>
        </w:rPr>
        <w:t>政府信息公开</w:t>
      </w:r>
      <w:r>
        <w:rPr>
          <w:rFonts w:hint="eastAsia" w:ascii="仿宋_GB2312" w:hAnsi="仿宋_GB2312" w:eastAsia="仿宋_GB2312" w:cs="仿宋_GB2312"/>
          <w:sz w:val="32"/>
          <w:szCs w:val="32"/>
          <w:lang w:val="en-US" w:eastAsia="zh-CN"/>
        </w:rPr>
        <w:t>相关</w:t>
      </w:r>
      <w:r>
        <w:rPr>
          <w:rFonts w:hint="eastAsia" w:ascii="仿宋_GB2312" w:hAnsi="微软雅黑" w:eastAsia="仿宋_GB2312" w:cs="仿宋_GB2312"/>
          <w:b w:val="0"/>
          <w:color w:val="333333"/>
          <w:sz w:val="32"/>
          <w:szCs w:val="32"/>
          <w:shd w:val="clear" w:fill="FFFFFF"/>
          <w:lang w:val="en-US" w:eastAsia="zh-CN"/>
        </w:rPr>
        <w:t>工作制度开展政务公开工作。但对照政务公开工作要求，仍存在一些问题：尚未建立门户网站，目前我局正在与市税务局沟通联系，做好门户网站政务公开栏目的完善及相关内容的发布。</w:t>
      </w:r>
    </w:p>
    <w:p w14:paraId="1898E310">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14:paraId="084CFD6F">
      <w:pPr>
        <w:pStyle w:val="4"/>
        <w:keepNext w:val="0"/>
        <w:keepLines w:val="0"/>
        <w:pageBreakBefore w:val="0"/>
        <w:widowControl w:val="0"/>
        <w:suppressLineNumbers w:val="0"/>
        <w:shd w:val="clear" w:fill="FFFFFF"/>
        <w:kinsoku/>
        <w:wordWrap/>
        <w:overflowPunct/>
        <w:topLinePunct w:val="0"/>
        <w:autoSpaceDE/>
        <w:autoSpaceDN/>
        <w:bidi w:val="0"/>
        <w:snapToGrid/>
        <w:spacing w:before="30" w:beforeAutospacing="0" w:after="0" w:afterAutospacing="0" w:line="420" w:lineRule="atLeast"/>
        <w:ind w:left="0" w:right="0" w:firstLine="645"/>
        <w:jc w:val="both"/>
        <w:textAlignment w:val="auto"/>
        <w:rPr>
          <w:color w:val="333333"/>
        </w:rPr>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highlight w:val="none"/>
          <w:lang w:val="en-US" w:eastAsia="zh-CN"/>
        </w:rPr>
        <w:t>国家税务总局邢台邢东新区税务局</w:t>
      </w:r>
      <w:r>
        <w:rPr>
          <w:rFonts w:hint="eastAsia" w:ascii="仿宋_GB2312" w:hAnsi="仿宋_GB2312" w:eastAsia="仿宋_GB2312" w:cs="仿宋_GB2312"/>
          <w:sz w:val="32"/>
          <w:szCs w:val="32"/>
        </w:rPr>
        <w:t>未收取信息处理费。</w:t>
      </w:r>
      <w:r>
        <w:rPr>
          <w:rFonts w:hint="eastAsia" w:ascii="微软雅黑" w:hAnsi="微软雅黑" w:eastAsia="微软雅黑" w:cs="微软雅黑"/>
          <w:b w:val="0"/>
          <w:color w:val="333333"/>
          <w:sz w:val="22"/>
          <w:szCs w:val="22"/>
          <w:shd w:val="clear" w:fill="FFFFFF"/>
        </w:rPr>
        <w:t xml:space="preserve"> </w:t>
      </w:r>
    </w:p>
    <w:p w14:paraId="69506D55">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p>
    <w:p w14:paraId="428D83F0">
      <w:pPr>
        <w:keepNext w:val="0"/>
        <w:keepLines w:val="0"/>
        <w:pageBreakBefore w:val="0"/>
        <w:widowControl w:val="0"/>
        <w:kinsoku/>
        <w:wordWrap/>
        <w:overflowPunct/>
        <w:topLinePunct w:val="0"/>
        <w:autoSpaceDE/>
        <w:autoSpaceDN/>
        <w:bidi w:val="0"/>
        <w:snapToGrid/>
        <w:textAlignment w:val="auto"/>
      </w:pPr>
    </w:p>
    <w:sectPr>
      <w:pgSz w:w="11906" w:h="16838"/>
      <w:pgMar w:top="2098"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lNDNiOWQxMDYwMzc2YjVlMTRkNzViNjRjODRjNmIifQ=="/>
  </w:docVars>
  <w:rsids>
    <w:rsidRoot w:val="15C578C3"/>
    <w:rsid w:val="030B1E85"/>
    <w:rsid w:val="03636DC6"/>
    <w:rsid w:val="04380733"/>
    <w:rsid w:val="046855E1"/>
    <w:rsid w:val="076B2C00"/>
    <w:rsid w:val="077D7A80"/>
    <w:rsid w:val="08BB2D4F"/>
    <w:rsid w:val="09CB45A8"/>
    <w:rsid w:val="0A5533E9"/>
    <w:rsid w:val="11825E38"/>
    <w:rsid w:val="15C578C3"/>
    <w:rsid w:val="21C523C7"/>
    <w:rsid w:val="25B737CE"/>
    <w:rsid w:val="281F66F4"/>
    <w:rsid w:val="29F44FA0"/>
    <w:rsid w:val="35CF5B56"/>
    <w:rsid w:val="3ACB5377"/>
    <w:rsid w:val="3C884423"/>
    <w:rsid w:val="4D8B54B8"/>
    <w:rsid w:val="57911882"/>
    <w:rsid w:val="5CD27C33"/>
    <w:rsid w:val="6506649E"/>
    <w:rsid w:val="65954057"/>
    <w:rsid w:val="65BE740A"/>
    <w:rsid w:val="668034CF"/>
    <w:rsid w:val="6B6B4C7B"/>
    <w:rsid w:val="6BCD159B"/>
    <w:rsid w:val="6EF52D5E"/>
    <w:rsid w:val="72080CB8"/>
    <w:rsid w:val="74C46894"/>
    <w:rsid w:val="760A0D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unhideWhenUsed/>
    <w:qFormat/>
    <w:uiPriority w:val="99"/>
    <w:pPr>
      <w:spacing w:after="120"/>
      <w:ind w:firstLine="420" w:firstLineChars="100"/>
    </w:pPr>
    <w:rPr>
      <w:rFonts w:eastAsia="宋体"/>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1983</Words>
  <Characters>2019</Characters>
  <Lines>0</Lines>
  <Paragraphs>0</Paragraphs>
  <TotalTime>73</TotalTime>
  <ScaleCrop>false</ScaleCrop>
  <LinksUpToDate>false</LinksUpToDate>
  <CharactersWithSpaces>2035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联想</cp:lastModifiedBy>
  <cp:lastPrinted>2024-01-24T06:48:00Z</cp:lastPrinted>
  <dcterms:modified xsi:type="dcterms:W3CDTF">2025-02-13T00:36:49Z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B538A42FEE124B64AAB49AA2889BA295_13</vt:lpwstr>
  </property>
  <property fmtid="{D5CDD505-2E9C-101B-9397-08002B2CF9AE}" pid="4" name="KSOTemplateDocerSaveRecord">
    <vt:lpwstr>eyJoZGlkIjoiY2IzZDBiZDU0YTFmNTJhZjA2M2Q5MGQwZDkxYWZlMWIifQ==</vt:lpwstr>
  </property>
</Properties>
</file>