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C31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邢台高新区</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土地储备分中心单位</w:t>
      </w:r>
    </w:p>
    <w:p w14:paraId="542FE5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2024年</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政府信息公开工作年度报告</w:t>
      </w:r>
    </w:p>
    <w:p w14:paraId="2428AC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p>
    <w:p w14:paraId="0B5DC6CE">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根据《中华人民共和国政府信息公开条例》《河北省实施〈中华人民共和国政府信息公开条例〉办法》等规定，发布本年度报告。报告中所列数据统计期限为2024年1月1日至12月31日。</w:t>
      </w:r>
    </w:p>
    <w:p w14:paraId="1F2A1E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一、总体情况</w:t>
      </w:r>
    </w:p>
    <w:p w14:paraId="2417D182">
      <w:pPr>
        <w:rPr>
          <w:rFonts w:hint="default" w:ascii="仿宋_GB2312" w:hAnsi="微软雅黑" w:eastAsia="仿宋_GB2312" w:cs="仿宋_GB2312"/>
          <w:b w:val="0"/>
          <w:color w:val="auto"/>
          <w:kern w:val="0"/>
          <w:sz w:val="32"/>
          <w:szCs w:val="32"/>
          <w:shd w:val="clear" w:fill="FFFFFF"/>
          <w:lang w:val="en-US" w:eastAsia="zh-CN" w:bidi="ar-SA"/>
        </w:rPr>
      </w:pPr>
      <w:r>
        <w:rPr>
          <w:rFonts w:hint="eastAsia" w:ascii="仿宋_GB2312" w:hAnsi="仿宋_GB2312" w:eastAsia="仿宋_GB2312" w:cs="仿宋_GB2312"/>
          <w:b w:val="0"/>
          <w:bCs w:val="0"/>
          <w:sz w:val="32"/>
          <w:szCs w:val="32"/>
          <w:lang w:eastAsia="zh-CN"/>
        </w:rPr>
        <w:t>　　（一）加强主动公开。</w:t>
      </w:r>
      <w:r>
        <w:rPr>
          <w:rFonts w:hint="eastAsia" w:ascii="仿宋_GB2312" w:hAnsi="微软雅黑" w:eastAsia="仿宋_GB2312" w:cs="仿宋_GB2312"/>
          <w:b w:val="0"/>
          <w:color w:val="333333"/>
          <w:kern w:val="0"/>
          <w:sz w:val="32"/>
          <w:szCs w:val="32"/>
          <w:shd w:val="clear" w:fill="FFFFFF"/>
          <w:lang w:val="en-US" w:eastAsia="zh-CN" w:bidi="ar-SA"/>
        </w:rPr>
        <w:t>2024年，我中心对本年度公开的政府信息进</w:t>
      </w:r>
      <w:r>
        <w:rPr>
          <w:rFonts w:hint="eastAsia" w:ascii="仿宋_GB2312" w:hAnsi="微软雅黑" w:eastAsia="仿宋_GB2312" w:cs="仿宋_GB2312"/>
          <w:b w:val="0"/>
          <w:color w:val="auto"/>
          <w:kern w:val="0"/>
          <w:sz w:val="32"/>
          <w:szCs w:val="32"/>
          <w:shd w:val="clear" w:fill="FFFFFF"/>
          <w:lang w:val="en-US" w:eastAsia="zh-CN" w:bidi="ar-SA"/>
        </w:rPr>
        <w:t>行了认真的梳理和编目，截止12月31日，我中心按程序发布收储公告6个，挂牌出让公告4个，拍卖出让公告14个，划拨、出让成交公示 12个。</w:t>
      </w:r>
    </w:p>
    <w:p w14:paraId="0D414C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b w:val="0"/>
          <w:color w:val="333333"/>
          <w:kern w:val="0"/>
          <w:sz w:val="32"/>
          <w:szCs w:val="32"/>
          <w:shd w:val="clear" w:fill="FFFFFF"/>
          <w:lang w:val="en-US" w:eastAsia="zh-CN" w:bidi="ar-SA"/>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color w:val="auto"/>
          <w:kern w:val="0"/>
          <w:sz w:val="32"/>
          <w:szCs w:val="32"/>
          <w:highlight w:val="none"/>
          <w:shd w:val="clear" w:fill="FFFFFF"/>
          <w:lang w:val="en-US" w:eastAsia="zh-CN" w:bidi="ar"/>
        </w:rPr>
        <w:t>规范依申请公开办理。</w:t>
      </w:r>
      <w:r>
        <w:rPr>
          <w:rFonts w:hint="eastAsia" w:ascii="仿宋_GB2312" w:hAnsi="仿宋_GB2312" w:eastAsia="仿宋_GB2312" w:cs="仿宋_GB2312"/>
          <w:i w:val="0"/>
          <w:iCs w:val="0"/>
          <w:caps w:val="0"/>
          <w:color w:val="auto"/>
          <w:spacing w:val="0"/>
          <w:sz w:val="32"/>
          <w:szCs w:val="32"/>
          <w:shd w:val="clear" w:fill="FFFFFF"/>
        </w:rPr>
        <w:t>坚持以公开为常态、不公开为例外，遵循公正、公平、合法、便民的原则，认真办理政府信息依申请公开件。</w:t>
      </w:r>
    </w:p>
    <w:p w14:paraId="0D33238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right="0" w:rightChars="0" w:firstLine="640" w:firstLineChars="200"/>
        <w:jc w:val="left"/>
        <w:textAlignment w:val="auto"/>
        <w:rPr>
          <w:rFonts w:hint="eastAsia" w:ascii="仿宋_GB2312" w:hAnsi="微软雅黑" w:eastAsia="仿宋_GB2312" w:cs="仿宋_GB2312"/>
          <w:b w:val="0"/>
          <w:color w:val="333333"/>
          <w:kern w:val="0"/>
          <w:sz w:val="32"/>
          <w:szCs w:val="32"/>
          <w:shd w:val="clear" w:fill="FFFFFF"/>
          <w:lang w:val="en-US" w:eastAsia="zh-CN" w:bidi="ar-SA"/>
        </w:rPr>
      </w:pPr>
      <w:r>
        <w:rPr>
          <w:rFonts w:hint="eastAsia" w:ascii="仿宋_GB2312" w:hAnsi="微软雅黑" w:eastAsia="仿宋_GB2312" w:cs="仿宋_GB2312"/>
          <w:b w:val="0"/>
          <w:color w:val="333333"/>
          <w:kern w:val="0"/>
          <w:sz w:val="32"/>
          <w:szCs w:val="32"/>
          <w:shd w:val="clear" w:fill="FFFFFF"/>
          <w:lang w:val="en-US" w:eastAsia="zh-CN" w:bidi="ar-SA"/>
        </w:rPr>
        <w:t>（三）</w:t>
      </w:r>
      <w:r>
        <w:rPr>
          <w:rFonts w:hint="eastAsia" w:ascii="仿宋_GB2312" w:hAnsi="仿宋_GB2312" w:eastAsia="仿宋_GB2312" w:cs="仿宋_GB2312"/>
          <w:b w:val="0"/>
          <w:bCs w:val="0"/>
          <w:sz w:val="32"/>
          <w:szCs w:val="32"/>
          <w:lang w:eastAsia="zh-CN"/>
        </w:rPr>
        <w:t>严格政府信息管理</w:t>
      </w:r>
      <w:r>
        <w:rPr>
          <w:rFonts w:hint="eastAsia" w:ascii="仿宋_GB2312" w:hAnsi="仿宋_GB2312" w:eastAsia="仿宋_GB2312" w:cs="仿宋_GB2312"/>
          <w:color w:val="auto"/>
          <w:kern w:val="0"/>
          <w:sz w:val="32"/>
          <w:szCs w:val="32"/>
          <w:highlight w:val="none"/>
          <w:shd w:val="clear" w:fill="FFFFFF"/>
          <w:lang w:val="en-US" w:eastAsia="zh-CN" w:bidi="ar"/>
        </w:rPr>
        <w:t>。</w:t>
      </w:r>
      <w:r>
        <w:rPr>
          <w:rFonts w:hint="eastAsia" w:ascii="仿宋_GB2312" w:hAnsi="仿宋_GB2312" w:eastAsia="仿宋_GB2312" w:cs="仿宋_GB2312"/>
          <w:i w:val="0"/>
          <w:iCs w:val="0"/>
          <w:caps w:val="0"/>
          <w:color w:val="auto"/>
          <w:spacing w:val="0"/>
          <w:sz w:val="32"/>
          <w:szCs w:val="32"/>
          <w:shd w:val="clear" w:fill="FFFFFF"/>
        </w:rPr>
        <w:t>为更好地把握主动公开和依申请公开的界限，提高了发布效率和内容的准确性</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我</w:t>
      </w:r>
      <w:r>
        <w:rPr>
          <w:rFonts w:hint="eastAsia" w:ascii="仿宋_GB2312" w:hAnsi="仿宋_GB2312" w:eastAsia="仿宋_GB2312" w:cs="仿宋_GB2312"/>
          <w:i w:val="0"/>
          <w:iCs w:val="0"/>
          <w:caps w:val="0"/>
          <w:color w:val="auto"/>
          <w:spacing w:val="0"/>
          <w:sz w:val="32"/>
          <w:szCs w:val="32"/>
          <w:shd w:val="clear" w:fill="FFFFFF"/>
          <w:lang w:val="en-US" w:eastAsia="zh-CN"/>
        </w:rPr>
        <w:t>中心</w:t>
      </w:r>
      <w:r>
        <w:rPr>
          <w:rFonts w:hint="eastAsia" w:ascii="仿宋_GB2312" w:hAnsi="仿宋_GB2312" w:eastAsia="仿宋_GB2312" w:cs="仿宋_GB2312"/>
          <w:i w:val="0"/>
          <w:iCs w:val="0"/>
          <w:caps w:val="0"/>
          <w:color w:val="auto"/>
          <w:spacing w:val="0"/>
          <w:sz w:val="32"/>
          <w:szCs w:val="32"/>
          <w:shd w:val="clear" w:fill="FFFFFF"/>
        </w:rPr>
        <w:t>对</w:t>
      </w:r>
      <w:r>
        <w:rPr>
          <w:rFonts w:hint="eastAsia" w:ascii="仿宋_GB2312" w:hAnsi="仿宋_GB2312" w:eastAsia="仿宋_GB2312" w:cs="仿宋_GB2312"/>
          <w:i w:val="0"/>
          <w:iCs w:val="0"/>
          <w:caps w:val="0"/>
          <w:color w:val="auto"/>
          <w:spacing w:val="0"/>
          <w:sz w:val="32"/>
          <w:szCs w:val="32"/>
          <w:shd w:val="clear" w:fill="FFFFFF"/>
          <w:lang w:val="en-US" w:eastAsia="zh-CN"/>
        </w:rPr>
        <w:t>公开的信息</w:t>
      </w:r>
      <w:r>
        <w:rPr>
          <w:rFonts w:hint="eastAsia" w:ascii="仿宋_GB2312" w:hAnsi="仿宋_GB2312" w:eastAsia="仿宋_GB2312" w:cs="仿宋_GB2312"/>
          <w:i w:val="0"/>
          <w:iCs w:val="0"/>
          <w:caps w:val="0"/>
          <w:color w:val="auto"/>
          <w:spacing w:val="0"/>
          <w:sz w:val="32"/>
          <w:szCs w:val="32"/>
          <w:shd w:val="clear" w:fill="FFFFFF"/>
        </w:rPr>
        <w:t>进行分析研判，明确公开的类型，同时根据情势的变更进行动态调整，及时、准确地公开政府信息。</w:t>
      </w:r>
    </w:p>
    <w:p w14:paraId="6BC234CA">
      <w:pPr>
        <w:ind w:firstLine="640" w:firstLineChars="200"/>
        <w:rPr>
          <w:rFonts w:hint="default" w:ascii="仿宋_GB2312" w:hAnsi="微软雅黑" w:eastAsia="仿宋_GB2312" w:cs="仿宋_GB2312"/>
          <w:b w:val="0"/>
          <w:color w:val="333333"/>
          <w:kern w:val="0"/>
          <w:sz w:val="32"/>
          <w:szCs w:val="32"/>
          <w:shd w:val="clear" w:fill="FFFFFF"/>
          <w:lang w:val="en-US" w:eastAsia="zh-CN" w:bidi="ar-SA"/>
        </w:rPr>
      </w:pPr>
      <w:r>
        <w:rPr>
          <w:rFonts w:hint="eastAsia" w:ascii="仿宋_GB2312" w:hAnsi="微软雅黑" w:eastAsia="仿宋_GB2312" w:cs="仿宋_GB2312"/>
          <w:b w:val="0"/>
          <w:color w:val="333333"/>
          <w:kern w:val="0"/>
          <w:sz w:val="32"/>
          <w:szCs w:val="32"/>
          <w:shd w:val="clear" w:fill="FFFFFF"/>
          <w:lang w:val="en-US" w:eastAsia="zh-CN" w:bidi="ar-SA"/>
        </w:rPr>
        <w:t>（四）</w:t>
      </w:r>
      <w:r>
        <w:rPr>
          <w:rFonts w:hint="eastAsia" w:ascii="仿宋_GB2312" w:hAnsi="仿宋_GB2312" w:eastAsia="仿宋_GB2312" w:cs="仿宋_GB2312"/>
          <w:b w:val="0"/>
          <w:bCs w:val="0"/>
          <w:sz w:val="32"/>
          <w:szCs w:val="32"/>
          <w:lang w:eastAsia="zh-CN"/>
        </w:rPr>
        <w:t>推进政府信息公开平台建设。</w:t>
      </w:r>
      <w:r>
        <w:rPr>
          <w:rFonts w:hint="eastAsia" w:ascii="仿宋_GB2312" w:hAnsi="微软雅黑" w:eastAsia="仿宋_GB2312" w:cs="仿宋_GB2312"/>
          <w:b w:val="0"/>
          <w:color w:val="333333"/>
          <w:kern w:val="0"/>
          <w:sz w:val="32"/>
          <w:szCs w:val="32"/>
          <w:shd w:val="clear" w:fill="FFFFFF"/>
          <w:lang w:val="en-US" w:eastAsia="zh-CN" w:bidi="ar-SA"/>
        </w:rPr>
        <w:t>2024年，我中心紧紧围绕新区规划建设等中心工作，充分发挥邢台日报、</w:t>
      </w:r>
      <w:r>
        <w:rPr>
          <w:rFonts w:hint="eastAsia" w:ascii="仿宋_GB2312" w:hAnsi="微软雅黑" w:eastAsia="仿宋_GB2312" w:cs="仿宋_GB2312"/>
          <w:b w:val="0"/>
          <w:color w:val="333333"/>
          <w:kern w:val="0"/>
          <w:sz w:val="32"/>
          <w:szCs w:val="32"/>
          <w:shd w:val="clear" w:fill="FFFFFF"/>
          <w:lang w:val="en-US" w:eastAsia="zh-CN" w:bidi="ar-SA"/>
        </w:rPr>
        <w:fldChar w:fldCharType="begin"/>
      </w:r>
      <w:r>
        <w:rPr>
          <w:rFonts w:hint="eastAsia" w:ascii="仿宋_GB2312" w:hAnsi="微软雅黑" w:eastAsia="仿宋_GB2312" w:cs="仿宋_GB2312"/>
          <w:b w:val="0"/>
          <w:color w:val="333333"/>
          <w:kern w:val="0"/>
          <w:sz w:val="32"/>
          <w:szCs w:val="32"/>
          <w:shd w:val="clear" w:fill="FFFFFF"/>
          <w:lang w:val="en-US" w:eastAsia="zh-CN" w:bidi="ar-SA"/>
        </w:rPr>
        <w:instrText xml:space="preserve"> HYPERLINK "https://www.so.com/link?m=bgelryTGGhdsJ294Elh/ZpGURv4iya4tGraNALUwVXgpSeKD9oUvsXplibu2zyFHKXahUuUpoSLTAJBrGlja9Utomod+tJyr2jHmA4b7+1CTgj9rPnmuPOHO49Hr1ntbb+yyPpAgkZ1mVchswhQrsV+8e6chDAmrjmVAqpyOMi91TXmjWiMNFMHi6AuS8LRTQuLMeoddA47d+vUB3U8tcbQCZ3IFvbYJUyS0KRoPKWBpeoDUHJ6F923PG/jjFc++M" \t "https://www.so.com/_blank" </w:instrText>
      </w:r>
      <w:r>
        <w:rPr>
          <w:rFonts w:hint="eastAsia" w:ascii="仿宋_GB2312" w:hAnsi="微软雅黑" w:eastAsia="仿宋_GB2312" w:cs="仿宋_GB2312"/>
          <w:b w:val="0"/>
          <w:color w:val="333333"/>
          <w:kern w:val="0"/>
          <w:sz w:val="32"/>
          <w:szCs w:val="32"/>
          <w:shd w:val="clear" w:fill="FFFFFF"/>
          <w:lang w:val="en-US" w:eastAsia="zh-CN" w:bidi="ar-SA"/>
        </w:rPr>
        <w:fldChar w:fldCharType="separate"/>
      </w:r>
      <w:r>
        <w:rPr>
          <w:rFonts w:hint="eastAsia" w:ascii="仿宋_GB2312" w:hAnsi="微软雅黑" w:eastAsia="仿宋_GB2312" w:cs="仿宋_GB2312"/>
          <w:b w:val="0"/>
          <w:color w:val="333333"/>
          <w:kern w:val="0"/>
          <w:sz w:val="32"/>
          <w:szCs w:val="32"/>
          <w:shd w:val="clear" w:fill="FFFFFF"/>
          <w:lang w:val="en-US" w:eastAsia="zh-CN" w:bidi="ar-SA"/>
        </w:rPr>
        <w:t>土地市场动态监测与监管系统</w:t>
      </w:r>
      <w:r>
        <w:rPr>
          <w:rFonts w:hint="eastAsia" w:ascii="仿宋_GB2312" w:hAnsi="微软雅黑" w:eastAsia="仿宋_GB2312" w:cs="仿宋_GB2312"/>
          <w:b w:val="0"/>
          <w:color w:val="333333"/>
          <w:kern w:val="0"/>
          <w:sz w:val="32"/>
          <w:szCs w:val="32"/>
          <w:shd w:val="clear" w:fill="FFFFFF"/>
          <w:lang w:val="en-US" w:eastAsia="zh-CN" w:bidi="ar-SA"/>
        </w:rPr>
        <w:fldChar w:fldCharType="end"/>
      </w:r>
      <w:r>
        <w:rPr>
          <w:rFonts w:hint="eastAsia" w:ascii="仿宋_GB2312" w:hAnsi="微软雅黑" w:eastAsia="仿宋_GB2312" w:cs="仿宋_GB2312"/>
          <w:b w:val="0"/>
          <w:color w:val="333333"/>
          <w:kern w:val="0"/>
          <w:sz w:val="32"/>
          <w:szCs w:val="32"/>
          <w:shd w:val="clear" w:fill="FFFFFF"/>
          <w:lang w:val="en-US" w:eastAsia="zh-CN" w:bidi="ar-SA"/>
        </w:rPr>
        <w:t>等各类平台作用，真实、主动公开信息，及时、有效回应咨询，依法、积极推进政府信息公开工作。</w:t>
      </w:r>
    </w:p>
    <w:p w14:paraId="12AB62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b w:val="0"/>
          <w:color w:val="333333"/>
          <w:kern w:val="0"/>
          <w:sz w:val="32"/>
          <w:szCs w:val="32"/>
          <w:shd w:val="clear" w:fill="FFFFFF"/>
          <w:lang w:val="en-US" w:eastAsia="zh-CN" w:bidi="ar-SA"/>
        </w:rPr>
      </w:pPr>
    </w:p>
    <w:p w14:paraId="251278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仿宋_GB2312" w:hAnsi="微软雅黑" w:eastAsia="仿宋_GB2312" w:cs="仿宋_GB2312"/>
          <w:b w:val="0"/>
          <w:color w:val="333333"/>
          <w:kern w:val="0"/>
          <w:sz w:val="32"/>
          <w:szCs w:val="32"/>
          <w:shd w:val="clear" w:fill="FFFFFF"/>
          <w:lang w:val="en-US" w:eastAsia="zh-CN" w:bidi="ar-SA"/>
        </w:rPr>
        <w:t>（五）</w:t>
      </w:r>
      <w:r>
        <w:rPr>
          <w:rFonts w:hint="eastAsia" w:ascii="仿宋_GB2312" w:hAnsi="仿宋_GB2312" w:eastAsia="仿宋_GB2312" w:cs="仿宋_GB2312"/>
          <w:color w:val="auto"/>
          <w:kern w:val="0"/>
          <w:sz w:val="32"/>
          <w:szCs w:val="32"/>
          <w:highlight w:val="none"/>
          <w:shd w:val="clear" w:fill="FFFFFF"/>
          <w:lang w:val="en-US" w:eastAsia="zh-CN" w:bidi="ar"/>
        </w:rPr>
        <w:t>对政务公开工作重点任务梳理形成台账，细化实化责任分工。</w:t>
      </w:r>
      <w:r>
        <w:rPr>
          <w:rFonts w:hint="eastAsia" w:ascii="仿宋_GB2312" w:hAnsi="仿宋_GB2312" w:eastAsia="仿宋_GB2312" w:cs="仿宋_GB2312"/>
          <w:i w:val="0"/>
          <w:iCs w:val="0"/>
          <w:caps w:val="0"/>
          <w:color w:val="auto"/>
          <w:spacing w:val="0"/>
          <w:sz w:val="32"/>
          <w:szCs w:val="32"/>
          <w:shd w:val="clear" w:fill="FFFFFF"/>
        </w:rPr>
        <w:t>我</w:t>
      </w:r>
      <w:r>
        <w:rPr>
          <w:rFonts w:hint="eastAsia" w:ascii="仿宋_GB2312" w:hAnsi="仿宋_GB2312" w:eastAsia="仿宋_GB2312" w:cs="仿宋_GB2312"/>
          <w:i w:val="0"/>
          <w:iCs w:val="0"/>
          <w:caps w:val="0"/>
          <w:color w:val="auto"/>
          <w:spacing w:val="0"/>
          <w:sz w:val="32"/>
          <w:szCs w:val="32"/>
          <w:shd w:val="clear" w:fill="FFFFFF"/>
          <w:lang w:val="en-US" w:eastAsia="zh-CN"/>
        </w:rPr>
        <w:t>中心将结合党政办公室对</w:t>
      </w:r>
      <w:r>
        <w:rPr>
          <w:rFonts w:hint="eastAsia" w:ascii="仿宋_GB2312" w:hAnsi="仿宋_GB2312" w:eastAsia="仿宋_GB2312" w:cs="仿宋_GB2312"/>
          <w:i w:val="0"/>
          <w:iCs w:val="0"/>
          <w:caps w:val="0"/>
          <w:color w:val="auto"/>
          <w:spacing w:val="0"/>
          <w:sz w:val="32"/>
          <w:szCs w:val="32"/>
          <w:shd w:val="clear" w:fill="FFFFFF"/>
        </w:rPr>
        <w:t>政府信息公开工作的监督保障力度</w:t>
      </w:r>
      <w:r>
        <w:rPr>
          <w:rFonts w:hint="eastAsia" w:ascii="仿宋_GB2312" w:hAnsi="仿宋_GB2312" w:eastAsia="仿宋_GB2312" w:cs="仿宋_GB2312"/>
          <w:i w:val="0"/>
          <w:iCs w:val="0"/>
          <w:caps w:val="0"/>
          <w:color w:val="auto"/>
          <w:spacing w:val="0"/>
          <w:sz w:val="32"/>
          <w:szCs w:val="32"/>
          <w:shd w:val="clear" w:fill="FFFFFF"/>
          <w:lang w:val="en-US" w:eastAsia="zh-CN"/>
        </w:rPr>
        <w:t>要求</w:t>
      </w:r>
      <w:r>
        <w:rPr>
          <w:rFonts w:hint="eastAsia" w:ascii="仿宋_GB2312" w:hAnsi="仿宋_GB2312" w:eastAsia="仿宋_GB2312" w:cs="仿宋_GB2312"/>
          <w:i w:val="0"/>
          <w:iCs w:val="0"/>
          <w:caps w:val="0"/>
          <w:color w:val="auto"/>
          <w:spacing w:val="0"/>
          <w:sz w:val="32"/>
          <w:szCs w:val="32"/>
          <w:shd w:val="clear" w:fill="FFFFFF"/>
        </w:rPr>
        <w:t>，对主动公开的情况进行定期自查，及时整改网站上的错链，对依申请公开办理的程序是否规范进行督查，及时发现并协调解决问题。</w:t>
      </w:r>
    </w:p>
    <w:p w14:paraId="6DEDF2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二、主动公开政府信息情况</w:t>
      </w:r>
    </w:p>
    <w:tbl>
      <w:tblPr>
        <w:tblStyle w:val="4"/>
        <w:tblW w:w="8840" w:type="dxa"/>
        <w:jc w:val="center"/>
        <w:tblLayout w:type="fixed"/>
        <w:tblCellMar>
          <w:top w:w="0" w:type="dxa"/>
          <w:left w:w="0" w:type="dxa"/>
          <w:bottom w:w="0" w:type="dxa"/>
          <w:right w:w="0" w:type="dxa"/>
        </w:tblCellMar>
      </w:tblPr>
      <w:tblGrid>
        <w:gridCol w:w="3225"/>
        <w:gridCol w:w="1901"/>
        <w:gridCol w:w="1671"/>
        <w:gridCol w:w="2043"/>
      </w:tblGrid>
      <w:tr w14:paraId="4C93888C">
        <w:tblPrEx>
          <w:tblCellMar>
            <w:top w:w="0" w:type="dxa"/>
            <w:left w:w="0" w:type="dxa"/>
            <w:bottom w:w="0" w:type="dxa"/>
            <w:right w:w="0" w:type="dxa"/>
          </w:tblCellMar>
        </w:tblPrEx>
        <w:trPr>
          <w:trHeight w:val="624" w:hRule="exact"/>
          <w:jc w:val="center"/>
        </w:trPr>
        <w:tc>
          <w:tcPr>
            <w:tcW w:w="88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14:paraId="4CC5A5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第（一）项</w:t>
            </w:r>
          </w:p>
        </w:tc>
      </w:tr>
      <w:tr w14:paraId="4BCD4C5B">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38E5AA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901" w:type="dxa"/>
            <w:tcBorders>
              <w:top w:val="single" w:color="auto" w:sz="8" w:space="0"/>
              <w:left w:val="nil"/>
              <w:bottom w:val="single" w:color="auto" w:sz="8" w:space="0"/>
              <w:right w:val="single" w:color="auto" w:sz="8" w:space="0"/>
            </w:tcBorders>
            <w:noWrap/>
            <w:tcMar>
              <w:left w:w="108" w:type="dxa"/>
              <w:right w:w="108" w:type="dxa"/>
            </w:tcMar>
            <w:vAlign w:val="center"/>
          </w:tcPr>
          <w:p w14:paraId="6D54E4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制发件数</w:t>
            </w:r>
          </w:p>
        </w:tc>
        <w:tc>
          <w:tcPr>
            <w:tcW w:w="1671"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0C229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废止件数</w:t>
            </w:r>
          </w:p>
        </w:tc>
        <w:tc>
          <w:tcPr>
            <w:tcW w:w="2043" w:type="dxa"/>
            <w:tcBorders>
              <w:top w:val="nil"/>
              <w:left w:val="nil"/>
              <w:bottom w:val="single" w:color="auto" w:sz="8" w:space="0"/>
              <w:right w:val="single" w:color="auto" w:sz="8" w:space="0"/>
            </w:tcBorders>
            <w:noWrap/>
            <w:tcMar>
              <w:left w:w="108" w:type="dxa"/>
              <w:right w:w="108" w:type="dxa"/>
            </w:tcMar>
            <w:vAlign w:val="center"/>
          </w:tcPr>
          <w:p w14:paraId="06EEA1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现行有效件数</w:t>
            </w:r>
          </w:p>
        </w:tc>
      </w:tr>
      <w:tr w14:paraId="1C7C161E">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3E525C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901" w:type="dxa"/>
            <w:tcBorders>
              <w:top w:val="nil"/>
              <w:left w:val="nil"/>
              <w:bottom w:val="single" w:color="auto" w:sz="8" w:space="0"/>
              <w:right w:val="single" w:color="auto" w:sz="8" w:space="0"/>
            </w:tcBorders>
            <w:noWrap/>
            <w:tcMar>
              <w:left w:w="108" w:type="dxa"/>
              <w:right w:w="108" w:type="dxa"/>
            </w:tcMar>
            <w:vAlign w:val="center"/>
          </w:tcPr>
          <w:p w14:paraId="0E759C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c>
          <w:tcPr>
            <w:tcW w:w="1671" w:type="dxa"/>
            <w:tcBorders>
              <w:top w:val="nil"/>
              <w:left w:val="nil"/>
              <w:bottom w:val="single" w:color="auto" w:sz="8" w:space="0"/>
              <w:right w:val="single" w:color="auto" w:sz="8" w:space="0"/>
            </w:tcBorders>
            <w:noWrap w:val="0"/>
            <w:tcMar>
              <w:left w:w="108" w:type="dxa"/>
              <w:right w:w="108" w:type="dxa"/>
            </w:tcMar>
            <w:vAlign w:val="center"/>
          </w:tcPr>
          <w:p w14:paraId="1DA2CC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2043" w:type="dxa"/>
            <w:tcBorders>
              <w:top w:val="nil"/>
              <w:left w:val="nil"/>
              <w:bottom w:val="single" w:color="auto" w:sz="8" w:space="0"/>
              <w:right w:val="single" w:color="auto" w:sz="8" w:space="0"/>
            </w:tcBorders>
            <w:noWrap/>
            <w:tcMar>
              <w:left w:w="108" w:type="dxa"/>
              <w:right w:w="108" w:type="dxa"/>
            </w:tcMar>
            <w:vAlign w:val="center"/>
          </w:tcPr>
          <w:p w14:paraId="0810D2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r>
      <w:tr w14:paraId="71A27A23">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6CC0CE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901" w:type="dxa"/>
            <w:tcBorders>
              <w:top w:val="nil"/>
              <w:left w:val="nil"/>
              <w:bottom w:val="single" w:color="auto" w:sz="8" w:space="0"/>
              <w:right w:val="single" w:color="auto" w:sz="8" w:space="0"/>
            </w:tcBorders>
            <w:noWrap/>
            <w:tcMar>
              <w:left w:w="108" w:type="dxa"/>
              <w:right w:w="108" w:type="dxa"/>
            </w:tcMar>
            <w:vAlign w:val="center"/>
          </w:tcPr>
          <w:p w14:paraId="4AC985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1671" w:type="dxa"/>
            <w:tcBorders>
              <w:top w:val="nil"/>
              <w:left w:val="nil"/>
              <w:bottom w:val="single" w:color="auto" w:sz="8" w:space="0"/>
              <w:right w:val="single" w:color="auto" w:sz="8" w:space="0"/>
            </w:tcBorders>
            <w:noWrap w:val="0"/>
            <w:tcMar>
              <w:left w:w="108" w:type="dxa"/>
              <w:right w:w="108" w:type="dxa"/>
            </w:tcMar>
            <w:vAlign w:val="center"/>
          </w:tcPr>
          <w:p w14:paraId="163EC0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2043" w:type="dxa"/>
            <w:tcBorders>
              <w:top w:val="nil"/>
              <w:left w:val="nil"/>
              <w:bottom w:val="single" w:color="auto" w:sz="8" w:space="0"/>
              <w:right w:val="single" w:color="auto" w:sz="8" w:space="0"/>
            </w:tcBorders>
            <w:noWrap/>
            <w:tcMar>
              <w:left w:w="108" w:type="dxa"/>
              <w:right w:w="108" w:type="dxa"/>
            </w:tcMar>
            <w:vAlign w:val="center"/>
          </w:tcPr>
          <w:p w14:paraId="4146F9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14:paraId="67277B82">
        <w:tblPrEx>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5FC8E0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第（五）项</w:t>
            </w:r>
          </w:p>
        </w:tc>
      </w:tr>
      <w:tr w14:paraId="52EEA435">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771B85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14:paraId="763E34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eastAsia="zh-CN"/>
              </w:rPr>
            </w:pPr>
            <w:r>
              <w:rPr>
                <w:rFonts w:hint="eastAsia"/>
                <w:lang w:eastAsia="zh-CN"/>
              </w:rPr>
              <w:t>本年处理决定数</w:t>
            </w:r>
            <w:r>
              <w:rPr>
                <w:rFonts w:hint="eastAsia"/>
                <w:lang w:val="en-US" w:eastAsia="zh-CN"/>
              </w:rPr>
              <w:t>量</w:t>
            </w:r>
          </w:p>
        </w:tc>
      </w:tr>
      <w:tr w14:paraId="0108E5D9">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6055B0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14:paraId="135B9D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14:paraId="3A722ABE">
        <w:tblPrEx>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3EBABE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第（六）项</w:t>
            </w:r>
          </w:p>
        </w:tc>
      </w:tr>
      <w:tr w14:paraId="6F3E85B9">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5D07FF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14:paraId="1B22DC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eastAsia="zh-CN"/>
              </w:rPr>
              <w:t>本年处理决定数</w:t>
            </w:r>
            <w:r>
              <w:rPr>
                <w:rFonts w:hint="eastAsia"/>
                <w:lang w:val="en-US" w:eastAsia="zh-CN"/>
              </w:rPr>
              <w:t>量</w:t>
            </w:r>
            <w:bookmarkStart w:id="0" w:name="_GoBack"/>
            <w:bookmarkEnd w:id="0"/>
          </w:p>
        </w:tc>
      </w:tr>
      <w:tr w14:paraId="7F8C08FE">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5F8A54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14:paraId="46BF1C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14:paraId="6BBD3855">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30BD09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14:paraId="6835F7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14:paraId="4A4E181E">
        <w:tblPrEx>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47715E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第（八）项</w:t>
            </w:r>
          </w:p>
        </w:tc>
      </w:tr>
      <w:tr w14:paraId="6F538B23">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26B36C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nil"/>
              <w:left w:val="nil"/>
              <w:bottom w:val="single" w:color="auto" w:sz="8" w:space="0"/>
              <w:right w:val="single" w:color="000000" w:sz="8" w:space="0"/>
            </w:tcBorders>
            <w:noWrap/>
            <w:tcMar>
              <w:left w:w="108" w:type="dxa"/>
              <w:right w:w="108" w:type="dxa"/>
            </w:tcMar>
            <w:vAlign w:val="center"/>
          </w:tcPr>
          <w:p w14:paraId="24107B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eastAsia="zh-CN"/>
              </w:rPr>
            </w:pPr>
            <w:r>
              <w:rPr>
                <w:rFonts w:hint="eastAsia"/>
                <w:lang w:eastAsia="zh-CN"/>
              </w:rPr>
              <w:t>本年收费金额（单位：万元）</w:t>
            </w:r>
          </w:p>
        </w:tc>
      </w:tr>
      <w:tr w14:paraId="46315ECB">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511F93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5615" w:type="dxa"/>
            <w:gridSpan w:val="3"/>
            <w:tcBorders>
              <w:top w:val="nil"/>
              <w:left w:val="nil"/>
              <w:bottom w:val="single" w:color="auto" w:sz="8" w:space="0"/>
              <w:right w:val="single" w:color="000000" w:sz="8" w:space="0"/>
            </w:tcBorders>
            <w:noWrap/>
            <w:tcMar>
              <w:left w:w="108" w:type="dxa"/>
              <w:right w:w="108" w:type="dxa"/>
            </w:tcMar>
            <w:vAlign w:val="center"/>
          </w:tcPr>
          <w:p w14:paraId="4ACCDA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r>
    </w:tbl>
    <w:p w14:paraId="51ECAF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60" w:lineRule="exact"/>
        <w:ind w:right="0" w:firstLine="320" w:firstLineChars="1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三、收到和处理政府信息公开申请情况</w:t>
      </w:r>
    </w:p>
    <w:tbl>
      <w:tblPr>
        <w:tblStyle w:val="4"/>
        <w:tblW w:w="91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7"/>
        <w:gridCol w:w="2375"/>
        <w:gridCol w:w="713"/>
        <w:gridCol w:w="712"/>
        <w:gridCol w:w="738"/>
        <w:gridCol w:w="912"/>
        <w:gridCol w:w="875"/>
        <w:gridCol w:w="650"/>
        <w:gridCol w:w="650"/>
      </w:tblGrid>
      <w:tr w14:paraId="0E6E17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3850"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58B64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ascii="楷体_GB2312" w:hAnsi="楷体_GB2312" w:eastAsia="楷体_GB2312" w:cs="楷体_GB2312"/>
                <w:kern w:val="0"/>
                <w:sz w:val="20"/>
                <w:szCs w:val="20"/>
                <w:lang w:val="en-US" w:eastAsia="zh-CN" w:bidi="ar"/>
              </w:rPr>
              <w:t>（本列数据的勾稽关系为：第一项加第二项之和，等于第三项加第四项之和）</w:t>
            </w:r>
          </w:p>
        </w:tc>
        <w:tc>
          <w:tcPr>
            <w:tcW w:w="5250"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14:paraId="605FB3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14:paraId="49D61E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3850"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58FAD2F">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3" w:type="dxa"/>
            <w:vMerge w:val="restart"/>
            <w:tcBorders>
              <w:top w:val="nil"/>
              <w:left w:val="nil"/>
              <w:bottom w:val="single" w:color="auto" w:sz="8" w:space="0"/>
              <w:right w:val="single" w:color="auto" w:sz="8" w:space="0"/>
            </w:tcBorders>
            <w:noWrap w:val="0"/>
            <w:tcMar>
              <w:left w:w="108" w:type="dxa"/>
              <w:right w:w="108" w:type="dxa"/>
            </w:tcMar>
            <w:vAlign w:val="center"/>
          </w:tcPr>
          <w:p w14:paraId="30D7A7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自</w:t>
            </w:r>
          </w:p>
          <w:p w14:paraId="21C9C3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然</w:t>
            </w:r>
          </w:p>
          <w:p w14:paraId="1D4EAF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人</w:t>
            </w:r>
          </w:p>
        </w:tc>
        <w:tc>
          <w:tcPr>
            <w:tcW w:w="388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24BFE6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50"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662ED8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总计</w:t>
            </w:r>
          </w:p>
        </w:tc>
      </w:tr>
      <w:tr w14:paraId="4B0DA0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0" w:hRule="atLeast"/>
          <w:jc w:val="center"/>
        </w:trPr>
        <w:tc>
          <w:tcPr>
            <w:tcW w:w="3850"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DA00C6F">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3" w:type="dxa"/>
            <w:vMerge w:val="continue"/>
            <w:tcBorders>
              <w:top w:val="nil"/>
              <w:left w:val="nil"/>
              <w:bottom w:val="single" w:color="auto" w:sz="8" w:space="0"/>
              <w:right w:val="single" w:color="auto" w:sz="8" w:space="0"/>
            </w:tcBorders>
            <w:noWrap w:val="0"/>
            <w:tcMar>
              <w:left w:w="108" w:type="dxa"/>
              <w:right w:w="108" w:type="dxa"/>
            </w:tcMar>
            <w:vAlign w:val="center"/>
          </w:tcPr>
          <w:p w14:paraId="202C0184">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038CFB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商业企业</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0C655C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科研机构</w:t>
            </w:r>
          </w:p>
        </w:tc>
        <w:tc>
          <w:tcPr>
            <w:tcW w:w="912"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04780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87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09D5A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8F85B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50"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5ED57766">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r>
      <w:tr w14:paraId="1DB0E1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4E5550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36BCB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61E9B5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2A2574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077E12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5C4F99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E5A4F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3B1B7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564DF2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729808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2393BD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67774C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43CD70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73F78B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326B45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5AE13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1BCAB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753EB1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1D8A52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14:paraId="1844F4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（一）予以公开</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47636E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49A2CB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754EA2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5593AB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0A8615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8531D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62204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4DCEC0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63BB635">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14:paraId="4DD235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7C3F4C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2258C2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6BB1ED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2469A7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55A208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45235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4F62F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4BF30D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661490A">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14:paraId="696CC7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（三）不予公开</w:t>
            </w: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15C6CA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1.属于国家秘密</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73EE3F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54B2F1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1AD25A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640882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3DA3B0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C5939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71BEF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4D467A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5A39F15">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13C2F725">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122D1E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2.其他法律行政法规禁止公开</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62B21D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24AE47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335D63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353EDC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65FB67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2C224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E23CB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398093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9A4CB52">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6462EC4C">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655ECB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3.危及“三安全一稳定”</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376B15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6944D2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27D9CF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363055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433341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B544D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E7524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564E01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9C4DDE7">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52FB2F14">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37F47E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4.保护第三方合法权益</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01630B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4900DD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5541A9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301C1A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2C3266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10AE0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8E7FF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46B4E7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5DDB119">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6AB088A9">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6E9BF5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01BC04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4162DD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344927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1220C3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0159F2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48C9B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51E67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142B8E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D52883E">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350990DB">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57D957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6ACE04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40A1F3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470136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2B1A33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26E249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7CF89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F9F77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5EEFC5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6B6D341">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1A028466">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291A4C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6FE3B8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3D8B8B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4E4E50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59F766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535995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64262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6EAA0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1EB153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E5CDC88">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7B98D83F">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356C5F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02F515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6FDA24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55179A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15405E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1D3C58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18200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5856F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2A6041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07054B1">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14:paraId="22E48A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pPr>
            <w:r>
              <w:rPr>
                <w:rFonts w:hint="eastAsia" w:ascii="楷体" w:hAnsi="楷体" w:eastAsia="楷体" w:cs="楷体"/>
                <w:kern w:val="0"/>
                <w:sz w:val="20"/>
                <w:szCs w:val="20"/>
                <w:lang w:val="en-US" w:eastAsia="zh-CN" w:bidi="ar"/>
              </w:rPr>
              <w:t>（四）无法提供</w:t>
            </w: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1CEA85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0329B2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510BAC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13CD70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789510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61526D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7C6B5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FDF2F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523B6E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2ADA4C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7BD82F8D">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52EDC5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6BB898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478836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0874FA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77B31C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3DD872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26371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74453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04CEAF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2E42D9F">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4FE327B1">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5F01A9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2A7A07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2E8B88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305FCF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2E0B15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13C761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9ED8B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631EF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1286AA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827F34F">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14:paraId="151250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rPr>
                <w:rFonts w:hint="eastAsia" w:ascii="楷体" w:hAnsi="楷体" w:eastAsia="楷体" w:cs="楷体"/>
                <w:kern w:val="0"/>
                <w:sz w:val="20"/>
                <w:szCs w:val="20"/>
                <w:lang w:val="en-US" w:eastAsia="zh-CN" w:bidi="ar"/>
              </w:rPr>
            </w:pPr>
          </w:p>
          <w:p w14:paraId="0A1D4E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pPr>
            <w:r>
              <w:rPr>
                <w:rFonts w:hint="eastAsia" w:ascii="楷体" w:hAnsi="楷体" w:eastAsia="楷体" w:cs="楷体"/>
                <w:kern w:val="0"/>
                <w:sz w:val="20"/>
                <w:szCs w:val="20"/>
                <w:lang w:val="en-US" w:eastAsia="zh-CN" w:bidi="ar"/>
              </w:rPr>
              <w:t>（五）不予处理</w:t>
            </w: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463DE5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74E15D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580921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5C52A2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0AEC77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590BB5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C8BB3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902BC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4A523B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F84010A">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0636E1FE">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614BAC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2.重复申请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2B6B55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37F86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040097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67FB71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391536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14E23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2D00E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075461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71703C6">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7D0A4364">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202266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3F6081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1E2753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1D5FD5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28A17C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2666FB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C9E60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E8E9B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59C4BF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8DB0D4D">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453D3E7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736798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3345D5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7F48C2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2FBBE2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0BEF0F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1B4F01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B53C1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4E895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2987FF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6B28CD9">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4" w:space="0"/>
            </w:tcBorders>
            <w:noWrap w:val="0"/>
            <w:tcMar>
              <w:left w:w="108" w:type="dxa"/>
              <w:right w:w="108" w:type="dxa"/>
            </w:tcMar>
            <w:vAlign w:val="center"/>
          </w:tcPr>
          <w:p w14:paraId="421FDEDD">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14:paraId="56E921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08C253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381CC9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08D8FE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34B7E5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7F32DD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2AFC3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B4DA7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7AFB42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7F7530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right w:val="single" w:color="auto" w:sz="4" w:space="0"/>
            </w:tcBorders>
            <w:noWrap w:val="0"/>
            <w:tcMar>
              <w:left w:w="108" w:type="dxa"/>
              <w:right w:w="108" w:type="dxa"/>
            </w:tcMar>
            <w:vAlign w:val="center"/>
          </w:tcPr>
          <w:p w14:paraId="14E53D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（六）其他处理</w:t>
            </w: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14:paraId="4DFDAC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1.申请人无正当理由逾期不补正、行政机关不再处理其政府信息公开申请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779865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23CE4D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2DED7B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57CC50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736274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FB44A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5C432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78FE2E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A32903E">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left w:val="nil"/>
              <w:right w:val="single" w:color="auto" w:sz="4" w:space="0"/>
            </w:tcBorders>
            <w:noWrap w:val="0"/>
            <w:tcMar>
              <w:left w:w="108" w:type="dxa"/>
              <w:right w:w="108" w:type="dxa"/>
            </w:tcMar>
            <w:vAlign w:val="center"/>
          </w:tcPr>
          <w:p w14:paraId="32AC58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14:paraId="1617B1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2.申请人逾期未按收费通知要求缴纳费用、行政机关不再处理其政府信息公开申请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3B6643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606793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43630A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0D509A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722390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1FAE4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D42C3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4C26DB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809CD17">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left w:val="nil"/>
              <w:bottom w:val="single" w:color="auto" w:sz="8" w:space="0"/>
              <w:right w:val="single" w:color="auto" w:sz="4" w:space="0"/>
            </w:tcBorders>
            <w:noWrap w:val="0"/>
            <w:tcMar>
              <w:left w:w="108" w:type="dxa"/>
              <w:right w:w="108" w:type="dxa"/>
            </w:tcMar>
            <w:vAlign w:val="center"/>
          </w:tcPr>
          <w:p w14:paraId="2B4041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14:paraId="38D87C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3.其他</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179523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1D2BAD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2E8278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7F62D5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2B200B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B8E96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37198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59899D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2"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8228B39">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14:paraId="1D8CE6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（七）总计</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206230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2C779D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13DC4F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55F142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138D7E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8123F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AEC7C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6B8A59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8"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5E476C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四、结转下年度继续办理</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544409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1A57EB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7417B3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65250D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44507D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5C75D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D21DC3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eastAsia="宋体"/>
                <w:sz w:val="24"/>
                <w:szCs w:val="24"/>
                <w:lang w:val="en-US" w:eastAsia="zh-CN"/>
              </w:rPr>
            </w:pPr>
            <w:r>
              <w:rPr>
                <w:rFonts w:hint="eastAsia"/>
                <w:lang w:val="en-US" w:eastAsia="zh-CN"/>
              </w:rPr>
              <w:t>0</w:t>
            </w:r>
          </w:p>
        </w:tc>
      </w:tr>
    </w:tbl>
    <w:p w14:paraId="5C4445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169918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56811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27FECD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行政诉讼</w:t>
            </w:r>
          </w:p>
        </w:tc>
      </w:tr>
      <w:tr w14:paraId="2469F2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027DF9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08F4AA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1FA082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424CB1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0136EC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3F314C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738D1C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复议后起诉</w:t>
            </w:r>
          </w:p>
        </w:tc>
      </w:tr>
      <w:tr w14:paraId="006029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079405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457E802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09AA5F7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3F827D6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1F0A5C8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2342BC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01B9AB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75D86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27853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7094A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B310C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FD8CC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628DE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CD48A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ACFFA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r>
      <w:tr w14:paraId="638E37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8" w:hRule="atLeast"/>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CBF0C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56F9A0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71662C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47C766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4AC416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298457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0E01E7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27403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21E8B6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FE5F7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29E826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0A80B7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1E62E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79878E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3EBE1DB9">
            <w:pPr>
              <w:keepNext w:val="0"/>
              <w:keepLines w:val="0"/>
              <w:pageBreakBefore w:val="0"/>
              <w:widowControl w:val="0"/>
              <w:kinsoku/>
              <w:wordWrap/>
              <w:overflowPunct/>
              <w:topLinePunct w:val="0"/>
              <w:autoSpaceDE/>
              <w:autoSpaceDN/>
              <w:bidi w:val="0"/>
              <w:adjustRightInd/>
              <w:snapToGrid/>
              <w:spacing w:after="180" w:line="560" w:lineRule="exact"/>
              <w:jc w:val="center"/>
              <w:textAlignment w:val="auto"/>
              <w:rPr>
                <w:rFonts w:hint="eastAsia" w:asciiTheme="minorEastAsia" w:hAnsiTheme="minorEastAsia" w:eastAsiaTheme="minorEastAsia" w:cstheme="minorEastAsia"/>
                <w:sz w:val="24"/>
                <w:szCs w:val="24"/>
                <w:lang w:val="en-US" w:eastAsia="zh-CN"/>
              </w:rPr>
            </w:pPr>
            <w:r>
              <w:rPr>
                <w:rFonts w:hint="eastAsia"/>
                <w:lang w:val="en-US" w:eastAsia="zh-CN"/>
              </w:rPr>
              <w:t>0</w:t>
            </w:r>
          </w:p>
        </w:tc>
      </w:tr>
    </w:tbl>
    <w:p w14:paraId="3D3A7F6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lang w:eastAsia="zh-CN"/>
        </w:rPr>
        <w:t>五、</w:t>
      </w:r>
      <w:r>
        <w:rPr>
          <w:rFonts w:hint="eastAsia" w:ascii="黑体" w:hAnsi="黑体" w:eastAsia="黑体" w:cs="黑体"/>
          <w:b w:val="0"/>
          <w:bCs/>
          <w:i w:val="0"/>
          <w:caps w:val="0"/>
          <w:color w:val="333333"/>
          <w:spacing w:val="0"/>
          <w:sz w:val="32"/>
          <w:szCs w:val="32"/>
          <w:shd w:val="clear" w:color="auto" w:fill="FFFFFF"/>
        </w:rPr>
        <w:t>存在的主要问题及改进情况</w:t>
      </w:r>
    </w:p>
    <w:p w14:paraId="72C9DF1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微软雅黑" w:eastAsia="仿宋_GB2312" w:cs="仿宋_GB2312"/>
          <w:b w:val="0"/>
          <w:color w:val="333333"/>
          <w:kern w:val="0"/>
          <w:sz w:val="32"/>
          <w:szCs w:val="32"/>
          <w:shd w:val="clear" w:fill="FFFFFF"/>
          <w:lang w:val="en-US" w:eastAsia="zh-CN" w:bidi="ar-SA"/>
        </w:rPr>
      </w:pPr>
      <w:r>
        <w:rPr>
          <w:rFonts w:hint="eastAsia" w:ascii="仿宋_GB2312" w:hAnsi="微软雅黑" w:eastAsia="仿宋_GB2312" w:cs="仿宋_GB2312"/>
          <w:b w:val="0"/>
          <w:color w:val="333333"/>
          <w:kern w:val="0"/>
          <w:sz w:val="32"/>
          <w:szCs w:val="32"/>
          <w:shd w:val="clear" w:fill="FFFFFF"/>
          <w:lang w:val="en-US" w:eastAsia="zh-CN" w:bidi="ar-SA"/>
        </w:rPr>
        <w:t>（一）存在问题</w:t>
      </w:r>
    </w:p>
    <w:p w14:paraId="3A339E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微软雅黑" w:eastAsia="仿宋_GB2312" w:cs="仿宋_GB2312"/>
          <w:b w:val="0"/>
          <w:color w:val="333333"/>
          <w:kern w:val="0"/>
          <w:sz w:val="32"/>
          <w:szCs w:val="32"/>
          <w:shd w:val="clear" w:fill="FFFFFF"/>
          <w:lang w:val="en-US" w:eastAsia="zh-CN" w:bidi="ar-SA"/>
        </w:rPr>
      </w:pPr>
      <w:r>
        <w:rPr>
          <w:rFonts w:hint="eastAsia" w:ascii="仿宋_GB2312" w:hAnsi="微软雅黑" w:eastAsia="仿宋_GB2312" w:cs="仿宋_GB2312"/>
          <w:b w:val="0"/>
          <w:color w:val="333333"/>
          <w:kern w:val="0"/>
          <w:sz w:val="32"/>
          <w:szCs w:val="32"/>
          <w:shd w:val="clear" w:fill="FFFFFF"/>
          <w:lang w:val="en-US" w:eastAsia="zh-CN" w:bidi="ar-SA"/>
        </w:rPr>
        <w:t xml:space="preserve">  2024年，我中心政务公开，政府信息公开等工作取得了一定成效，但对照上级指示的要求和公众期望，还存在不足，主要部分划拨供地公示内容还未实现国土内网和互联网的贯通等问题。</w:t>
      </w:r>
    </w:p>
    <w:p w14:paraId="60B420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微软雅黑" w:eastAsia="仿宋_GB2312" w:cs="仿宋_GB2312"/>
          <w:b w:val="0"/>
          <w:color w:val="333333"/>
          <w:kern w:val="0"/>
          <w:sz w:val="32"/>
          <w:szCs w:val="32"/>
          <w:shd w:val="clear" w:fill="FFFFFF"/>
          <w:lang w:val="en-US" w:eastAsia="zh-CN" w:bidi="ar-SA"/>
        </w:rPr>
      </w:pPr>
      <w:r>
        <w:rPr>
          <w:rFonts w:hint="eastAsia" w:ascii="仿宋_GB2312" w:hAnsi="微软雅黑" w:eastAsia="仿宋_GB2312" w:cs="仿宋_GB2312"/>
          <w:b w:val="0"/>
          <w:color w:val="333333"/>
          <w:kern w:val="0"/>
          <w:sz w:val="32"/>
          <w:szCs w:val="32"/>
          <w:shd w:val="clear" w:fill="FFFFFF"/>
          <w:lang w:val="en-US" w:eastAsia="zh-CN" w:bidi="ar-SA"/>
        </w:rPr>
        <w:t>（二）整改措施</w:t>
      </w:r>
    </w:p>
    <w:p w14:paraId="5C953D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微软雅黑" w:eastAsia="仿宋_GB2312" w:cs="仿宋_GB2312"/>
          <w:b w:val="0"/>
          <w:color w:val="333333"/>
          <w:kern w:val="0"/>
          <w:sz w:val="32"/>
          <w:szCs w:val="32"/>
          <w:shd w:val="clear" w:fill="FFFFFF"/>
          <w:lang w:val="en-US" w:eastAsia="zh-CN" w:bidi="ar-SA"/>
        </w:rPr>
      </w:pPr>
      <w:r>
        <w:rPr>
          <w:rFonts w:hint="eastAsia" w:ascii="仿宋_GB2312" w:hAnsi="微软雅黑" w:eastAsia="仿宋_GB2312" w:cs="仿宋_GB2312"/>
          <w:b w:val="0"/>
          <w:color w:val="333333"/>
          <w:kern w:val="0"/>
          <w:sz w:val="32"/>
          <w:szCs w:val="32"/>
          <w:shd w:val="clear" w:fill="FFFFFF"/>
          <w:lang w:val="en-US" w:eastAsia="zh-CN" w:bidi="ar-SA"/>
        </w:rPr>
        <w:t>一是健全信息公开机制。深化主动公开内容，提高政府信息公开的广度和深度。</w:t>
      </w:r>
    </w:p>
    <w:p w14:paraId="08674C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微软雅黑" w:eastAsia="仿宋_GB2312" w:cs="仿宋_GB2312"/>
          <w:b w:val="0"/>
          <w:color w:val="333333"/>
          <w:kern w:val="0"/>
          <w:sz w:val="32"/>
          <w:szCs w:val="32"/>
          <w:shd w:val="clear" w:fill="FFFFFF"/>
          <w:lang w:val="en-US" w:eastAsia="zh-CN" w:bidi="ar-SA"/>
        </w:rPr>
      </w:pPr>
      <w:r>
        <w:rPr>
          <w:rFonts w:hint="eastAsia" w:ascii="仿宋_GB2312" w:hAnsi="微软雅黑" w:eastAsia="仿宋_GB2312" w:cs="仿宋_GB2312"/>
          <w:b w:val="0"/>
          <w:color w:val="333333"/>
          <w:kern w:val="0"/>
          <w:sz w:val="32"/>
          <w:szCs w:val="32"/>
          <w:shd w:val="clear" w:fill="FFFFFF"/>
          <w:lang w:val="en-US" w:eastAsia="zh-CN" w:bidi="ar-SA"/>
        </w:rPr>
        <w:t>二是加强信息更新和维护。不断提升政府信息公开工作效率，切实提升政府信息公开的效果和水平。</w:t>
      </w:r>
    </w:p>
    <w:p w14:paraId="78D827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微软雅黑" w:eastAsia="仿宋_GB2312" w:cs="仿宋_GB2312"/>
          <w:b w:val="0"/>
          <w:color w:val="333333"/>
          <w:kern w:val="0"/>
          <w:sz w:val="32"/>
          <w:szCs w:val="32"/>
          <w:shd w:val="clear" w:fill="FFFFFF"/>
          <w:lang w:val="en-US" w:eastAsia="zh-CN" w:bidi="ar-SA"/>
        </w:rPr>
      </w:pPr>
      <w:r>
        <w:rPr>
          <w:rFonts w:hint="eastAsia" w:ascii="仿宋_GB2312" w:hAnsi="微软雅黑" w:eastAsia="仿宋_GB2312" w:cs="仿宋_GB2312"/>
          <w:b w:val="0"/>
          <w:color w:val="333333"/>
          <w:kern w:val="0"/>
          <w:sz w:val="32"/>
          <w:szCs w:val="32"/>
          <w:shd w:val="clear" w:fill="FFFFFF"/>
          <w:lang w:val="en-US" w:eastAsia="zh-CN" w:bidi="ar-SA"/>
        </w:rPr>
        <w:t>三是加强队伍建设。积极组织工作人员参加信息公开的业务培训，不断提高公开意识，业务能力和水平。</w:t>
      </w:r>
    </w:p>
    <w:p w14:paraId="2CE753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六、其他需要报告的事项</w:t>
      </w:r>
    </w:p>
    <w:p w14:paraId="40AE822D">
      <w:pPr>
        <w:pStyle w:val="3"/>
        <w:keepNext w:val="0"/>
        <w:keepLines w:val="0"/>
        <w:widowControl/>
        <w:suppressLineNumbers w:val="0"/>
        <w:shd w:val="clear" w:fill="FFFFFF"/>
        <w:spacing w:before="30" w:beforeAutospacing="0" w:after="0" w:afterAutospacing="0" w:line="420" w:lineRule="atLeast"/>
        <w:ind w:left="0" w:right="0" w:firstLine="645"/>
        <w:jc w:val="both"/>
        <w:rPr>
          <w:color w:val="333333"/>
        </w:rPr>
      </w:pPr>
      <w:r>
        <w:rPr>
          <w:rFonts w:hint="eastAsia" w:ascii="仿宋_GB2312" w:hAnsi="仿宋_GB2312" w:eastAsia="仿宋_GB2312" w:cs="仿宋_GB2312"/>
          <w:sz w:val="32"/>
          <w:szCs w:val="32"/>
          <w:highlight w:val="none"/>
        </w:rPr>
        <w:t>认真贯彻执行国务院办公厅《政府信息公开信息处理费管理办法》</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《关于政府信息公开处理费管理有关事项的通知》。202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高新区土地储备分中心</w:t>
      </w:r>
      <w:r>
        <w:rPr>
          <w:rFonts w:hint="eastAsia" w:ascii="仿宋_GB2312" w:hAnsi="仿宋_GB2312" w:eastAsia="仿宋_GB2312" w:cs="仿宋_GB2312"/>
          <w:sz w:val="32"/>
          <w:szCs w:val="32"/>
          <w:highlight w:val="none"/>
        </w:rPr>
        <w:t>未收取信息处理费</w:t>
      </w:r>
      <w:r>
        <w:rPr>
          <w:rFonts w:hint="eastAsia" w:ascii="仿宋_GB2312" w:hAnsi="仿宋_GB2312" w:eastAsia="仿宋_GB2312" w:cs="仿宋_GB2312"/>
          <w:sz w:val="32"/>
          <w:szCs w:val="32"/>
        </w:rPr>
        <w:t>。</w:t>
      </w:r>
      <w:r>
        <w:rPr>
          <w:rFonts w:hint="eastAsia" w:ascii="微软雅黑" w:hAnsi="微软雅黑" w:eastAsia="微软雅黑" w:cs="微软雅黑"/>
          <w:b w:val="0"/>
          <w:color w:val="333333"/>
          <w:sz w:val="22"/>
          <w:szCs w:val="22"/>
          <w:shd w:val="clear" w:fill="FFFFFF"/>
        </w:rPr>
        <w:t xml:space="preserve"> </w:t>
      </w:r>
    </w:p>
    <w:sectPr>
      <w:pgSz w:w="11906" w:h="16838"/>
      <w:pgMar w:top="215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63132"/>
    <w:rsid w:val="209D2725"/>
    <w:rsid w:val="3BCF5501"/>
    <w:rsid w:val="44D9666C"/>
    <w:rsid w:val="631D1382"/>
    <w:rsid w:val="69F2342B"/>
    <w:rsid w:val="7A0A1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610</Words>
  <Characters>628</Characters>
  <Lines>0</Lines>
  <Paragraphs>0</Paragraphs>
  <TotalTime>109</TotalTime>
  <ScaleCrop>false</ScaleCrop>
  <LinksUpToDate>false</LinksUpToDate>
  <CharactersWithSpaces>632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2023-12-20T00:47:00Z</dcterms:created>
  <dc:creator>Administrator</dc:creator>
  <cp:lastModifiedBy>联想</cp:lastModifiedBy>
  <cp:lastPrinted>2025-01-17T08:37:00Z</cp:lastPrinted>
  <dcterms:modified xsi:type="dcterms:W3CDTF">2025-02-26T00:50:30Z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eyJoZGlkIjoiY2IzZDBiZDU0YTFmNTJhZjA2M2Q5MGQwZDkxYWZlMWIifQ==</vt:lpwstr>
  </property>
  <property fmtid="{D5CDD505-2E9C-101B-9397-08002B2CF9AE}" pid="4" name="ICV">
    <vt:lpwstr>41F6C857B7AA418DB6E765A821AC018D_12</vt:lpwstr>
  </property>
</Properties>
</file>