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Lines="0" w:afterLines="0" w:line="460" w:lineRule="atLeast"/>
        <w:ind w:left="0" w:leftChars="0" w:right="0" w:rightChars="0" w:firstLine="0" w:firstLineChars="0"/>
        <w:textAlignment w:val="bottom"/>
        <w:rPr>
          <w:rFonts w:hint="eastAsia" w:eastAsia="黑体"/>
          <w:color w:val="000000" w:themeColor="text1"/>
          <w:spacing w:val="0"/>
          <w:sz w:val="24"/>
          <w14:textFill>
            <w14:solidFill>
              <w14:schemeClr w14:val="tx1"/>
            </w14:solidFill>
          </w14:textFill>
        </w:rPr>
      </w:pPr>
      <w:bookmarkStart w:id="0" w:name="OLE_LINK2"/>
      <w:r>
        <w:rPr>
          <w:rFonts w:hint="eastAsia" w:eastAsia="黑体"/>
          <w:color w:val="000000" w:themeColor="text1"/>
          <w:spacing w:val="11"/>
          <w:sz w:val="24"/>
          <w14:textFill>
            <w14:solidFill>
              <w14:schemeClr w14:val="tx1"/>
            </w14:solidFill>
          </w14:textFill>
        </w:rPr>
        <w:t>邢台市</w:t>
      </w:r>
      <w:r>
        <w:rPr>
          <w:rFonts w:hint="eastAsia" w:eastAsia="黑体"/>
          <w:color w:val="000000" w:themeColor="text1"/>
          <w:spacing w:val="11"/>
          <w:sz w:val="24"/>
          <w:lang w:val="en-US" w:eastAsia="zh-CN"/>
          <w14:textFill>
            <w14:solidFill>
              <w14:schemeClr w14:val="tx1"/>
            </w14:solidFill>
          </w14:textFill>
        </w:rPr>
        <w:t>十六</w:t>
      </w:r>
      <w:r>
        <w:rPr>
          <w:rFonts w:hint="eastAsia" w:eastAsia="黑体"/>
          <w:color w:val="000000" w:themeColor="text1"/>
          <w:spacing w:val="11"/>
          <w:sz w:val="24"/>
          <w14:textFill>
            <w14:solidFill>
              <w14:schemeClr w14:val="tx1"/>
            </w14:solidFill>
          </w14:textFill>
        </w:rPr>
        <w:t>届人大常委会</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Lines="0" w:afterLines="0" w:line="460" w:lineRule="atLeast"/>
        <w:ind w:left="0" w:leftChars="0" w:right="0" w:rightChars="0" w:firstLine="0"/>
        <w:textAlignment w:val="bottom"/>
        <w:rPr>
          <w:rFonts w:hint="eastAsia" w:eastAsia="黑体"/>
          <w:color w:val="000000" w:themeColor="text1"/>
          <w:spacing w:val="6"/>
          <w:sz w:val="24"/>
          <w:szCs w:val="22"/>
          <w14:textFill>
            <w14:solidFill>
              <w14:schemeClr w14:val="tx1"/>
            </w14:solidFill>
          </w14:textFill>
        </w:rPr>
      </w:pPr>
      <w:r>
        <w:rPr>
          <w:rFonts w:hint="eastAsia" w:eastAsia="黑体"/>
          <w:color w:val="000000" w:themeColor="text1"/>
          <w:spacing w:val="6"/>
          <w:sz w:val="24"/>
          <w:szCs w:val="22"/>
          <w14:textFill>
            <w14:solidFill>
              <w14:schemeClr w14:val="tx1"/>
            </w14:solidFill>
          </w14:textFill>
        </w:rPr>
        <w:t>第</w:t>
      </w:r>
      <w:r>
        <w:rPr>
          <w:rFonts w:hint="eastAsia" w:eastAsia="黑体"/>
          <w:color w:val="000000" w:themeColor="text1"/>
          <w:spacing w:val="6"/>
          <w:sz w:val="24"/>
          <w:szCs w:val="22"/>
          <w:lang w:val="en-US" w:eastAsia="zh-CN"/>
          <w14:textFill>
            <w14:solidFill>
              <w14:schemeClr w14:val="tx1"/>
            </w14:solidFill>
          </w14:textFill>
        </w:rPr>
        <w:t>三十五</w:t>
      </w:r>
      <w:r>
        <w:rPr>
          <w:rFonts w:hint="eastAsia" w:eastAsia="黑体"/>
          <w:color w:val="000000" w:themeColor="text1"/>
          <w:spacing w:val="6"/>
          <w:sz w:val="24"/>
          <w:szCs w:val="22"/>
          <w14:textFill>
            <w14:solidFill>
              <w14:schemeClr w14:val="tx1"/>
            </w14:solidFill>
          </w14:textFill>
        </w:rPr>
        <w:t>次会议文</w:t>
      </w:r>
      <w:r>
        <w:rPr>
          <w:rFonts w:hint="eastAsia" w:eastAsia="黑体"/>
          <w:color w:val="000000" w:themeColor="text1"/>
          <w:spacing w:val="0"/>
          <w:sz w:val="24"/>
          <w:szCs w:val="22"/>
          <w14:textFill>
            <w14:solidFill>
              <w14:schemeClr w14:val="tx1"/>
            </w14:solidFill>
          </w14:textFill>
        </w:rPr>
        <w:t>件（</w:t>
      </w:r>
      <w:r>
        <w:rPr>
          <w:rFonts w:hint="eastAsia" w:eastAsia="黑体"/>
          <w:color w:val="000000" w:themeColor="text1"/>
          <w:spacing w:val="0"/>
          <w:sz w:val="24"/>
          <w:szCs w:val="22"/>
          <w:lang w:val="en-US" w:eastAsia="zh-CN"/>
          <w14:textFill>
            <w14:solidFill>
              <w14:schemeClr w14:val="tx1"/>
            </w14:solidFill>
          </w14:textFill>
        </w:rPr>
        <w:t>16</w:t>
      </w:r>
      <w:r>
        <w:rPr>
          <w:rFonts w:hint="eastAsia" w:eastAsia="黑体"/>
          <w:color w:val="000000" w:themeColor="text1"/>
          <w:spacing w:val="0"/>
          <w:sz w:val="24"/>
          <w:szCs w:val="22"/>
          <w14:textFill>
            <w14:solidFill>
              <w14:schemeClr w14:val="tx1"/>
            </w14:solidFill>
          </w14:textFill>
        </w:rPr>
        <w:t>）</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spacing w:before="0" w:beforeLines="0" w:after="0" w:afterLines="0" w:line="640" w:lineRule="exact"/>
        <w:ind w:left="0" w:leftChars="0" w:right="0" w:rightChars="0"/>
        <w:jc w:val="center"/>
        <w:textAlignment w:val="auto"/>
        <w:rPr>
          <w:rFonts w:hint="eastAsia" w:asciiTheme="majorEastAsia" w:hAnsiTheme="majorEastAsia" w:eastAsiaTheme="majorEastAsia" w:cstheme="majorEastAsia"/>
          <w:b/>
          <w:bCs w:val="0"/>
          <w:color w:val="000000" w:themeColor="text1"/>
          <w:spacing w:val="-17"/>
          <w:sz w:val="44"/>
          <w14:textFill>
            <w14:solidFill>
              <w14:schemeClr w14:val="tx1"/>
            </w14:solidFill>
          </w14:textFill>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spacing w:before="0" w:beforeLines="0" w:after="0" w:afterLines="0" w:line="560" w:lineRule="exact"/>
        <w:ind w:left="0" w:leftChars="0" w:right="0" w:rightChars="0"/>
        <w:jc w:val="center"/>
        <w:textAlignment w:val="auto"/>
        <w:rPr>
          <w:rFonts w:hint="eastAsia" w:asciiTheme="majorEastAsia" w:hAnsiTheme="majorEastAsia" w:eastAsiaTheme="majorEastAsia" w:cstheme="majorEastAsia"/>
          <w:b/>
          <w:bCs w:val="0"/>
          <w:color w:val="000000" w:themeColor="text1"/>
          <w:spacing w:val="-17"/>
          <w:sz w:val="44"/>
          <w14:textFill>
            <w14:solidFill>
              <w14:schemeClr w14:val="tx1"/>
            </w14:solidFill>
          </w14:textFill>
        </w:rPr>
      </w:pPr>
      <w:r>
        <w:rPr>
          <w:rFonts w:hint="eastAsia" w:asciiTheme="majorEastAsia" w:hAnsiTheme="majorEastAsia" w:eastAsiaTheme="majorEastAsia" w:cstheme="majorEastAsia"/>
          <w:b/>
          <w:bCs w:val="0"/>
          <w:color w:val="000000" w:themeColor="text1"/>
          <w:spacing w:val="-17"/>
          <w:sz w:val="44"/>
          <w14:textFill>
            <w14:solidFill>
              <w14:schemeClr w14:val="tx1"/>
            </w14:solidFill>
          </w14:textFill>
        </w:rPr>
        <w:t>邢台市人民政府</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spacing w:before="0" w:beforeLines="0" w:after="0" w:afterLines="0" w:line="560" w:lineRule="exact"/>
        <w:ind w:left="0" w:leftChars="0" w:right="0" w:rightChars="0"/>
        <w:jc w:val="center"/>
        <w:textAlignment w:val="auto"/>
        <w:rPr>
          <w:rFonts w:hint="eastAsia" w:asciiTheme="majorEastAsia" w:hAnsiTheme="majorEastAsia" w:eastAsiaTheme="majorEastAsia" w:cstheme="majorEastAsia"/>
          <w:b/>
          <w:bCs w:val="0"/>
          <w:color w:val="000000" w:themeColor="text1"/>
          <w:spacing w:val="-17"/>
          <w:sz w:val="44"/>
          <w14:textFill>
            <w14:solidFill>
              <w14:schemeClr w14:val="tx1"/>
            </w14:solidFill>
          </w14:textFill>
        </w:rPr>
      </w:pPr>
      <w:r>
        <w:rPr>
          <w:rFonts w:hint="eastAsia" w:asciiTheme="majorEastAsia" w:hAnsiTheme="majorEastAsia" w:eastAsiaTheme="majorEastAsia" w:cstheme="majorEastAsia"/>
          <w:b/>
          <w:bCs w:val="0"/>
          <w:color w:val="000000" w:themeColor="text1"/>
          <w:spacing w:val="-17"/>
          <w:sz w:val="44"/>
          <w14:textFill>
            <w14:solidFill>
              <w14:schemeClr w14:val="tx1"/>
            </w14:solidFill>
          </w14:textFill>
        </w:rPr>
        <w:t>关于202</w:t>
      </w:r>
      <w:r>
        <w:rPr>
          <w:rFonts w:hint="eastAsia" w:asciiTheme="majorEastAsia" w:hAnsiTheme="majorEastAsia" w:eastAsiaTheme="majorEastAsia" w:cstheme="majorEastAsia"/>
          <w:b/>
          <w:bCs w:val="0"/>
          <w:color w:val="000000" w:themeColor="text1"/>
          <w:spacing w:val="-17"/>
          <w:sz w:val="44"/>
          <w:lang w:val="en-US" w:eastAsia="zh-CN"/>
          <w14:textFill>
            <w14:solidFill>
              <w14:schemeClr w14:val="tx1"/>
            </w14:solidFill>
          </w14:textFill>
        </w:rPr>
        <w:t>4</w:t>
      </w:r>
      <w:r>
        <w:rPr>
          <w:rFonts w:hint="eastAsia" w:asciiTheme="majorEastAsia" w:hAnsiTheme="majorEastAsia" w:eastAsiaTheme="majorEastAsia" w:cstheme="majorEastAsia"/>
          <w:b/>
          <w:bCs w:val="0"/>
          <w:color w:val="000000" w:themeColor="text1"/>
          <w:spacing w:val="-17"/>
          <w:sz w:val="44"/>
          <w14:textFill>
            <w14:solidFill>
              <w14:schemeClr w14:val="tx1"/>
            </w14:solidFill>
          </w14:textFill>
        </w:rPr>
        <w:t>年全市及市级国有资产管理</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spacing w:before="0" w:beforeLines="0" w:after="0" w:afterLines="0" w:line="560" w:lineRule="exact"/>
        <w:ind w:left="0" w:leftChars="0" w:right="0" w:rightChars="0"/>
        <w:jc w:val="center"/>
        <w:textAlignment w:val="auto"/>
        <w:rPr>
          <w:rFonts w:hint="eastAsia" w:eastAsiaTheme="majorEastAsia"/>
          <w:b/>
          <w:color w:val="000000" w:themeColor="text1"/>
          <w:spacing w:val="-17"/>
          <w:sz w:val="44"/>
          <w:lang w:eastAsia="zh-CN"/>
          <w14:textFill>
            <w14:solidFill>
              <w14:schemeClr w14:val="tx1"/>
            </w14:solidFill>
          </w14:textFill>
        </w:rPr>
      </w:pPr>
      <w:r>
        <w:rPr>
          <w:rFonts w:hint="eastAsia" w:asciiTheme="majorEastAsia" w:hAnsiTheme="majorEastAsia" w:eastAsiaTheme="majorEastAsia" w:cstheme="majorEastAsia"/>
          <w:b/>
          <w:bCs w:val="0"/>
          <w:color w:val="000000" w:themeColor="text1"/>
          <w:spacing w:val="-17"/>
          <w:sz w:val="44"/>
          <w14:textFill>
            <w14:solidFill>
              <w14:schemeClr w14:val="tx1"/>
            </w14:solidFill>
          </w14:textFill>
        </w:rPr>
        <w:t>情况的</w:t>
      </w:r>
      <w:r>
        <w:rPr>
          <w:rFonts w:hint="eastAsia" w:asciiTheme="majorEastAsia" w:hAnsiTheme="majorEastAsia" w:eastAsiaTheme="majorEastAsia" w:cstheme="majorEastAsia"/>
          <w:b/>
          <w:bCs w:val="0"/>
          <w:color w:val="000000" w:themeColor="text1"/>
          <w:spacing w:val="-17"/>
          <w:sz w:val="44"/>
          <w:lang w:eastAsia="zh-CN"/>
          <w14:textFill>
            <w14:solidFill>
              <w14:schemeClr w14:val="tx1"/>
            </w14:solidFill>
          </w14:textFill>
        </w:rPr>
        <w:t>综合</w:t>
      </w:r>
      <w:r>
        <w:rPr>
          <w:rFonts w:hint="eastAsia" w:asciiTheme="majorEastAsia" w:hAnsiTheme="majorEastAsia" w:eastAsiaTheme="majorEastAsia" w:cstheme="majorEastAsia"/>
          <w:b/>
          <w:bCs w:val="0"/>
          <w:color w:val="000000" w:themeColor="text1"/>
          <w:spacing w:val="-17"/>
          <w:sz w:val="44"/>
          <w14:textFill>
            <w14:solidFill>
              <w14:schemeClr w14:val="tx1"/>
            </w14:solidFill>
          </w14:textFill>
        </w:rPr>
        <w:t>报告</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spacing w:before="0" w:beforeLines="0" w:after="0" w:afterLines="0" w:line="560" w:lineRule="exact"/>
        <w:ind w:left="0" w:leftChars="0" w:right="0" w:rightChars="0"/>
        <w:jc w:val="center"/>
        <w:textAlignment w:val="auto"/>
        <w:rPr>
          <w:rFonts w:hint="eastAsia" w:ascii="楷体" w:hAnsi="楷体" w:eastAsia="楷体" w:cs="楷体"/>
          <w:color w:val="000000" w:themeColor="text1"/>
          <w:spacing w:val="-20"/>
          <w:sz w:val="32"/>
          <w:szCs w:val="32"/>
          <w14:textFill>
            <w14:solidFill>
              <w14:schemeClr w14:val="tx1"/>
            </w14:solidFill>
          </w14:textFill>
        </w:rPr>
      </w:pPr>
      <w:r>
        <w:rPr>
          <w:rFonts w:hint="eastAsia" w:ascii="楷体" w:hAnsi="楷体" w:eastAsia="楷体" w:cs="楷体"/>
          <w:color w:val="000000" w:themeColor="text1"/>
          <w:spacing w:val="-20"/>
          <w:sz w:val="32"/>
          <w:szCs w:val="32"/>
          <w14:textFill>
            <w14:solidFill>
              <w14:schemeClr w14:val="tx1"/>
            </w14:solidFill>
          </w14:textFill>
        </w:rPr>
        <w:t>—</w:t>
      </w:r>
      <w:r>
        <w:rPr>
          <w:rFonts w:hint="eastAsia" w:ascii="楷体" w:hAnsi="楷体" w:eastAsia="楷体" w:cs="楷体"/>
          <w:color w:val="000000" w:themeColor="text1"/>
          <w:spacing w:val="-6"/>
          <w:sz w:val="32"/>
          <w:szCs w:val="32"/>
          <w:lang w:val="en-US" w:eastAsia="zh-CN"/>
          <w14:textFill>
            <w14:solidFill>
              <w14:schemeClr w14:val="tx1"/>
            </w14:solidFill>
          </w14:textFill>
        </w:rPr>
        <w:t>2025</w:t>
      </w:r>
      <w:r>
        <w:rPr>
          <w:rFonts w:hint="eastAsia" w:ascii="楷体" w:hAnsi="楷体" w:eastAsia="楷体" w:cs="楷体"/>
          <w:color w:val="000000" w:themeColor="text1"/>
          <w:spacing w:val="-6"/>
          <w:sz w:val="32"/>
          <w:szCs w:val="32"/>
          <w14:textFill>
            <w14:solidFill>
              <w14:schemeClr w14:val="tx1"/>
            </w14:solidFill>
          </w14:textFill>
        </w:rPr>
        <w:t>年</w:t>
      </w:r>
      <w:r>
        <w:rPr>
          <w:rFonts w:hint="eastAsia" w:ascii="楷体" w:hAnsi="楷体" w:eastAsia="楷体" w:cs="楷体"/>
          <w:color w:val="000000" w:themeColor="text1"/>
          <w:spacing w:val="-6"/>
          <w:sz w:val="32"/>
          <w:szCs w:val="32"/>
          <w:lang w:val="en-US" w:eastAsia="zh-CN"/>
          <w14:textFill>
            <w14:solidFill>
              <w14:schemeClr w14:val="tx1"/>
            </w14:solidFill>
          </w14:textFill>
        </w:rPr>
        <w:t>9</w:t>
      </w:r>
      <w:r>
        <w:rPr>
          <w:rFonts w:hint="eastAsia" w:ascii="楷体" w:hAnsi="楷体" w:eastAsia="楷体" w:cs="楷体"/>
          <w:color w:val="000000" w:themeColor="text1"/>
          <w:spacing w:val="-6"/>
          <w:sz w:val="32"/>
          <w:szCs w:val="32"/>
          <w14:textFill>
            <w14:solidFill>
              <w14:schemeClr w14:val="tx1"/>
            </w14:solidFill>
          </w14:textFill>
        </w:rPr>
        <w:t>月</w:t>
      </w:r>
      <w:r>
        <w:rPr>
          <w:rFonts w:hint="eastAsia" w:ascii="楷体" w:hAnsi="楷体" w:eastAsia="楷体" w:cs="楷体"/>
          <w:color w:val="000000" w:themeColor="text1"/>
          <w:spacing w:val="-6"/>
          <w:sz w:val="32"/>
          <w:szCs w:val="32"/>
          <w:highlight w:val="none"/>
          <w:lang w:val="en-US" w:eastAsia="zh-CN"/>
          <w14:textFill>
            <w14:solidFill>
              <w14:schemeClr w14:val="tx1"/>
            </w14:solidFill>
          </w14:textFill>
        </w:rPr>
        <w:t>4</w:t>
      </w:r>
      <w:r>
        <w:rPr>
          <w:rFonts w:hint="eastAsia" w:ascii="楷体" w:hAnsi="楷体" w:eastAsia="楷体" w:cs="楷体"/>
          <w:color w:val="000000" w:themeColor="text1"/>
          <w:spacing w:val="-6"/>
          <w:sz w:val="32"/>
          <w:szCs w:val="32"/>
          <w14:textFill>
            <w14:solidFill>
              <w14:schemeClr w14:val="tx1"/>
            </w14:solidFill>
          </w14:textFill>
        </w:rPr>
        <w:t>日在邢台市</w:t>
      </w:r>
      <w:r>
        <w:rPr>
          <w:rFonts w:hint="eastAsia" w:ascii="楷体" w:hAnsi="楷体" w:eastAsia="楷体" w:cs="楷体"/>
          <w:color w:val="000000" w:themeColor="text1"/>
          <w:spacing w:val="-6"/>
          <w:sz w:val="32"/>
          <w:szCs w:val="32"/>
          <w:lang w:val="en-US" w:eastAsia="zh-CN"/>
          <w14:textFill>
            <w14:solidFill>
              <w14:schemeClr w14:val="tx1"/>
            </w14:solidFill>
          </w14:textFill>
        </w:rPr>
        <w:t>十六</w:t>
      </w:r>
      <w:r>
        <w:rPr>
          <w:rFonts w:hint="eastAsia" w:ascii="楷体" w:hAnsi="楷体" w:eastAsia="楷体" w:cs="楷体"/>
          <w:color w:val="000000" w:themeColor="text1"/>
          <w:spacing w:val="-6"/>
          <w:sz w:val="32"/>
          <w:szCs w:val="32"/>
          <w14:textFill>
            <w14:solidFill>
              <w14:schemeClr w14:val="tx1"/>
            </w14:solidFill>
          </w14:textFill>
        </w:rPr>
        <w:t>届人大常委会第</w:t>
      </w:r>
      <w:r>
        <w:rPr>
          <w:rFonts w:hint="eastAsia" w:ascii="楷体" w:hAnsi="楷体" w:eastAsia="楷体" w:cs="楷体"/>
          <w:color w:val="000000" w:themeColor="text1"/>
          <w:spacing w:val="-6"/>
          <w:sz w:val="32"/>
          <w:szCs w:val="32"/>
          <w:lang w:val="en-US" w:eastAsia="zh-CN"/>
          <w14:textFill>
            <w14:solidFill>
              <w14:schemeClr w14:val="tx1"/>
            </w14:solidFill>
          </w14:textFill>
        </w:rPr>
        <w:t>三十五</w:t>
      </w:r>
      <w:r>
        <w:rPr>
          <w:rFonts w:hint="eastAsia" w:ascii="楷体" w:hAnsi="楷体" w:eastAsia="楷体" w:cs="楷体"/>
          <w:color w:val="000000" w:themeColor="text1"/>
          <w:spacing w:val="-6"/>
          <w:sz w:val="32"/>
          <w:szCs w:val="32"/>
          <w14:textFill>
            <w14:solidFill>
              <w14:schemeClr w14:val="tx1"/>
            </w14:solidFill>
          </w14:textFill>
        </w:rPr>
        <w:t>次会议上</w:t>
      </w:r>
    </w:p>
    <w:bookmarkEnd w:id="0"/>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spacing w:before="0" w:beforeLines="0" w:afterLines="0" w:line="560" w:lineRule="exact"/>
        <w:ind w:left="0" w:leftChars="0" w:right="0" w:rightChars="0"/>
        <w:jc w:val="center"/>
        <w:textAlignment w:val="auto"/>
        <w:rPr>
          <w:rFonts w:hint="eastAsia" w:ascii="楷体" w:hAnsi="楷体" w:eastAsia="楷体" w:cs="楷体"/>
          <w:color w:val="000000" w:themeColor="text1"/>
          <w:spacing w:val="-6"/>
          <w:sz w:val="32"/>
          <w:szCs w:val="32"/>
          <w:lang w:eastAsia="zh-CN"/>
          <w14:textFill>
            <w14:solidFill>
              <w14:schemeClr w14:val="tx1"/>
            </w14:solidFill>
          </w14:textFill>
        </w:rPr>
      </w:pPr>
      <w:r>
        <w:rPr>
          <w:rFonts w:hint="eastAsia" w:ascii="楷体" w:hAnsi="楷体" w:eastAsia="楷体" w:cs="楷体"/>
          <w:color w:val="000000" w:themeColor="text1"/>
          <w:spacing w:val="-6"/>
          <w:sz w:val="32"/>
          <w:szCs w:val="32"/>
          <w:lang w:eastAsia="zh-CN"/>
          <w14:textFill>
            <w14:solidFill>
              <w14:schemeClr w14:val="tx1"/>
            </w14:solidFill>
          </w14:textFill>
        </w:rPr>
        <w:t>邢台市国资委</w:t>
      </w:r>
      <w:r>
        <w:rPr>
          <w:rFonts w:hint="eastAsia" w:ascii="楷体" w:hAnsi="楷体" w:eastAsia="楷体" w:cs="楷体"/>
          <w:color w:val="000000" w:themeColor="text1"/>
          <w:spacing w:val="-6"/>
          <w:sz w:val="32"/>
          <w:szCs w:val="32"/>
          <w:lang w:val="en-US" w:eastAsia="zh-CN"/>
          <w14:textFill>
            <w14:solidFill>
              <w14:schemeClr w14:val="tx1"/>
            </w14:solidFill>
          </w14:textFill>
        </w:rPr>
        <w:t xml:space="preserve">党委副书记  </w:t>
      </w:r>
      <w:r>
        <w:rPr>
          <w:rFonts w:hint="eastAsia" w:ascii="楷体" w:hAnsi="楷体" w:eastAsia="楷体" w:cs="楷体"/>
          <w:color w:val="000000" w:themeColor="text1"/>
          <w:spacing w:val="-6"/>
          <w:sz w:val="32"/>
          <w:szCs w:val="32"/>
          <w:lang w:eastAsia="zh-CN"/>
          <w14:textFill>
            <w14:solidFill>
              <w14:schemeClr w14:val="tx1"/>
            </w14:solidFill>
          </w14:textFill>
        </w:rPr>
        <w:t>梁万琦</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spacing w:before="0" w:beforeLines="0" w:after="0" w:afterLines="0" w:line="560" w:lineRule="exact"/>
        <w:ind w:left="0" w:leftChars="0" w:right="0" w:rightChars="0"/>
        <w:jc w:val="both"/>
        <w:textAlignment w:val="auto"/>
        <w:rPr>
          <w:rFonts w:hint="eastAsia" w:ascii="仿宋" w:hAnsi="仿宋" w:eastAsia="仿宋" w:cs="仿宋"/>
          <w:color w:val="000000" w:themeColor="text1"/>
          <w:spacing w:val="-6"/>
          <w:sz w:val="32"/>
          <w14:textFill>
            <w14:solidFill>
              <w14:schemeClr w14:val="tx1"/>
            </w14:solidFill>
          </w14:textFill>
        </w:rPr>
      </w:pPr>
      <w:bookmarkStart w:id="5" w:name="_GoBack"/>
      <w:bookmarkEnd w:id="5"/>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spacing w:before="0" w:beforeLines="0" w:after="0" w:afterLines="0" w:line="560" w:lineRule="exact"/>
        <w:ind w:left="0" w:leftChars="0" w:right="0" w:rightChars="0"/>
        <w:jc w:val="both"/>
        <w:textAlignment w:val="auto"/>
        <w:rPr>
          <w:rFonts w:hint="eastAsia" w:ascii="仿宋" w:hAnsi="仿宋" w:eastAsia="仿宋" w:cs="仿宋"/>
          <w:color w:val="000000" w:themeColor="text1"/>
          <w:spacing w:val="-6"/>
          <w:sz w:val="32"/>
          <w14:textFill>
            <w14:solidFill>
              <w14:schemeClr w14:val="tx1"/>
            </w14:solidFill>
          </w14:textFill>
        </w:rPr>
      </w:pPr>
      <w:r>
        <w:rPr>
          <w:rFonts w:hint="eastAsia" w:ascii="仿宋" w:hAnsi="仿宋" w:eastAsia="仿宋" w:cs="仿宋"/>
          <w:color w:val="000000" w:themeColor="text1"/>
          <w:spacing w:val="-6"/>
          <w:sz w:val="32"/>
          <w14:textFill>
            <w14:solidFill>
              <w14:schemeClr w14:val="tx1"/>
            </w14:solidFill>
          </w14:textFill>
        </w:rPr>
        <w:t>主任、各位副主任、秘书长</w:t>
      </w:r>
      <w:r>
        <w:rPr>
          <w:rFonts w:hint="eastAsia" w:ascii="仿宋" w:hAnsi="仿宋" w:eastAsia="仿宋" w:cs="仿宋"/>
          <w:color w:val="000000" w:themeColor="text1"/>
          <w:spacing w:val="-6"/>
          <w:sz w:val="32"/>
          <w:lang w:eastAsia="zh-CN"/>
          <w14:textFill>
            <w14:solidFill>
              <w14:schemeClr w14:val="tx1"/>
            </w14:solidFill>
          </w14:textFill>
        </w:rPr>
        <w:t>、各位委员</w:t>
      </w:r>
      <w:r>
        <w:rPr>
          <w:rFonts w:hint="eastAsia" w:ascii="仿宋" w:hAnsi="仿宋" w:eastAsia="仿宋" w:cs="仿宋"/>
          <w:color w:val="000000" w:themeColor="text1"/>
          <w:spacing w:val="-6"/>
          <w:sz w:val="32"/>
          <w14:textFill>
            <w14:solidFill>
              <w14:schemeClr w14:val="tx1"/>
            </w14:solidFill>
          </w14:textFill>
        </w:rPr>
        <w:t>：</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spacing w:before="0" w:beforeLines="0" w:after="0" w:afterLines="0" w:line="560" w:lineRule="exact"/>
        <w:ind w:left="0" w:leftChars="0" w:right="0" w:rightChars="0" w:firstLine="616" w:firstLineChars="200"/>
        <w:jc w:val="both"/>
        <w:textAlignment w:val="auto"/>
        <w:rPr>
          <w:rFonts w:hint="eastAsia" w:ascii="仿宋" w:hAnsi="仿宋" w:eastAsia="仿宋" w:cs="仿宋"/>
          <w:color w:val="000000" w:themeColor="text1"/>
          <w:spacing w:val="-4"/>
          <w:sz w:val="32"/>
          <w:szCs w:val="32"/>
          <w:highlight w:val="none"/>
          <w14:textFill>
            <w14:solidFill>
              <w14:schemeClr w14:val="tx1"/>
            </w14:solidFill>
          </w14:textFill>
        </w:rPr>
      </w:pPr>
      <w:r>
        <w:rPr>
          <w:rFonts w:hint="eastAsia" w:ascii="仿宋" w:hAnsi="仿宋" w:eastAsia="仿宋" w:cs="仿宋"/>
          <w:color w:val="000000" w:themeColor="text1"/>
          <w:spacing w:val="-6"/>
          <w:sz w:val="32"/>
          <w:szCs w:val="32"/>
          <w14:textFill>
            <w14:solidFill>
              <w14:schemeClr w14:val="tx1"/>
            </w14:solidFill>
          </w14:textFill>
        </w:rPr>
        <w:t>我受市政府委托，</w:t>
      </w:r>
      <w:r>
        <w:rPr>
          <w:rFonts w:hint="eastAsia" w:ascii="仿宋" w:hAnsi="仿宋" w:eastAsia="仿宋" w:cs="仿宋"/>
          <w:color w:val="000000" w:themeColor="text1"/>
          <w:spacing w:val="-4"/>
          <w:sz w:val="32"/>
          <w:szCs w:val="32"/>
          <w:highlight w:val="none"/>
          <w14:textFill>
            <w14:solidFill>
              <w14:schemeClr w14:val="tx1"/>
            </w14:solidFill>
          </w14:textFill>
        </w:rPr>
        <w:t>向会议作关于</w:t>
      </w:r>
      <w:r>
        <w:rPr>
          <w:rFonts w:hint="eastAsia" w:ascii="仿宋" w:hAnsi="仿宋" w:eastAsia="仿宋" w:cs="仿宋"/>
          <w:color w:val="000000" w:themeColor="text1"/>
          <w:spacing w:val="-4"/>
          <w:sz w:val="32"/>
          <w:szCs w:val="32"/>
          <w:highlight w:val="none"/>
          <w:lang w:val="en-US" w:eastAsia="zh-CN"/>
          <w14:textFill>
            <w14:solidFill>
              <w14:schemeClr w14:val="tx1"/>
            </w14:solidFill>
          </w14:textFill>
        </w:rPr>
        <w:t>2024年全市及市级国有资产管理情况的报告</w:t>
      </w:r>
      <w:r>
        <w:rPr>
          <w:rFonts w:hint="eastAsia" w:ascii="仿宋" w:hAnsi="仿宋" w:eastAsia="仿宋" w:cs="仿宋"/>
          <w:color w:val="000000" w:themeColor="text1"/>
          <w:spacing w:val="-4"/>
          <w:sz w:val="32"/>
          <w:szCs w:val="32"/>
          <w:highlight w:val="none"/>
          <w14:textFill>
            <w14:solidFill>
              <w14:schemeClr w14:val="tx1"/>
            </w14:solidFill>
          </w14:textFill>
        </w:rPr>
        <w:t>。请予审议。</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一、全市国有企业资产管理情况</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lang w:eastAsia="zh-CN"/>
          <w14:textFill>
            <w14:solidFill>
              <w14:schemeClr w14:val="tx1"/>
            </w14:solidFill>
          </w14:textFill>
        </w:rPr>
        <w:t>（一）全市国有企业</w:t>
      </w:r>
      <w:r>
        <w:rPr>
          <w:rFonts w:hint="eastAsia" w:ascii="楷体_GB2312" w:hAnsi="楷体_GB2312" w:eastAsia="楷体_GB2312" w:cs="楷体_GB2312"/>
          <w:b/>
          <w:bCs/>
          <w:color w:val="000000" w:themeColor="text1"/>
          <w:sz w:val="32"/>
          <w:szCs w:val="32"/>
          <w14:textFill>
            <w14:solidFill>
              <w14:schemeClr w14:val="tx1"/>
            </w14:solidFill>
          </w14:textFill>
        </w:rPr>
        <w:t>资产基本情况</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2024年纳入我市国有资产统计编报范围的企业共计626家。从行政级次看，市本级企业246家，县（市、区）级企业380家。</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截至2024年底，我市国有企业资产总额2011.49亿元，同比增长24.48%；负债总额1303.09亿元，同比增长21.9%；所有者权益708.4亿元，同比增长29.52%；资产负债率为64.78%，同比下降0.66个百分点。</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截至2024年底，市属国有企业资产总额1103.21亿元，同比增长23.74%；负债总额710.54亿元，同比增长14.82%；所有者权益392.67亿元，同比增长44%；资产负债率为64.41%，同比下降4.81个百分点；国有资本保值增值率100.94%；2024年度上缴国有资本收益0.5亿元。</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rPr>
          <w:rFonts w:hint="eastAsia" w:ascii="楷体_GB2312" w:hAnsi="楷体_GB2312" w:eastAsia="楷体_GB2312" w:cs="楷体_GB2312"/>
          <w:b/>
          <w:bCs/>
          <w:color w:val="000000" w:themeColor="text1"/>
          <w:sz w:val="32"/>
          <w:szCs w:val="32"/>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eastAsia="zh-CN"/>
          <w14:textFill>
            <w14:solidFill>
              <w14:schemeClr w14:val="tx1"/>
            </w14:solidFill>
          </w14:textFill>
        </w:rPr>
        <w:t>（二）市属国有企业资产监管情况</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spacing w:before="0" w:beforeLines="0" w:afterLines="0" w:line="560" w:lineRule="exact"/>
        <w:ind w:left="0" w:leftChars="0" w:right="0" w:rightChars="0"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2024年，围绕“工业立市、文化兴市”总体目标，坚持以实施国企改革深化提升行动为切入点，持续深化国资国企改革，加大攻坚突破力度，组建邢台市水务发展集团、优化整合邢襄产投集团，清晰主责主业、明确功能定位，在推动国有企业高质量发展新征程上迈出坚实步伐。以央企引进工作为着力点，新增落户央企三级子公司16家，其中包括1家北京疏解央企二级子公司，1家北京疏解央企三级子公司；落户我市的51家央企三级子公司均已产生质效，奋力打造央地合作互利共赢新模式。以国资监管工作为出发点，开展监管企业应收债权清理清收、国有资产租赁规范管理、亏损子企业治理三个专项行动，建设阳光采购、国资监管平台，完善经理层、董事会建设，在规范企业制度体系、做大企业规模上持续发力，实现市属国有企业资产总额、经营质效双提升。</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spacing w:before="0" w:beforeLines="0" w:afterLines="0" w:line="560" w:lineRule="exact"/>
        <w:ind w:left="0" w:leftChars="0" w:right="0" w:rightChars="0"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1.国企改革成绩显著。</w:t>
      </w:r>
      <w:r>
        <w:rPr>
          <w:rFonts w:hint="eastAsia" w:ascii="仿宋" w:hAnsi="仿宋" w:eastAsia="仿宋" w:cs="仿宋"/>
          <w:b/>
          <w:bCs/>
          <w:color w:val="000000" w:themeColor="text1"/>
          <w:sz w:val="32"/>
          <w:szCs w:val="32"/>
          <w:lang w:val="en-US" w:eastAsia="zh-CN"/>
          <w14:textFill>
            <w14:solidFill>
              <w14:schemeClr w14:val="tx1"/>
            </w14:solidFill>
          </w14:textFill>
        </w:rPr>
        <w:t>一是</w:t>
      </w:r>
      <w:r>
        <w:rPr>
          <w:rFonts w:hint="eastAsia" w:ascii="仿宋" w:hAnsi="仿宋" w:eastAsia="仿宋" w:cs="仿宋"/>
          <w:b w:val="0"/>
          <w:bCs w:val="0"/>
          <w:color w:val="000000" w:themeColor="text1"/>
          <w:sz w:val="32"/>
          <w:szCs w:val="32"/>
          <w:lang w:val="en-US" w:eastAsia="zh-CN"/>
          <w14:textFill>
            <w14:solidFill>
              <w14:schemeClr w14:val="tx1"/>
            </w14:solidFill>
          </w14:textFill>
        </w:rPr>
        <w:t>深入推进国有企业深化提升行动。坚持以改革促发展，每季度摸底市</w:t>
      </w:r>
      <w:r>
        <w:rPr>
          <w:rFonts w:hint="eastAsia" w:ascii="仿宋" w:hAnsi="仿宋" w:eastAsia="仿宋" w:cs="仿宋"/>
          <w:color w:val="000000" w:themeColor="text1"/>
          <w:sz w:val="32"/>
          <w:szCs w:val="32"/>
          <w:lang w:val="en-US" w:eastAsia="zh-CN"/>
          <w14:textFill>
            <w14:solidFill>
              <w14:schemeClr w14:val="tx1"/>
            </w14:solidFill>
          </w14:textFill>
        </w:rPr>
        <w:t>属国有企业改革工作开展情况，组织召开专题推进会议4次，推动重点任务落实落地。我市国企改革深化提升行动实施情况在全省排名并列第一，改革案例获评省国资系统典型改革案例一等奖1项、三等奖4项、优秀奖8项。</w:t>
      </w:r>
      <w:r>
        <w:rPr>
          <w:rFonts w:hint="eastAsia" w:ascii="仿宋" w:hAnsi="仿宋" w:eastAsia="仿宋" w:cs="仿宋"/>
          <w:b/>
          <w:bCs/>
          <w:color w:val="000000" w:themeColor="text1"/>
          <w:sz w:val="32"/>
          <w:szCs w:val="32"/>
          <w:lang w:val="en-US" w:eastAsia="zh-CN"/>
          <w14:textFill>
            <w14:solidFill>
              <w14:schemeClr w14:val="tx1"/>
            </w14:solidFill>
          </w14:textFill>
        </w:rPr>
        <w:t>二是</w:t>
      </w:r>
      <w:r>
        <w:rPr>
          <w:rFonts w:hint="eastAsia" w:ascii="仿宋" w:hAnsi="仿宋" w:eastAsia="仿宋" w:cs="仿宋"/>
          <w:b w:val="0"/>
          <w:bCs w:val="0"/>
          <w:color w:val="000000" w:themeColor="text1"/>
          <w:sz w:val="32"/>
          <w:szCs w:val="32"/>
          <w:lang w:val="en-US" w:eastAsia="zh-CN"/>
          <w14:textFill>
            <w14:solidFill>
              <w14:schemeClr w14:val="tx1"/>
            </w14:solidFill>
          </w14:textFill>
        </w:rPr>
        <w:t>优化国有经济布局结构。优</w:t>
      </w:r>
      <w:r>
        <w:rPr>
          <w:rFonts w:hint="eastAsia" w:ascii="仿宋" w:hAnsi="仿宋" w:eastAsia="仿宋" w:cs="仿宋"/>
          <w:color w:val="000000" w:themeColor="text1"/>
          <w:sz w:val="32"/>
          <w:szCs w:val="32"/>
          <w:lang w:val="en-US" w:eastAsia="zh-CN"/>
          <w14:textFill>
            <w14:solidFill>
              <w14:schemeClr w14:val="tx1"/>
            </w14:solidFill>
          </w14:textFill>
        </w:rPr>
        <w:t>化整合邢襄产投集团，组建水发集团，特别监管市经开区、市高新区出资的2家企业，形成“3+5+2”国资监管格局。持续优化粮食、水利行业资源，推动监管企业内部同类业务横向集聚、产业链上下游纵向贯通，进一步发挥补链强链功能，调整盘活存量资产，持续提升资本配置效益。</w:t>
      </w:r>
      <w:r>
        <w:rPr>
          <w:rFonts w:hint="eastAsia" w:ascii="仿宋" w:hAnsi="仿宋" w:eastAsia="仿宋" w:cs="仿宋"/>
          <w:b/>
          <w:bCs/>
          <w:color w:val="000000" w:themeColor="text1"/>
          <w:sz w:val="32"/>
          <w:szCs w:val="32"/>
          <w:lang w:val="en-US" w:eastAsia="zh-CN"/>
          <w14:textFill>
            <w14:solidFill>
              <w14:schemeClr w14:val="tx1"/>
            </w14:solidFill>
          </w14:textFill>
        </w:rPr>
        <w:t>三是</w:t>
      </w:r>
      <w:r>
        <w:rPr>
          <w:rFonts w:hint="eastAsia" w:ascii="仿宋" w:hAnsi="仿宋" w:eastAsia="仿宋" w:cs="仿宋"/>
          <w:b w:val="0"/>
          <w:bCs w:val="0"/>
          <w:color w:val="000000" w:themeColor="text1"/>
          <w:sz w:val="32"/>
          <w:szCs w:val="32"/>
          <w:lang w:val="en-US" w:eastAsia="zh-CN"/>
          <w14:textFill>
            <w14:solidFill>
              <w14:schemeClr w14:val="tx1"/>
            </w14:solidFill>
          </w14:textFill>
        </w:rPr>
        <w:t>提高企业创新能力。指导市属国有企业获专利授权20余项，获</w:t>
      </w:r>
      <w:r>
        <w:rPr>
          <w:rFonts w:hint="eastAsia" w:ascii="仿宋" w:hAnsi="仿宋" w:eastAsia="仿宋" w:cs="仿宋"/>
          <w:color w:val="000000" w:themeColor="text1"/>
          <w:sz w:val="32"/>
          <w:szCs w:val="32"/>
          <w:lang w:val="en-US" w:eastAsia="zh-CN"/>
          <w14:textFill>
            <w14:solidFill>
              <w14:schemeClr w14:val="tx1"/>
            </w14:solidFill>
          </w14:textFill>
        </w:rPr>
        <w:t>批地方标准立项1项；重点督促开展创新载体培育、研发经费投入和创新成果转化，推动国有企业专精特新发展。持续落实我市国有企业打造原创技术策源地的实施方案，推动国有企业研发投入稳步增长，2024年研发（R&amp;D）经费投入2.05亿元。</w:t>
      </w:r>
      <w:r>
        <w:rPr>
          <w:rFonts w:hint="eastAsia" w:ascii="仿宋" w:hAnsi="仿宋" w:eastAsia="仿宋" w:cs="仿宋"/>
          <w:b/>
          <w:bCs/>
          <w:color w:val="000000" w:themeColor="text1"/>
          <w:sz w:val="32"/>
          <w:szCs w:val="32"/>
          <w:lang w:val="en-US" w:eastAsia="zh-CN"/>
          <w14:textFill>
            <w14:solidFill>
              <w14:schemeClr w14:val="tx1"/>
            </w14:solidFill>
          </w14:textFill>
        </w:rPr>
        <w:t>四是</w:t>
      </w:r>
      <w:r>
        <w:rPr>
          <w:rFonts w:hint="eastAsia" w:ascii="仿宋" w:hAnsi="仿宋" w:eastAsia="仿宋" w:cs="仿宋"/>
          <w:b w:val="0"/>
          <w:bCs w:val="0"/>
          <w:color w:val="000000" w:themeColor="text1"/>
          <w:sz w:val="32"/>
          <w:szCs w:val="32"/>
          <w:lang w:val="en-US" w:eastAsia="zh-CN"/>
          <w14:textFill>
            <w14:solidFill>
              <w14:schemeClr w14:val="tx1"/>
            </w14:solidFill>
          </w14:textFill>
        </w:rPr>
        <w:t>完善公司治理机制。指导监管企业对党委前置研究讨论重大经营</w:t>
      </w:r>
      <w:r>
        <w:rPr>
          <w:rFonts w:hint="eastAsia" w:ascii="仿宋" w:hAnsi="仿宋" w:eastAsia="仿宋" w:cs="仿宋"/>
          <w:color w:val="000000" w:themeColor="text1"/>
          <w:sz w:val="32"/>
          <w:szCs w:val="32"/>
          <w:lang w:val="en-US" w:eastAsia="zh-CN"/>
          <w14:textFill>
            <w14:solidFill>
              <w14:schemeClr w14:val="tx1"/>
            </w14:solidFill>
          </w14:textFill>
        </w:rPr>
        <w:t>管理事项清单进行优化完善，确保充分发挥党把方向、管大局、保落实的领导作用。</w:t>
      </w:r>
      <w:bookmarkStart w:id="1" w:name="OLE_LINK3"/>
      <w:r>
        <w:rPr>
          <w:rFonts w:hint="eastAsia" w:ascii="仿宋" w:hAnsi="仿宋" w:eastAsia="仿宋" w:cs="仿宋"/>
          <w:color w:val="000000" w:themeColor="text1"/>
          <w:sz w:val="32"/>
          <w:szCs w:val="32"/>
          <w:lang w:val="en-US" w:eastAsia="zh-CN"/>
          <w14:textFill>
            <w14:solidFill>
              <w14:schemeClr w14:val="tx1"/>
            </w14:solidFill>
          </w14:textFill>
        </w:rPr>
        <w:t>持续推进董事会建设并积极发挥作用，对董事会建设情况进行专题检查，动态调整充实外部董事人才库，调整外部董事20人次，解聘外部董事11人次，有力促进董事会科学决策。</w:t>
      </w:r>
      <w:bookmarkEnd w:id="1"/>
      <w:r>
        <w:rPr>
          <w:rFonts w:hint="eastAsia" w:ascii="仿宋" w:hAnsi="仿宋" w:eastAsia="仿宋" w:cs="仿宋"/>
          <w:b/>
          <w:bCs/>
          <w:color w:val="000000" w:themeColor="text1"/>
          <w:sz w:val="32"/>
          <w:szCs w:val="32"/>
          <w:lang w:val="en-US" w:eastAsia="zh-CN"/>
          <w14:textFill>
            <w14:solidFill>
              <w14:schemeClr w14:val="tx1"/>
            </w14:solidFill>
          </w14:textFill>
        </w:rPr>
        <w:t>五是</w:t>
      </w:r>
      <w:r>
        <w:rPr>
          <w:rFonts w:hint="eastAsia" w:ascii="仿宋" w:hAnsi="仿宋" w:eastAsia="仿宋" w:cs="仿宋"/>
          <w:b w:val="0"/>
          <w:bCs w:val="0"/>
          <w:color w:val="000000" w:themeColor="text1"/>
          <w:sz w:val="32"/>
          <w:szCs w:val="32"/>
          <w:lang w:val="en-US" w:eastAsia="zh-CN"/>
          <w14:textFill>
            <w14:solidFill>
              <w14:schemeClr w14:val="tx1"/>
            </w14:solidFill>
          </w14:textFill>
        </w:rPr>
        <w:t>健全新型经营责任制。起草《委管企业领导人员管理办法》《委管企业</w:t>
      </w:r>
      <w:r>
        <w:rPr>
          <w:rFonts w:hint="eastAsia" w:ascii="仿宋" w:hAnsi="仿宋" w:eastAsia="仿宋" w:cs="仿宋"/>
          <w:color w:val="000000" w:themeColor="text1"/>
          <w:sz w:val="32"/>
          <w:szCs w:val="32"/>
          <w:lang w:val="en-US" w:eastAsia="zh-CN"/>
          <w14:textFill>
            <w14:solidFill>
              <w14:schemeClr w14:val="tx1"/>
            </w14:solidFill>
          </w14:textFill>
        </w:rPr>
        <w:t>领导人员综合考核评价办法》等企业人员管理办法9项，采取“定员定岗定责”模式，审核市属国有企业二级子企业及两区企业领导人员人选。指导监管企业持续推进经理层成员任期制和契约化管理工作，开展职业经理人市场化选聘，修订完善中层管理人员竞争上岗有关制度，在集团中层管理人员中推行任期制契约化管理方式，签订部室绩效考核责任目标，落实管理人员经营管理责任，进一步提升企业活力效率。</w:t>
      </w:r>
      <w:r>
        <w:rPr>
          <w:rFonts w:hint="eastAsia" w:ascii="仿宋" w:hAnsi="仿宋" w:eastAsia="仿宋" w:cs="仿宋"/>
          <w:b/>
          <w:bCs/>
          <w:color w:val="000000" w:themeColor="text1"/>
          <w:sz w:val="32"/>
          <w:szCs w:val="32"/>
          <w:lang w:val="en-US" w:eastAsia="zh-CN"/>
          <w14:textFill>
            <w14:solidFill>
              <w14:schemeClr w14:val="tx1"/>
            </w14:solidFill>
          </w14:textFill>
        </w:rPr>
        <w:t>六是</w:t>
      </w:r>
      <w:r>
        <w:rPr>
          <w:rFonts w:hint="eastAsia" w:ascii="仿宋" w:hAnsi="仿宋" w:eastAsia="仿宋" w:cs="仿宋"/>
          <w:b w:val="0"/>
          <w:bCs w:val="0"/>
          <w:color w:val="000000" w:themeColor="text1"/>
          <w:sz w:val="32"/>
          <w:szCs w:val="32"/>
          <w:lang w:val="en-US" w:eastAsia="zh-CN"/>
          <w14:textFill>
            <w14:solidFill>
              <w14:schemeClr w14:val="tx1"/>
            </w14:solidFill>
          </w14:textFill>
        </w:rPr>
        <w:t>完善企业后备人才建设。坚持创新国企人才培训模式，开办一年制</w:t>
      </w:r>
      <w:r>
        <w:rPr>
          <w:rFonts w:hint="eastAsia" w:ascii="仿宋" w:hAnsi="仿宋" w:eastAsia="仿宋" w:cs="仿宋"/>
          <w:color w:val="000000" w:themeColor="text1"/>
          <w:sz w:val="32"/>
          <w:szCs w:val="32"/>
          <w:lang w:val="en-US" w:eastAsia="zh-CN"/>
          <w14:textFill>
            <w14:solidFill>
              <w14:schemeClr w14:val="tx1"/>
            </w14:solidFill>
          </w14:textFill>
        </w:rPr>
        <w:t>6期市属国有企业经营管理人才综合素质提升班和两年制24期管培生培训班，受训人员达1600余人次。</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spacing w:before="0" w:beforeLines="0" w:afterLines="0" w:line="560" w:lineRule="exact"/>
        <w:ind w:left="0" w:leftChars="0" w:right="0" w:rightChars="0" w:firstLine="640" w:firstLineChars="200"/>
        <w:jc w:val="both"/>
        <w:textAlignment w:val="auto"/>
        <w:rPr>
          <w:rFonts w:hint="eastAsia" w:ascii="仿宋" w:hAnsi="仿宋" w:eastAsia="仿宋" w:cs="仿宋"/>
          <w:b/>
          <w:bCs/>
          <w:color w:val="000000" w:themeColor="text1"/>
          <w:kern w:val="2"/>
          <w:sz w:val="32"/>
          <w:szCs w:val="32"/>
          <w:highlight w:val="yellow"/>
          <w:lang w:val="en-US" w:eastAsia="zh-CN" w:bidi="ar-SA"/>
          <w14:textFill>
            <w14:solidFill>
              <w14:schemeClr w14:val="tx1"/>
            </w14:solidFill>
          </w14:textFill>
        </w:rPr>
      </w:pPr>
      <w:bookmarkStart w:id="2" w:name="OLE_LINK1"/>
      <w:r>
        <w:rPr>
          <w:rFonts w:hint="eastAsia" w:ascii="仿宋" w:hAnsi="仿宋" w:eastAsia="仿宋" w:cs="仿宋"/>
          <w:b w:val="0"/>
          <w:bCs w:val="0"/>
          <w:color w:val="000000" w:themeColor="text1"/>
          <w:kern w:val="2"/>
          <w:sz w:val="32"/>
          <w:szCs w:val="32"/>
          <w:highlight w:val="none"/>
          <w:lang w:val="en-US" w:eastAsia="zh-CN" w:bidi="ar-SA"/>
          <w14:textFill>
            <w14:solidFill>
              <w14:schemeClr w14:val="tx1"/>
            </w14:solidFill>
          </w14:textFill>
        </w:rPr>
        <w:t>2.央企引进持续深化。</w:t>
      </w:r>
      <w:r>
        <w:rPr>
          <w:rFonts w:hint="eastAsia" w:ascii="仿宋" w:hAnsi="仿宋" w:eastAsia="仿宋" w:cs="仿宋"/>
          <w:b/>
          <w:bCs/>
          <w:color w:val="000000" w:themeColor="text1"/>
          <w:sz w:val="32"/>
          <w:szCs w:val="32"/>
          <w:lang w:val="en-US" w:eastAsia="zh-CN"/>
          <w14:textFill>
            <w14:solidFill>
              <w14:schemeClr w14:val="tx1"/>
            </w14:solidFill>
          </w14:textFill>
        </w:rPr>
        <w:t>一是</w:t>
      </w:r>
      <w:r>
        <w:rPr>
          <w:rFonts w:hint="eastAsia" w:ascii="仿宋" w:hAnsi="仿宋" w:eastAsia="仿宋" w:cs="仿宋"/>
          <w:b w:val="0"/>
          <w:bCs w:val="0"/>
          <w:color w:val="000000" w:themeColor="text1"/>
          <w:sz w:val="32"/>
          <w:szCs w:val="32"/>
          <w:lang w:val="en-US" w:eastAsia="zh-CN"/>
          <w14:textFill>
            <w14:solidFill>
              <w14:schemeClr w14:val="tx1"/>
            </w14:solidFill>
          </w14:textFill>
        </w:rPr>
        <w:t>扎实开展央企引进。积极对接在京央企二三级子公司，2024年度全市共引进央企子</w:t>
      </w:r>
      <w:r>
        <w:rPr>
          <w:rFonts w:hint="eastAsia" w:ascii="仿宋" w:hAnsi="仿宋" w:eastAsia="仿宋" w:cs="仿宋"/>
          <w:color w:val="000000" w:themeColor="text1"/>
          <w:sz w:val="32"/>
          <w:szCs w:val="32"/>
          <w:lang w:val="en-US" w:eastAsia="zh-CN"/>
          <w14:textFill>
            <w14:solidFill>
              <w14:schemeClr w14:val="tx1"/>
            </w14:solidFill>
          </w14:textFill>
        </w:rPr>
        <w:t>公司16家，包括1家北京疏解央企二级子公司（北大荒研究院(北京)有限公司）、1家北京疏解央企三级子公司（中铁建工集团北京机械制造有限公司）、14家新注册央企三级子公司。</w:t>
      </w:r>
      <w:r>
        <w:rPr>
          <w:rFonts w:hint="eastAsia" w:ascii="仿宋" w:hAnsi="仿宋" w:eastAsia="仿宋" w:cs="仿宋"/>
          <w:b/>
          <w:bCs/>
          <w:color w:val="000000" w:themeColor="text1"/>
          <w:sz w:val="32"/>
          <w:szCs w:val="32"/>
          <w:lang w:val="en-US" w:eastAsia="zh-CN"/>
          <w14:textFill>
            <w14:solidFill>
              <w14:schemeClr w14:val="tx1"/>
            </w14:solidFill>
          </w14:textFill>
        </w:rPr>
        <w:t>二是</w:t>
      </w:r>
      <w:r>
        <w:rPr>
          <w:rFonts w:hint="eastAsia" w:ascii="仿宋" w:hAnsi="仿宋" w:eastAsia="仿宋" w:cs="仿宋"/>
          <w:b w:val="0"/>
          <w:bCs w:val="0"/>
          <w:color w:val="000000" w:themeColor="text1"/>
          <w:sz w:val="32"/>
          <w:szCs w:val="32"/>
          <w:lang w:val="en-US" w:eastAsia="zh-CN"/>
          <w14:textFill>
            <w14:solidFill>
              <w14:schemeClr w14:val="tx1"/>
            </w14:solidFill>
          </w14:textFill>
        </w:rPr>
        <w:t>逐企盯办质效产生。建立《邢台市落户央企项目推进清单》，针对</w:t>
      </w:r>
      <w:r>
        <w:rPr>
          <w:rFonts w:hint="eastAsia" w:ascii="仿宋" w:hAnsi="仿宋" w:eastAsia="仿宋" w:cs="仿宋"/>
          <w:color w:val="000000" w:themeColor="text1"/>
          <w:sz w:val="32"/>
          <w:szCs w:val="32"/>
          <w:lang w:val="en-US" w:eastAsia="zh-CN"/>
          <w14:textFill>
            <w14:solidFill>
              <w14:schemeClr w14:val="tx1"/>
            </w14:solidFill>
          </w14:textFill>
        </w:rPr>
        <w:t>落户央企逐个细化投资计划，逐月紧盯投资落实，由副主任带队成立工作专班，先后赴20个县（市、区）开展落户央企调研帮扶工作，逐一研判指导落户央企。落户我市的51家央企三级子公司已全部产生质效，累计实现固投1.26亿元，营业收入9628.46万元，利润总额2111.55万元。</w:t>
      </w:r>
      <w:r>
        <w:rPr>
          <w:rFonts w:hint="eastAsia" w:ascii="仿宋" w:hAnsi="仿宋" w:eastAsia="仿宋" w:cs="仿宋"/>
          <w:b/>
          <w:bCs/>
          <w:color w:val="000000" w:themeColor="text1"/>
          <w:sz w:val="32"/>
          <w:szCs w:val="32"/>
          <w:lang w:val="en-US" w:eastAsia="zh-CN"/>
          <w14:textFill>
            <w14:solidFill>
              <w14:schemeClr w14:val="tx1"/>
            </w14:solidFill>
          </w14:textFill>
        </w:rPr>
        <w:t>三是</w:t>
      </w:r>
      <w:r>
        <w:rPr>
          <w:rFonts w:hint="eastAsia" w:ascii="仿宋" w:hAnsi="仿宋" w:eastAsia="仿宋" w:cs="仿宋"/>
          <w:b w:val="0"/>
          <w:bCs w:val="0"/>
          <w:color w:val="000000" w:themeColor="text1"/>
          <w:sz w:val="32"/>
          <w:szCs w:val="32"/>
          <w:lang w:val="en-US" w:eastAsia="zh-CN"/>
          <w14:textFill>
            <w14:solidFill>
              <w14:schemeClr w14:val="tx1"/>
            </w14:solidFill>
          </w14:textFill>
        </w:rPr>
        <w:t>央地合作日益紧密。2024年以来，采取以点带面、辐射引领的方式，推动实施以汽车配件、风电光伏等2个产业为重点突破口，深挖央企资</w:t>
      </w:r>
      <w:r>
        <w:rPr>
          <w:rFonts w:hint="eastAsia" w:ascii="仿宋" w:hAnsi="仿宋" w:eastAsia="仿宋" w:cs="仿宋"/>
          <w:color w:val="000000" w:themeColor="text1"/>
          <w:sz w:val="32"/>
          <w:szCs w:val="32"/>
          <w:lang w:val="en-US" w:eastAsia="zh-CN"/>
          <w14:textFill>
            <w14:solidFill>
              <w14:schemeClr w14:val="tx1"/>
            </w14:solidFill>
          </w14:textFill>
        </w:rPr>
        <w:t>源潜力，开展专题推介，促进更多的邢台产品和服务进入央企的产业链、供应链。截至2024年12月底，邢台市已有23项名优产品进入央企产业链、供应链，包括建筑新材料、汽车零部件、冶金自动化设备及配件、焦炭及焦化产品、稀有金属、深加工农产品等多领域，涉及中核集团、中国铁建、中国中铁、中国煤炭地质总局等央企集团，累计销售额达90.32亿元。</w:t>
      </w:r>
      <w:r>
        <w:rPr>
          <w:rFonts w:hint="eastAsia" w:ascii="仿宋" w:hAnsi="仿宋" w:eastAsia="仿宋" w:cs="仿宋"/>
          <w:b/>
          <w:bCs/>
          <w:color w:val="000000" w:themeColor="text1"/>
          <w:sz w:val="32"/>
          <w:szCs w:val="32"/>
          <w:lang w:val="en-US" w:eastAsia="zh-CN"/>
          <w14:textFill>
            <w14:solidFill>
              <w14:schemeClr w14:val="tx1"/>
            </w14:solidFill>
          </w14:textFill>
        </w:rPr>
        <w:t>四是</w:t>
      </w:r>
      <w:r>
        <w:rPr>
          <w:rFonts w:hint="eastAsia" w:ascii="仿宋" w:hAnsi="仿宋" w:eastAsia="仿宋" w:cs="仿宋"/>
          <w:b w:val="0"/>
          <w:bCs w:val="0"/>
          <w:color w:val="000000" w:themeColor="text1"/>
          <w:sz w:val="32"/>
          <w:szCs w:val="32"/>
          <w:lang w:val="en-US" w:eastAsia="zh-CN"/>
          <w14:textFill>
            <w14:solidFill>
              <w14:schemeClr w14:val="tx1"/>
            </w14:solidFill>
          </w14:textFill>
        </w:rPr>
        <w:t>做好驻邢央企服务。每月召开助企纾困恳谈会，为驻邢央企、省企领导</w:t>
      </w:r>
      <w:r>
        <w:rPr>
          <w:rFonts w:hint="eastAsia" w:ascii="仿宋" w:hAnsi="仿宋" w:eastAsia="仿宋" w:cs="仿宋"/>
          <w:color w:val="000000" w:themeColor="text1"/>
          <w:sz w:val="32"/>
          <w:szCs w:val="32"/>
          <w:lang w:val="en-US" w:eastAsia="zh-CN"/>
          <w14:textFill>
            <w14:solidFill>
              <w14:schemeClr w14:val="tx1"/>
            </w14:solidFill>
          </w14:textFill>
        </w:rPr>
        <w:t>赠送“共建邢襄”政策资料包，推动解决邢台移动手机用户号码误封、邢台邮政清河分拣中心选址等央企发展中多项困难和问题，持续为驻邢央企发展做好支持保障。</w:t>
      </w:r>
    </w:p>
    <w:bookmarkEnd w:id="2"/>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spacing w:before="0" w:beforeLines="0" w:afterLines="0" w:line="560" w:lineRule="exact"/>
        <w:ind w:left="0" w:leftChars="0" w:right="0" w:rightChars="0" w:firstLine="640" w:firstLineChars="200"/>
        <w:jc w:val="both"/>
        <w:textAlignment w:val="auto"/>
        <w:rPr>
          <w:rFonts w:hint="eastAsia" w:ascii="仿宋" w:hAnsi="仿宋" w:eastAsia="仿宋" w:cs="仿宋"/>
          <w:color w:val="000000" w:themeColor="text1"/>
          <w:sz w:val="32"/>
          <w:szCs w:val="32"/>
          <w:highlight w:val="yellow"/>
          <w:lang w:val="en-US" w:eastAsia="zh-CN"/>
          <w14:textFill>
            <w14:solidFill>
              <w14:schemeClr w14:val="tx1"/>
            </w14:solidFill>
          </w14:textFill>
        </w:rPr>
      </w:pP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3.国资监管全面加强。</w:t>
      </w:r>
      <w:r>
        <w:rPr>
          <w:rFonts w:hint="eastAsia" w:ascii="仿宋" w:hAnsi="仿宋" w:eastAsia="仿宋" w:cs="仿宋"/>
          <w:b/>
          <w:bCs/>
          <w:color w:val="000000" w:themeColor="text1"/>
          <w:sz w:val="32"/>
          <w:szCs w:val="32"/>
          <w:lang w:val="en-US" w:eastAsia="zh-CN"/>
          <w14:textFill>
            <w14:solidFill>
              <w14:schemeClr w14:val="tx1"/>
            </w14:solidFill>
          </w14:textFill>
        </w:rPr>
        <w:t>一是</w:t>
      </w:r>
      <w:r>
        <w:rPr>
          <w:rFonts w:hint="eastAsia" w:ascii="仿宋" w:hAnsi="仿宋" w:eastAsia="仿宋" w:cs="仿宋"/>
          <w:b w:val="0"/>
          <w:bCs w:val="0"/>
          <w:color w:val="000000" w:themeColor="text1"/>
          <w:sz w:val="32"/>
          <w:szCs w:val="32"/>
          <w:lang w:val="en-US" w:eastAsia="zh-CN"/>
          <w14:textFill>
            <w14:solidFill>
              <w14:schemeClr w14:val="tx1"/>
            </w14:solidFill>
          </w14:textFill>
        </w:rPr>
        <w:t>精准考核构建激励机制。对市属国有企业2023年度经营业绩进行精准考核，并依据“一利五率”考核要求，研判确定2024年度经营</w:t>
      </w:r>
      <w:r>
        <w:rPr>
          <w:rFonts w:hint="eastAsia" w:ascii="仿宋" w:hAnsi="仿宋" w:eastAsia="仿宋" w:cs="仿宋"/>
          <w:color w:val="000000" w:themeColor="text1"/>
          <w:sz w:val="32"/>
          <w:szCs w:val="32"/>
          <w:lang w:val="en-US" w:eastAsia="zh-CN"/>
          <w14:textFill>
            <w14:solidFill>
              <w14:schemeClr w14:val="tx1"/>
            </w14:solidFill>
          </w14:textFill>
        </w:rPr>
        <w:t>业绩考核责任目标，突出分类考核，实现“一企一策”；修订完善《市国资委监管企业2024年度经营业绩考核评价细则》，明确奖惩事项，完善管理要求，发挥考核“指挥棒”作用。同时，加强对企业调研帮扶，通过“每月跟踪、每季通报、半年评估”等方式，动态跟踪企业经营业绩，确保企业圆满完成2024年度目标任务。</w:t>
      </w:r>
      <w:r>
        <w:rPr>
          <w:rFonts w:hint="eastAsia" w:ascii="仿宋" w:hAnsi="仿宋" w:eastAsia="仿宋" w:cs="仿宋"/>
          <w:b/>
          <w:bCs/>
          <w:color w:val="000000" w:themeColor="text1"/>
          <w:sz w:val="32"/>
          <w:szCs w:val="32"/>
          <w:lang w:eastAsia="zh-CN"/>
          <w14:textFill>
            <w14:solidFill>
              <w14:schemeClr w14:val="tx1"/>
            </w14:solidFill>
          </w14:textFill>
        </w:rPr>
        <w:t>二是</w:t>
      </w:r>
      <w:r>
        <w:rPr>
          <w:rFonts w:hint="eastAsia" w:ascii="仿宋" w:hAnsi="仿宋" w:eastAsia="仿宋" w:cs="仿宋"/>
          <w:b w:val="0"/>
          <w:bCs w:val="0"/>
          <w:color w:val="000000" w:themeColor="text1"/>
          <w:sz w:val="32"/>
          <w:szCs w:val="32"/>
          <w:lang w:val="en-US" w:eastAsia="zh-CN"/>
          <w14:textFill>
            <w14:solidFill>
              <w14:schemeClr w14:val="tx1"/>
            </w14:solidFill>
          </w14:textFill>
        </w:rPr>
        <w:t>持续盘活国有存量资产。配合2023年度审计全面梳理监管企业存</w:t>
      </w:r>
      <w:r>
        <w:rPr>
          <w:rFonts w:hint="eastAsia" w:ascii="仿宋" w:hAnsi="仿宋" w:eastAsia="仿宋" w:cs="仿宋"/>
          <w:color w:val="000000" w:themeColor="text1"/>
          <w:sz w:val="32"/>
          <w:szCs w:val="32"/>
          <w:lang w:val="en-US" w:eastAsia="zh-CN"/>
          <w14:textFill>
            <w14:solidFill>
              <w14:schemeClr w14:val="tx1"/>
            </w14:solidFill>
          </w14:textFill>
        </w:rPr>
        <w:t>量资产，开展“三个专项”治理行动，专题解决市属国有企业存在应收债权数额较大、资产租赁不规范、亏损子企业户数多亏损额大等问题。2024年指导市属国有企业整治资产租赁不规范问题116项，108户子企业制定了减亏任务目标，清理收回应收债权3.55亿元，提高了国资精准监督管理水平，规范了市属国有企业经营管理体系，确保了国有资产保值增值。</w:t>
      </w: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三是</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大力推进阳光采购平台建设。</w:t>
      </w:r>
      <w:r>
        <w:rPr>
          <w:rFonts w:hint="eastAsia" w:ascii="仿宋" w:hAnsi="仿宋" w:eastAsia="仿宋" w:cs="仿宋"/>
          <w:b w:val="0"/>
          <w:bCs w:val="0"/>
          <w:color w:val="000000" w:themeColor="text1"/>
          <w:sz w:val="32"/>
          <w:szCs w:val="32"/>
          <w:lang w:val="en-US" w:eastAsia="zh-CN"/>
          <w14:textFill>
            <w14:solidFill>
              <w14:schemeClr w14:val="tx1"/>
            </w14:solidFill>
          </w14:textFill>
        </w:rPr>
        <w:t>在全省范围内率先建成市级国有企</w:t>
      </w:r>
      <w:r>
        <w:rPr>
          <w:rFonts w:hint="eastAsia" w:ascii="仿宋" w:hAnsi="仿宋" w:eastAsia="仿宋" w:cs="仿宋"/>
          <w:color w:val="000000" w:themeColor="text1"/>
          <w:sz w:val="32"/>
          <w:szCs w:val="32"/>
          <w:lang w:val="en-US" w:eastAsia="zh-CN"/>
          <w14:textFill>
            <w14:solidFill>
              <w14:schemeClr w14:val="tx1"/>
            </w14:solidFill>
          </w14:textFill>
        </w:rPr>
        <w:t>业阳光采购平台。自2024年8月1日采购平台上线后，市属国有企业已通过阳光采购平台进行线上采购,吸引10486家供应商注册登记。截至2024年底，市属国企发布总体采购预算金额300713.89万，中标金额293905.93万，共计节约资金6807.96万，平均节支率约为2.26%，有力促进市属国有企业采购降本增效。</w:t>
      </w:r>
      <w:r>
        <w:rPr>
          <w:rFonts w:hint="eastAsia" w:ascii="仿宋" w:hAnsi="仿宋" w:eastAsia="仿宋" w:cs="仿宋"/>
          <w:b/>
          <w:bCs/>
          <w:color w:val="000000" w:themeColor="text1"/>
          <w:sz w:val="32"/>
          <w:szCs w:val="32"/>
          <w:lang w:val="en-US" w:eastAsia="zh-CN"/>
          <w14:textFill>
            <w14:solidFill>
              <w14:schemeClr w14:val="tx1"/>
            </w14:solidFill>
          </w14:textFill>
        </w:rPr>
        <w:t>四是</w:t>
      </w:r>
      <w:r>
        <w:rPr>
          <w:rFonts w:hint="eastAsia" w:ascii="仿宋" w:hAnsi="仿宋" w:eastAsia="仿宋" w:cs="仿宋"/>
          <w:b w:val="0"/>
          <w:bCs w:val="0"/>
          <w:color w:val="000000" w:themeColor="text1"/>
          <w:sz w:val="32"/>
          <w:szCs w:val="32"/>
          <w:lang w:eastAsia="zh-CN"/>
          <w14:textFill>
            <w14:solidFill>
              <w14:schemeClr w14:val="tx1"/>
            </w14:solidFill>
          </w14:textFill>
        </w:rPr>
        <w:t>强化协同监督，严肃追责问责。与市行政审批局、市财政局、市</w:t>
      </w:r>
      <w:r>
        <w:rPr>
          <w:rFonts w:hint="eastAsia" w:ascii="仿宋" w:hAnsi="仿宋" w:eastAsia="仿宋" w:cs="仿宋"/>
          <w:color w:val="000000" w:themeColor="text1"/>
          <w:sz w:val="32"/>
          <w:szCs w:val="32"/>
          <w:lang w:eastAsia="zh-CN"/>
          <w14:textFill>
            <w14:solidFill>
              <w14:schemeClr w14:val="tx1"/>
            </w14:solidFill>
          </w14:textFill>
        </w:rPr>
        <w:t>审计局、市委巡察机构、市应急管理局建立协同联动机制，在企业登记管控、财政数据质量提升、审计信息反馈、巡察监督、安全生产等方面持续加大监管力度。</w:t>
      </w:r>
      <w:r>
        <w:rPr>
          <w:rFonts w:hint="eastAsia" w:ascii="仿宋" w:hAnsi="仿宋" w:eastAsia="仿宋" w:cs="仿宋"/>
          <w:b/>
          <w:bCs/>
          <w:color w:val="000000" w:themeColor="text1"/>
          <w:sz w:val="32"/>
          <w:szCs w:val="32"/>
          <w:lang w:val="en-US" w:eastAsia="zh-CN"/>
          <w14:textFill>
            <w14:solidFill>
              <w14:schemeClr w14:val="tx1"/>
            </w14:solidFill>
          </w14:textFill>
        </w:rPr>
        <w:t>五是</w:t>
      </w:r>
      <w:bookmarkStart w:id="3" w:name="OLE_LINK5"/>
      <w:r>
        <w:rPr>
          <w:rFonts w:hint="eastAsia" w:ascii="仿宋" w:hAnsi="仿宋" w:eastAsia="仿宋" w:cs="仿宋"/>
          <w:b w:val="0"/>
          <w:bCs w:val="0"/>
          <w:color w:val="000000" w:themeColor="text1"/>
          <w:sz w:val="32"/>
          <w:szCs w:val="32"/>
          <w:lang w:val="en-US" w:eastAsia="zh-CN"/>
          <w14:textFill>
            <w14:solidFill>
              <w14:schemeClr w14:val="tx1"/>
            </w14:solidFill>
          </w14:textFill>
        </w:rPr>
        <w:t>强化风险管控。加</w:t>
      </w:r>
      <w:r>
        <w:rPr>
          <w:rFonts w:hint="eastAsia" w:ascii="仿宋" w:hAnsi="仿宋" w:eastAsia="仿宋" w:cs="仿宋"/>
          <w:color w:val="000000" w:themeColor="text1"/>
          <w:sz w:val="32"/>
          <w:szCs w:val="32"/>
          <w:lang w:val="en-US" w:eastAsia="zh-CN"/>
          <w14:textFill>
            <w14:solidFill>
              <w14:schemeClr w14:val="tx1"/>
            </w14:solidFill>
          </w14:textFill>
        </w:rPr>
        <w:t>强经济运行分析，扎实做好市属国有企业财务动态监测。严格落实“631”偿债机制，加强融资平台风险防范化解工作，建立常态化统计监测机制，每季度摸排融资平台债务情况，制定融资平台经营性债务逐年压降计划，做好市属企业与各县（市、区）融资平台风险隔离，促进经济平稳健康发展。</w:t>
      </w:r>
    </w:p>
    <w:bookmarkEnd w:id="3"/>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spacing w:before="0" w:beforeLines="0" w:afterLines="0" w:line="560" w:lineRule="exact"/>
        <w:ind w:left="0" w:leftChars="0" w:right="0" w:rightChars="0" w:firstLine="640" w:firstLineChars="200"/>
        <w:jc w:val="both"/>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4.产业结构不断优化。</w:t>
      </w:r>
      <w:r>
        <w:rPr>
          <w:rFonts w:hint="eastAsia" w:ascii="仿宋" w:hAnsi="仿宋" w:eastAsia="仿宋" w:cs="仿宋"/>
          <w:b/>
          <w:bCs/>
          <w:color w:val="000000" w:themeColor="text1"/>
          <w:sz w:val="32"/>
          <w:szCs w:val="32"/>
          <w:lang w:val="en-US" w:eastAsia="zh-CN"/>
          <w14:textFill>
            <w14:solidFill>
              <w14:schemeClr w14:val="tx1"/>
            </w14:solidFill>
          </w14:textFill>
        </w:rPr>
        <w:t>一是</w:t>
      </w:r>
      <w:r>
        <w:rPr>
          <w:rFonts w:hint="eastAsia" w:ascii="仿宋" w:hAnsi="仿宋" w:eastAsia="仿宋" w:cs="仿宋"/>
          <w:b w:val="0"/>
          <w:bCs w:val="0"/>
          <w:color w:val="000000" w:themeColor="text1"/>
          <w:sz w:val="32"/>
          <w:szCs w:val="32"/>
          <w:lang w:val="en-US" w:eastAsia="zh-CN"/>
          <w14:textFill>
            <w14:solidFill>
              <w14:schemeClr w14:val="tx1"/>
            </w14:solidFill>
          </w14:textFill>
        </w:rPr>
        <w:t>聚焦主责主业，根据市属国有企业功能定位和发展战略规划，科学有序核定企业主营业务，完成盈信保安公司、水发集团、邢襄产投、环卫公司、运营公司以及建投集团、中弘公司等7家企业主业审核。</w:t>
      </w:r>
      <w:r>
        <w:rPr>
          <w:rFonts w:hint="eastAsia" w:ascii="仿宋" w:hAnsi="仿宋" w:eastAsia="仿宋" w:cs="仿宋"/>
          <w:b/>
          <w:bCs/>
          <w:color w:val="000000" w:themeColor="text1"/>
          <w:sz w:val="32"/>
          <w:szCs w:val="32"/>
          <w:lang w:val="en-US" w:eastAsia="zh-CN"/>
          <w14:textFill>
            <w14:solidFill>
              <w14:schemeClr w14:val="tx1"/>
            </w14:solidFill>
          </w14:textFill>
        </w:rPr>
        <w:t>二是</w:t>
      </w:r>
      <w:r>
        <w:rPr>
          <w:rFonts w:hint="eastAsia" w:ascii="仿宋" w:hAnsi="仿宋" w:eastAsia="仿宋" w:cs="仿宋"/>
          <w:b w:val="0"/>
          <w:bCs w:val="0"/>
          <w:color w:val="000000" w:themeColor="text1"/>
          <w:sz w:val="32"/>
          <w:szCs w:val="32"/>
          <w:lang w:val="en-US" w:eastAsia="zh-CN"/>
          <w14:textFill>
            <w14:solidFill>
              <w14:schemeClr w14:val="tx1"/>
            </w14:solidFill>
          </w14:textFill>
        </w:rPr>
        <w:t>加强项目把控。通过备案管理年度投资计划、建立健全《监管企业在建</w:t>
      </w:r>
      <w:r>
        <w:rPr>
          <w:rFonts w:hint="eastAsia" w:ascii="仿宋" w:hAnsi="仿宋" w:eastAsia="仿宋" w:cs="仿宋"/>
          <w:color w:val="000000" w:themeColor="text1"/>
          <w:sz w:val="32"/>
          <w:szCs w:val="32"/>
          <w:lang w:val="en-US" w:eastAsia="zh-CN"/>
          <w14:textFill>
            <w14:solidFill>
              <w14:schemeClr w14:val="tx1"/>
            </w14:solidFill>
          </w14:textFill>
        </w:rPr>
        <w:t>项目清单》、开展实施项目后评价等方式，从投资方向、投资规模、投资结构和投资能力等方面，持续规范企业投资事前、事中、事后行为，严控非主业投资，确保投资工作稳步推进。2024年对市属国有企业12个不符合企业发展规划、风险较大的项目进行了调整，开展后评价项目7个。</w:t>
      </w:r>
      <w:r>
        <w:rPr>
          <w:rFonts w:hint="eastAsia" w:ascii="仿宋" w:hAnsi="仿宋" w:eastAsia="仿宋" w:cs="仿宋"/>
          <w:b/>
          <w:bCs/>
          <w:color w:val="000000" w:themeColor="text1"/>
          <w:sz w:val="32"/>
          <w:szCs w:val="32"/>
          <w:lang w:val="en-US" w:eastAsia="zh-CN"/>
          <w14:textFill>
            <w14:solidFill>
              <w14:schemeClr w14:val="tx1"/>
            </w14:solidFill>
          </w14:textFill>
        </w:rPr>
        <w:t>三是</w:t>
      </w:r>
      <w:r>
        <w:rPr>
          <w:rFonts w:hint="eastAsia" w:ascii="仿宋" w:hAnsi="仿宋" w:eastAsia="仿宋" w:cs="仿宋"/>
          <w:b w:val="0"/>
          <w:bCs w:val="0"/>
          <w:color w:val="000000" w:themeColor="text1"/>
          <w:sz w:val="32"/>
          <w:szCs w:val="32"/>
          <w:lang w:val="en-US" w:eastAsia="zh-CN"/>
          <w14:textFill>
            <w14:solidFill>
              <w14:schemeClr w14:val="tx1"/>
            </w14:solidFill>
          </w14:textFill>
        </w:rPr>
        <w:t>强化产业引领，全面发挥市属国企先锋队和压舱石作用，聚焦做大做强做热中心城区，承接实施了高铁辐射区基础设施建设、邢州古城保护开发、百泉鸳水风景区、青山水库、野沟门水库等市重点项目建设任务，</w:t>
      </w:r>
      <w:r>
        <w:rPr>
          <w:rFonts w:hint="eastAsia" w:ascii="仿宋" w:hAnsi="仿宋" w:eastAsia="仿宋" w:cs="仿宋"/>
          <w:color w:val="000000" w:themeColor="text1"/>
          <w:sz w:val="32"/>
          <w:szCs w:val="32"/>
          <w:lang w:val="en-US" w:eastAsia="zh-CN"/>
          <w14:textFill>
            <w14:solidFill>
              <w14:schemeClr w14:val="tx1"/>
            </w14:solidFill>
          </w14:textFill>
        </w:rPr>
        <w:t>累计完成各项投资69.29亿元，持续为中心城区发展注入新动力、增添新动能。</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spacing w:before="0" w:beforeLines="0" w:afterLines="0" w:line="560" w:lineRule="exact"/>
        <w:ind w:left="0" w:leftChars="0" w:right="0" w:rightChars="0"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bookmarkStart w:id="4" w:name="OLE_LINK4"/>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5.党建引领持续加强。</w:t>
      </w:r>
      <w:r>
        <w:rPr>
          <w:rFonts w:hint="eastAsia" w:ascii="仿宋" w:hAnsi="仿宋" w:eastAsia="仿宋" w:cs="仿宋"/>
          <w:b/>
          <w:bCs/>
          <w:color w:val="000000" w:themeColor="text1"/>
          <w:sz w:val="32"/>
          <w:szCs w:val="32"/>
          <w:lang w:val="en-US" w:eastAsia="zh-CN"/>
          <w14:textFill>
            <w14:solidFill>
              <w14:schemeClr w14:val="tx1"/>
            </w14:solidFill>
          </w14:textFill>
        </w:rPr>
        <w:t>一</w:t>
      </w: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是</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全面抓实国企基层党建。严密基层组织体系，2024年共新成立基层党</w:t>
      </w:r>
      <w:r>
        <w:rPr>
          <w:rFonts w:hint="eastAsia" w:ascii="仿宋" w:hAnsi="仿宋" w:eastAsia="仿宋" w:cs="仿宋"/>
          <w:color w:val="000000" w:themeColor="text1"/>
          <w:sz w:val="32"/>
          <w:szCs w:val="32"/>
          <w:highlight w:val="none"/>
          <w:lang w:val="en-US" w:eastAsia="zh-CN"/>
          <w14:textFill>
            <w14:solidFill>
              <w14:schemeClr w14:val="tx1"/>
            </w14:solidFill>
          </w14:textFill>
        </w:rPr>
        <w:t>组织16个，撤销8个，调整隶属关系9个，基层党组织设置更加优化。深入推动国有企业党组织设置与企业组织架构运行有机统一，实现党建入章、法人企业党组织建立、党组织书记与董事长“一肩挑”3个100%。</w:t>
      </w:r>
      <w:r>
        <w:rPr>
          <w:rFonts w:hint="eastAsia" w:ascii="仿宋" w:hAnsi="仿宋" w:eastAsia="仿宋" w:cs="仿宋"/>
          <w:color w:val="000000" w:themeColor="text1"/>
          <w:kern w:val="2"/>
          <w:sz w:val="32"/>
          <w:szCs w:val="32"/>
          <w:lang w:val="en-US" w:eastAsia="zh-CN" w:bidi="ar-SA"/>
          <w14:textFill>
            <w14:solidFill>
              <w14:schemeClr w14:val="tx1"/>
            </w14:solidFill>
          </w14:textFill>
        </w:rPr>
        <w:t>举办基层党组织书记培训班、党务工作者业务培训班、</w:t>
      </w:r>
      <w:r>
        <w:rPr>
          <w:rFonts w:hint="eastAsia" w:ascii="仿宋" w:hAnsi="仿宋" w:eastAsia="仿宋" w:cs="仿宋"/>
          <w:color w:val="000000" w:themeColor="text1"/>
          <w:sz w:val="32"/>
          <w:szCs w:val="32"/>
          <w14:textFill>
            <w14:solidFill>
              <w14:schemeClr w14:val="tx1"/>
            </w14:solidFill>
          </w14:textFill>
        </w:rPr>
        <w:t>党员发展对象培训班等</w:t>
      </w:r>
      <w:r>
        <w:rPr>
          <w:rFonts w:hint="eastAsia" w:ascii="仿宋" w:hAnsi="仿宋" w:eastAsia="仿宋" w:cs="仿宋"/>
          <w:color w:val="000000" w:themeColor="text1"/>
          <w:sz w:val="32"/>
          <w:szCs w:val="32"/>
          <w:lang w:val="en-US" w:eastAsia="zh-CN"/>
          <w14:textFill>
            <w14:solidFill>
              <w14:schemeClr w14:val="tx1"/>
            </w14:solidFill>
          </w14:textFill>
        </w:rPr>
        <w:t>13期</w:t>
      </w:r>
      <w:r>
        <w:rPr>
          <w:rFonts w:hint="eastAsia" w:ascii="仿宋" w:hAnsi="仿宋" w:eastAsia="仿宋" w:cs="仿宋"/>
          <w:color w:val="000000" w:themeColor="text1"/>
          <w:kern w:val="2"/>
          <w:sz w:val="32"/>
          <w:szCs w:val="32"/>
          <w:lang w:val="en-US" w:eastAsia="zh-CN" w:bidi="ar-SA"/>
          <w14:textFill>
            <w14:solidFill>
              <w14:schemeClr w14:val="tx1"/>
            </w14:solidFill>
          </w14:textFill>
        </w:rPr>
        <w:t>，受</w:t>
      </w:r>
      <w:r>
        <w:rPr>
          <w:rFonts w:hint="eastAsia" w:ascii="仿宋" w:hAnsi="仿宋" w:eastAsia="仿宋" w:cs="仿宋"/>
          <w:color w:val="000000" w:themeColor="text1"/>
          <w:sz w:val="32"/>
          <w:szCs w:val="32"/>
          <w:lang w:val="en-US" w:eastAsia="zh-CN"/>
          <w14:textFill>
            <w14:solidFill>
              <w14:schemeClr w14:val="tx1"/>
            </w14:solidFill>
          </w14:textFill>
        </w:rPr>
        <w:t>训人员2000余人。</w:t>
      </w:r>
      <w:r>
        <w:rPr>
          <w:rFonts w:hint="eastAsia" w:ascii="仿宋" w:hAnsi="仿宋" w:eastAsia="仿宋" w:cs="仿宋"/>
          <w:b/>
          <w:bCs/>
          <w:color w:val="000000" w:themeColor="text1"/>
          <w:sz w:val="32"/>
          <w:szCs w:val="32"/>
          <w:lang w:val="en-US" w:eastAsia="zh-CN"/>
          <w14:textFill>
            <w14:solidFill>
              <w14:schemeClr w14:val="tx1"/>
            </w14:solidFill>
          </w14:textFill>
        </w:rPr>
        <w:t>二是</w:t>
      </w:r>
      <w:r>
        <w:rPr>
          <w:rFonts w:hint="eastAsia" w:ascii="仿宋" w:hAnsi="仿宋" w:eastAsia="仿宋" w:cs="仿宋"/>
          <w:b w:val="0"/>
          <w:bCs w:val="0"/>
          <w:color w:val="000000" w:themeColor="text1"/>
          <w:sz w:val="32"/>
          <w:szCs w:val="32"/>
          <w:lang w:val="en-US" w:eastAsia="zh-CN"/>
          <w14:textFill>
            <w14:solidFill>
              <w14:schemeClr w14:val="tx1"/>
            </w14:solidFill>
          </w14:textFill>
        </w:rPr>
        <w:t>纵深推进清廉国企建设。召开全市国有企业党风廉政建设和反腐败</w:t>
      </w:r>
      <w:r>
        <w:rPr>
          <w:rFonts w:hint="eastAsia" w:ascii="仿宋" w:hAnsi="仿宋" w:eastAsia="仿宋" w:cs="仿宋"/>
          <w:color w:val="000000" w:themeColor="text1"/>
          <w:sz w:val="32"/>
          <w:szCs w:val="32"/>
          <w:lang w:val="en-US" w:eastAsia="zh-CN"/>
          <w14:textFill>
            <w14:solidFill>
              <w14:schemeClr w14:val="tx1"/>
            </w14:solidFill>
          </w14:textFill>
        </w:rPr>
        <w:t>工作会议暨警示教育大会，签订党风廉政建设责任书。制定7方面20条具体举措创建清廉国企，加强巡视巡察、审计反馈问题整改，规范国有企业领导人员廉洁从业行为，推进清廉教育不断向基层延伸。</w:t>
      </w:r>
      <w:r>
        <w:rPr>
          <w:rFonts w:hint="eastAsia" w:ascii="仿宋" w:hAnsi="仿宋" w:eastAsia="仿宋" w:cs="仿宋"/>
          <w:b/>
          <w:bCs/>
          <w:color w:val="000000" w:themeColor="text1"/>
          <w:sz w:val="32"/>
          <w:szCs w:val="32"/>
          <w:lang w:val="en-US" w:eastAsia="zh-CN"/>
          <w14:textFill>
            <w14:solidFill>
              <w14:schemeClr w14:val="tx1"/>
            </w14:solidFill>
          </w14:textFill>
        </w:rPr>
        <w:t>三是</w:t>
      </w:r>
      <w:r>
        <w:rPr>
          <w:rFonts w:hint="eastAsia" w:ascii="仿宋" w:hAnsi="仿宋" w:eastAsia="仿宋" w:cs="仿宋"/>
          <w:b w:val="0"/>
          <w:bCs w:val="0"/>
          <w:color w:val="000000" w:themeColor="text1"/>
          <w:sz w:val="32"/>
          <w:szCs w:val="32"/>
          <w:lang w:val="en-US" w:eastAsia="zh-CN"/>
          <w14:textFill>
            <w14:solidFill>
              <w14:schemeClr w14:val="tx1"/>
            </w14:solidFill>
          </w14:textFill>
        </w:rPr>
        <w:t>创新培育党建品牌。打造“邢小暖”党建品牌，全力实施“志愿暖城”“行业暖城”“公益暖城”“服务暖城”四大行动，14家民生企业结合主责主业</w:t>
      </w:r>
      <w:r>
        <w:rPr>
          <w:rFonts w:hint="eastAsia" w:ascii="仿宋" w:hAnsi="仿宋" w:eastAsia="仿宋" w:cs="仿宋"/>
          <w:color w:val="000000" w:themeColor="text1"/>
          <w:sz w:val="32"/>
          <w:szCs w:val="32"/>
          <w:lang w:val="en-US" w:eastAsia="zh-CN"/>
          <w14:textFill>
            <w14:solidFill>
              <w14:schemeClr w14:val="tx1"/>
            </w14:solidFill>
          </w14:textFill>
        </w:rPr>
        <w:t>，将“邢小暖”党建品牌创建与为民办实事结合，与党员志愿服务、爱心公益、扶危济困等工作统筹联动，积极推动服务保障便捷化、精准化，</w:t>
      </w:r>
      <w:r>
        <w:rPr>
          <w:rFonts w:hint="eastAsia" w:ascii="仿宋" w:hAnsi="仿宋" w:eastAsia="仿宋" w:cs="仿宋"/>
          <w:b w:val="0"/>
          <w:bCs w:val="0"/>
          <w:color w:val="000000" w:themeColor="text1"/>
          <w:sz w:val="32"/>
          <w:szCs w:val="32"/>
          <w:lang w:val="en-US" w:eastAsia="zh-CN"/>
          <w14:textFill>
            <w14:solidFill>
              <w14:schemeClr w14:val="tx1"/>
            </w14:solidFill>
          </w14:textFill>
        </w:rPr>
        <w:t>得到国务院国资委、省国资委、市委组织部、市委宣传部、市四型机关建设活动办等部门的高度肯定。</w:t>
      </w:r>
      <w:r>
        <w:rPr>
          <w:rFonts w:hint="eastAsia" w:ascii="仿宋" w:hAnsi="仿宋" w:eastAsia="仿宋" w:cs="仿宋"/>
          <w:b/>
          <w:bCs/>
          <w:color w:val="000000" w:themeColor="text1"/>
          <w:sz w:val="32"/>
          <w:szCs w:val="32"/>
          <w:lang w:val="en-US" w:eastAsia="zh-CN"/>
          <w14:textFill>
            <w14:solidFill>
              <w14:schemeClr w14:val="tx1"/>
            </w14:solidFill>
          </w14:textFill>
        </w:rPr>
        <w:t>四是</w:t>
      </w:r>
      <w:r>
        <w:rPr>
          <w:rFonts w:hint="eastAsia" w:ascii="仿宋" w:hAnsi="仿宋" w:eastAsia="仿宋" w:cs="仿宋"/>
          <w:b w:val="0"/>
          <w:bCs w:val="0"/>
          <w:color w:val="000000" w:themeColor="text1"/>
          <w:sz w:val="32"/>
          <w:szCs w:val="32"/>
          <w:lang w:val="en-US" w:eastAsia="zh-CN"/>
          <w14:textFill>
            <w14:solidFill>
              <w14:schemeClr w14:val="tx1"/>
            </w14:solidFill>
          </w14:textFill>
        </w:rPr>
        <w:t>协同联动党建共建。开展“党建聚合力，共建促发展”党建共建活动，整合市国</w:t>
      </w:r>
      <w:r>
        <w:rPr>
          <w:rFonts w:hint="eastAsia" w:ascii="仿宋" w:hAnsi="仿宋" w:eastAsia="仿宋" w:cs="仿宋"/>
          <w:color w:val="000000" w:themeColor="text1"/>
          <w:sz w:val="32"/>
          <w:szCs w:val="32"/>
          <w:lang w:val="en-US" w:eastAsia="zh-CN"/>
          <w14:textFill>
            <w14:solidFill>
              <w14:schemeClr w14:val="tx1"/>
            </w14:solidFill>
          </w14:textFill>
        </w:rPr>
        <w:t>资委机关、驻邢国企、市属国企、县（市、区）国资监管部门、县（市、区）国企五方资源，结合党纪学习教育、党的二十届三中全会精神学习宣讲、庆祝新中国成立75周年，开展现场观摩、红色研学、音乐思政课、诗歌朗诵会等特色活动20余场，“资源共享、优势互补、互学共进、同频共振”的大党建工作格局初步形成。</w:t>
      </w:r>
      <w:bookmarkEnd w:id="4"/>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rPr>
          <w:rFonts w:hint="eastAsia" w:ascii="楷体_GB2312" w:hAnsi="楷体_GB2312" w:eastAsia="楷体_GB2312" w:cs="楷体_GB2312"/>
          <w:b/>
          <w:bCs/>
          <w:color w:val="000000" w:themeColor="text1"/>
          <w:sz w:val="32"/>
          <w:szCs w:val="32"/>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eastAsia="zh-CN"/>
          <w14:textFill>
            <w14:solidFill>
              <w14:schemeClr w14:val="tx1"/>
            </w14:solidFill>
          </w14:textFill>
        </w:rPr>
        <w:t>（三）存在问题</w:t>
      </w:r>
    </w:p>
    <w:p>
      <w:pPr>
        <w:pStyle w:val="2"/>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spacing w:before="0" w:beforeLines="0" w:after="0" w:afterLines="0" w:line="560" w:lineRule="exact"/>
        <w:ind w:left="0" w:leftChars="0" w:right="0" w:rightChars="0"/>
        <w:jc w:val="both"/>
        <w:textAlignment w:val="auto"/>
        <w:outlineLvl w:val="9"/>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1.企业负债规模持续扩大。截至2024年底，市属国有企业负债总额</w:t>
      </w:r>
      <w:r>
        <w:rPr>
          <w:rFonts w:hint="eastAsia" w:ascii="仿宋" w:hAnsi="仿宋" w:eastAsia="仿宋" w:cs="仿宋"/>
          <w:color w:val="000000" w:themeColor="text1"/>
          <w:sz w:val="32"/>
          <w:szCs w:val="32"/>
          <w14:textFill>
            <w14:solidFill>
              <w14:schemeClr w14:val="tx1"/>
            </w14:solidFill>
          </w14:textFill>
        </w:rPr>
        <w:t>710.54亿元</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lang w:val="en-US" w:eastAsia="zh-CN"/>
          <w14:textFill>
            <w14:solidFill>
              <w14:schemeClr w14:val="tx1"/>
            </w14:solidFill>
          </w14:textFill>
        </w:rPr>
        <w:t>同比增长14.82%，带息负债691.46亿元，同比增长15.31%，</w:t>
      </w:r>
      <w:r>
        <w:rPr>
          <w:rFonts w:hint="eastAsia" w:ascii="仿宋" w:hAnsi="仿宋" w:eastAsia="仿宋" w:cs="仿宋"/>
          <w:b w:val="0"/>
          <w:bCs w:val="0"/>
          <w:color w:val="000000" w:themeColor="text1"/>
          <w:kern w:val="2"/>
          <w:sz w:val="32"/>
          <w:szCs w:val="32"/>
          <w:highlight w:val="none"/>
          <w:shd w:val="clear" w:color="auto" w:fill="auto"/>
          <w:lang w:val="en-US" w:eastAsia="zh-CN" w:bidi="ar-SA"/>
          <w14:textFill>
            <w14:solidFill>
              <w14:schemeClr w14:val="tx1"/>
            </w14:solidFill>
          </w14:textFill>
        </w:rPr>
        <w:t>负债规模的持续扩大增加企业财务成本负担，挤压企业利润空间，影响企业信用评级和融资偿债能力。</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2.企业经济效益有待提高。</w:t>
      </w:r>
      <w:r>
        <w:rPr>
          <w:rFonts w:hint="eastAsia" w:ascii="仿宋" w:hAnsi="仿宋" w:eastAsia="仿宋" w:cs="仿宋"/>
          <w:b/>
          <w:bCs/>
          <w:color w:val="000000" w:themeColor="text1"/>
          <w:kern w:val="2"/>
          <w:sz w:val="32"/>
          <w:szCs w:val="24"/>
          <w:highlight w:val="none"/>
          <w:lang w:val="en-US" w:eastAsia="zh-CN" w:bidi="ar-SA"/>
          <w14:textFill>
            <w14:solidFill>
              <w14:schemeClr w14:val="tx1"/>
            </w14:solidFill>
          </w14:textFill>
        </w:rPr>
        <w:t>一</w:t>
      </w:r>
      <w:r>
        <w:rPr>
          <w:rFonts w:hint="eastAsia" w:ascii="仿宋" w:hAnsi="仿宋" w:eastAsia="仿宋" w:cs="仿宋"/>
          <w:b/>
          <w:bCs/>
          <w:color w:val="000000" w:themeColor="text1"/>
          <w:sz w:val="32"/>
          <w:szCs w:val="32"/>
          <w:lang w:val="en-US" w:eastAsia="zh-CN"/>
          <w14:textFill>
            <w14:solidFill>
              <w14:schemeClr w14:val="tx1"/>
            </w14:solidFill>
          </w14:textFill>
        </w:rPr>
        <w:t>是</w:t>
      </w:r>
      <w:r>
        <w:rPr>
          <w:rFonts w:hint="eastAsia" w:ascii="仿宋" w:hAnsi="仿宋" w:eastAsia="仿宋" w:cs="仿宋"/>
          <w:b w:val="0"/>
          <w:bCs w:val="0"/>
          <w:color w:val="000000" w:themeColor="text1"/>
          <w:sz w:val="32"/>
          <w:szCs w:val="32"/>
          <w:lang w:val="en-US" w:eastAsia="zh-CN"/>
          <w14:textFill>
            <w14:solidFill>
              <w14:schemeClr w14:val="tx1"/>
            </w14:solidFill>
          </w14:textFill>
        </w:rPr>
        <w:t>部分市属国有企业存在亏损现象，2024年决算审计结果显示，8家市属国有企业中有119户子企业存在亏损，</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亏损额总计3.83亿元，存在</w:t>
      </w:r>
      <w:r>
        <w:rPr>
          <w:rFonts w:hint="eastAsia" w:ascii="仿宋" w:hAnsi="仿宋" w:eastAsia="仿宋" w:cs="仿宋"/>
          <w:b w:val="0"/>
          <w:bCs w:val="0"/>
          <w:color w:val="000000" w:themeColor="text1"/>
          <w:sz w:val="32"/>
          <w:szCs w:val="32"/>
          <w:lang w:val="en-US" w:eastAsia="zh-CN"/>
          <w14:textFill>
            <w14:solidFill>
              <w14:schemeClr w14:val="tx1"/>
            </w14:solidFill>
          </w14:textFill>
        </w:rPr>
        <w:t>子企业亏损户数较多亏损额度较大现象。</w:t>
      </w:r>
      <w:r>
        <w:rPr>
          <w:rFonts w:hint="eastAsia" w:ascii="仿宋" w:hAnsi="仿宋" w:eastAsia="仿宋" w:cs="仿宋"/>
          <w:b/>
          <w:bCs/>
          <w:color w:val="000000" w:themeColor="text1"/>
          <w:sz w:val="32"/>
          <w:szCs w:val="32"/>
          <w:lang w:val="en-US" w:eastAsia="zh-CN"/>
          <w14:textFill>
            <w14:solidFill>
              <w14:schemeClr w14:val="tx1"/>
            </w14:solidFill>
          </w14:textFill>
        </w:rPr>
        <w:t>二是</w:t>
      </w:r>
      <w:r>
        <w:rPr>
          <w:rFonts w:hint="eastAsia" w:ascii="仿宋" w:hAnsi="仿宋" w:eastAsia="仿宋" w:cs="仿宋"/>
          <w:b w:val="0"/>
          <w:bCs w:val="0"/>
          <w:color w:val="000000" w:themeColor="text1"/>
          <w:sz w:val="32"/>
          <w:szCs w:val="32"/>
          <w:lang w:val="en-US" w:eastAsia="zh-CN"/>
          <w14:textFill>
            <w14:solidFill>
              <w14:schemeClr w14:val="tx1"/>
            </w14:solidFill>
          </w14:textFill>
        </w:rPr>
        <w:t>企业应收债权较多，部分市属国有企业存在应收债权数额大、账期长、历史问题多、涉法涉诉问题多等问题，严重影响企业资金的使用效率和持续健康稳定发展。</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rPr>
          <w:rFonts w:hint="eastAsia" w:ascii="楷体_GB2312" w:hAnsi="楷体_GB2312" w:eastAsia="楷体_GB2312" w:cs="楷体_GB2312"/>
          <w:b/>
          <w:bCs/>
          <w:color w:val="000000" w:themeColor="text1"/>
          <w:sz w:val="32"/>
          <w:szCs w:val="32"/>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eastAsia="zh-CN"/>
          <w14:textFill>
            <w14:solidFill>
              <w14:schemeClr w14:val="tx1"/>
            </w14:solidFill>
          </w14:textFill>
        </w:rPr>
        <w:t>（四）下一步工作措施</w:t>
      </w: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1.增资产、保融资、防风险，做强做优做大国有企业。</w:t>
      </w:r>
      <w:r>
        <w:rPr>
          <w:rFonts w:hint="eastAsia" w:ascii="仿宋" w:hAnsi="仿宋" w:eastAsia="仿宋" w:cs="仿宋"/>
          <w:b/>
          <w:bCs/>
          <w:color w:val="000000" w:themeColor="text1"/>
          <w:sz w:val="32"/>
          <w:szCs w:val="32"/>
          <w:lang w:val="en-US" w:eastAsia="zh-CN"/>
          <w14:textFill>
            <w14:solidFill>
              <w14:schemeClr w14:val="tx1"/>
            </w14:solidFill>
          </w14:textFill>
        </w:rPr>
        <w:t>一是</w:t>
      </w:r>
      <w:r>
        <w:rPr>
          <w:rFonts w:hint="eastAsia" w:ascii="仿宋" w:hAnsi="仿宋" w:eastAsia="仿宋" w:cs="仿宋"/>
          <w:color w:val="000000" w:themeColor="text1"/>
          <w:sz w:val="32"/>
          <w:szCs w:val="32"/>
          <w:lang w:val="en-US" w:eastAsia="zh-CN"/>
          <w14:textFill>
            <w14:solidFill>
              <w14:schemeClr w14:val="tx1"/>
            </w14:solidFill>
          </w14:textFill>
        </w:rPr>
        <w:t>加强企业资产注入力度。加强对国有资产的盘活利用，积极为市属国有企业注入经营性资产，壮大企业资产规模，降低企业资产负债率，提升企业可持续发展能力。</w:t>
      </w:r>
      <w:r>
        <w:rPr>
          <w:rFonts w:hint="eastAsia" w:ascii="仿宋" w:hAnsi="仿宋" w:eastAsia="仿宋" w:cs="仿宋"/>
          <w:b/>
          <w:bCs/>
          <w:color w:val="000000" w:themeColor="text1"/>
          <w:sz w:val="32"/>
          <w:szCs w:val="32"/>
          <w:lang w:val="en-US" w:eastAsia="zh-CN"/>
          <w14:textFill>
            <w14:solidFill>
              <w14:schemeClr w14:val="tx1"/>
            </w14:solidFill>
          </w14:textFill>
        </w:rPr>
        <w:t>二是</w:t>
      </w:r>
      <w:r>
        <w:rPr>
          <w:rFonts w:hint="eastAsia" w:ascii="仿宋" w:hAnsi="仿宋" w:eastAsia="仿宋" w:cs="仿宋"/>
          <w:color w:val="000000" w:themeColor="text1"/>
          <w:sz w:val="32"/>
          <w:szCs w:val="32"/>
          <w:lang w:val="en-US" w:eastAsia="zh-CN"/>
          <w14:textFill>
            <w14:solidFill>
              <w14:schemeClr w14:val="tx1"/>
            </w14:solidFill>
          </w14:textFill>
        </w:rPr>
        <w:t>规范企业举债融资行为。指导企业合理控制债务规模和增速，强化融资成本管控，通过优化融资结构，用低息债务置换高息融资等方式，切实降低综合融资成本，提升企业经营效率。</w:t>
      </w:r>
      <w:r>
        <w:rPr>
          <w:rFonts w:hint="eastAsia" w:ascii="仿宋" w:hAnsi="仿宋" w:eastAsia="仿宋" w:cs="仿宋"/>
          <w:b/>
          <w:bCs/>
          <w:color w:val="000000" w:themeColor="text1"/>
          <w:sz w:val="32"/>
          <w:szCs w:val="32"/>
          <w:lang w:val="en-US" w:eastAsia="zh-CN"/>
          <w14:textFill>
            <w14:solidFill>
              <w14:schemeClr w14:val="tx1"/>
            </w14:solidFill>
          </w14:textFill>
        </w:rPr>
        <w:t>三是</w:t>
      </w:r>
      <w:r>
        <w:rPr>
          <w:rFonts w:hint="eastAsia" w:ascii="仿宋" w:hAnsi="仿宋" w:eastAsia="仿宋" w:cs="仿宋"/>
          <w:color w:val="000000" w:themeColor="text1"/>
          <w:sz w:val="32"/>
          <w:szCs w:val="32"/>
          <w:lang w:val="en-US" w:eastAsia="zh-CN"/>
          <w14:textFill>
            <w14:solidFill>
              <w14:schemeClr w14:val="tx1"/>
            </w14:solidFill>
          </w14:textFill>
        </w:rPr>
        <w:t>防范企业债务风险。指导企业强化现金流管理，做好债务期限匹配和兑付资金安排，防范企业发生债务违约风险。</w:t>
      </w: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2.强化国有资产监督管理效能提升，提高企业经济效益。</w:t>
      </w:r>
      <w:r>
        <w:rPr>
          <w:rFonts w:hint="eastAsia" w:ascii="仿宋" w:hAnsi="仿宋" w:eastAsia="仿宋" w:cs="仿宋"/>
          <w:b/>
          <w:bCs/>
          <w:color w:val="000000" w:themeColor="text1"/>
          <w:sz w:val="32"/>
          <w:szCs w:val="32"/>
          <w:lang w:val="en-US" w:eastAsia="zh-CN"/>
          <w14:textFill>
            <w14:solidFill>
              <w14:schemeClr w14:val="tx1"/>
            </w14:solidFill>
          </w14:textFill>
        </w:rPr>
        <w:t>一是</w:t>
      </w:r>
      <w:r>
        <w:rPr>
          <w:rFonts w:hint="eastAsia" w:ascii="仿宋" w:hAnsi="仿宋" w:eastAsia="仿宋" w:cs="仿宋"/>
          <w:color w:val="000000" w:themeColor="text1"/>
          <w:sz w:val="32"/>
          <w:szCs w:val="32"/>
          <w:lang w:val="en-US" w:eastAsia="zh-CN"/>
          <w14:textFill>
            <w14:solidFill>
              <w14:schemeClr w14:val="tx1"/>
            </w14:solidFill>
          </w14:textFill>
        </w:rPr>
        <w:t>持续强化亏损子企业治理。督促指导企业</w:t>
      </w: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按照新设企</w:t>
      </w:r>
      <w:r>
        <w:rPr>
          <w:rFonts w:hint="eastAsia" w:ascii="仿宋" w:hAnsi="仿宋" w:eastAsia="仿宋" w:cs="仿宋"/>
          <w:color w:val="000000" w:themeColor="text1"/>
          <w:sz w:val="32"/>
          <w:szCs w:val="32"/>
          <w:lang w:val="en-US" w:eastAsia="zh-CN"/>
          <w14:textFill>
            <w14:solidFill>
              <w14:schemeClr w14:val="tx1"/>
            </w14:solidFill>
          </w14:textFill>
        </w:rPr>
        <w:t>业</w:t>
      </w: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一年亏损提醒，两年连续亏损降薪，三年连续亏损考虑是否存在必要”</w:t>
      </w: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的原则，</w:t>
      </w:r>
      <w:r>
        <w:rPr>
          <w:rFonts w:hint="eastAsia" w:ascii="仿宋" w:hAnsi="仿宋" w:eastAsia="仿宋" w:cs="仿宋"/>
          <w:bCs/>
          <w:color w:val="000000" w:themeColor="text1"/>
          <w:kern w:val="2"/>
          <w:sz w:val="32"/>
          <w:szCs w:val="32"/>
          <w:lang w:val="en-US" w:eastAsia="zh-CN" w:bidi="ar-SA"/>
          <w14:textFill>
            <w14:solidFill>
              <w14:schemeClr w14:val="tx1"/>
            </w14:solidFill>
          </w14:textFill>
        </w:rPr>
        <w:t>紧盯亏损治理目标与治理过程双管控，确保亏损子企业治理达到成效，不断提升企业经济效益。</w:t>
      </w:r>
      <w:r>
        <w:rPr>
          <w:rFonts w:hint="eastAsia" w:ascii="仿宋" w:hAnsi="仿宋" w:eastAsia="仿宋" w:cs="仿宋"/>
          <w:b/>
          <w:bCs/>
          <w:color w:val="000000" w:themeColor="text1"/>
          <w:sz w:val="32"/>
          <w:szCs w:val="32"/>
          <w:lang w:val="en-US" w:eastAsia="zh-CN"/>
          <w14:textFill>
            <w14:solidFill>
              <w14:schemeClr w14:val="tx1"/>
            </w14:solidFill>
          </w14:textFill>
        </w:rPr>
        <w:t>二是</w:t>
      </w:r>
      <w:r>
        <w:rPr>
          <w:rFonts w:hint="eastAsia" w:ascii="仿宋" w:hAnsi="仿宋" w:eastAsia="仿宋" w:cs="仿宋"/>
          <w:color w:val="000000" w:themeColor="text1"/>
          <w:sz w:val="32"/>
          <w:szCs w:val="32"/>
          <w:lang w:val="en-US" w:eastAsia="zh-CN"/>
          <w14:textFill>
            <w14:solidFill>
              <w14:schemeClr w14:val="tx1"/>
            </w14:solidFill>
          </w14:textFill>
        </w:rPr>
        <w:t>持续加大应收账款催收力度。督促指导企业持续加大应收账款的催收力度，建立应收账款清收台账和清收任务目标，“一事一册”建立催收措施，确保企业应收账款应收尽收，不断提升企业资金回收效率。</w:t>
      </w:r>
      <w:r>
        <w:rPr>
          <w:rFonts w:hint="eastAsia" w:ascii="仿宋" w:hAnsi="仿宋" w:eastAsia="仿宋" w:cs="仿宋"/>
          <w:b/>
          <w:bCs/>
          <w:color w:val="000000" w:themeColor="text1"/>
          <w:sz w:val="32"/>
          <w:szCs w:val="32"/>
          <w:lang w:val="en-US" w:eastAsia="zh-CN"/>
          <w14:textFill>
            <w14:solidFill>
              <w14:schemeClr w14:val="tx1"/>
            </w14:solidFill>
          </w14:textFill>
        </w:rPr>
        <w:t>三是</w:t>
      </w:r>
      <w:r>
        <w:rPr>
          <w:rFonts w:hint="eastAsia" w:ascii="仿宋" w:hAnsi="仿宋" w:eastAsia="仿宋" w:cs="仿宋"/>
          <w:color w:val="000000" w:themeColor="text1"/>
          <w:sz w:val="32"/>
          <w:szCs w:val="32"/>
          <w:lang w:val="en-US" w:eastAsia="zh-CN"/>
          <w14:textFill>
            <w14:solidFill>
              <w14:schemeClr w14:val="tx1"/>
            </w14:solidFill>
          </w14:textFill>
        </w:rPr>
        <w:t>不断完善制度体系，针对企业生产经营管理中存在的突出问题和薄弱环节，持续规范企业内部管控和经营管理行为，防范企业经营风险问题发生。</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spacing w:before="0" w:beforeLines="0" w:afterLines="0" w:line="560" w:lineRule="exact"/>
        <w:ind w:left="0" w:leftChars="0" w:right="0" w:rightChars="0" w:firstLine="616" w:firstLineChars="200"/>
        <w:jc w:val="both"/>
        <w:textAlignment w:val="auto"/>
        <w:rPr>
          <w:rFonts w:hint="eastAsia" w:ascii="黑体" w:hAnsi="黑体" w:eastAsia="黑体" w:cs="黑体"/>
          <w:color w:val="000000" w:themeColor="text1"/>
          <w:spacing w:val="-6"/>
          <w:sz w:val="32"/>
          <w:szCs w:val="32"/>
          <w:lang w:eastAsia="zh-CN"/>
          <w14:textFill>
            <w14:solidFill>
              <w14:schemeClr w14:val="tx1"/>
            </w14:solidFill>
          </w14:textFill>
        </w:rPr>
      </w:pPr>
      <w:r>
        <w:rPr>
          <w:rFonts w:hint="eastAsia" w:ascii="黑体" w:hAnsi="黑体" w:eastAsia="黑体" w:cs="黑体"/>
          <w:color w:val="000000" w:themeColor="text1"/>
          <w:spacing w:val="-6"/>
          <w:sz w:val="32"/>
          <w:szCs w:val="32"/>
          <w:lang w:eastAsia="zh-CN"/>
          <w14:textFill>
            <w14:solidFill>
              <w14:schemeClr w14:val="tx1"/>
            </w14:solidFill>
          </w14:textFill>
        </w:rPr>
        <w:t>二、全市金融企业国有资产管理情况</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rPr>
          <w:rFonts w:hint="eastAsia" w:ascii="楷体_GB2312" w:hAnsi="楷体_GB2312" w:eastAsia="楷体_GB2312" w:cs="楷体_GB2312"/>
          <w:b/>
          <w:bCs/>
          <w:color w:val="000000" w:themeColor="text1"/>
          <w:sz w:val="32"/>
          <w:szCs w:val="32"/>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eastAsia="zh-CN"/>
          <w14:textFill>
            <w14:solidFill>
              <w14:schemeClr w14:val="tx1"/>
            </w14:solidFill>
          </w14:textFill>
        </w:rPr>
        <w:t>（一）全市金融企业国有资产基本情况</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spacing w:before="0" w:beforeLines="0" w:afterLines="0" w:line="560" w:lineRule="exact"/>
        <w:ind w:left="0" w:leftChars="0" w:right="0" w:rightChars="0" w:firstLine="640" w:firstLineChars="200"/>
        <w:jc w:val="both"/>
        <w:textAlignment w:val="auto"/>
        <w:outlineLvl w:val="9"/>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截至</w:t>
      </w:r>
      <w:r>
        <w:rPr>
          <w:rFonts w:hint="eastAsia" w:ascii="仿宋" w:hAnsi="仿宋" w:eastAsia="仿宋" w:cs="仿宋"/>
          <w:color w:val="000000" w:themeColor="text1"/>
          <w:sz w:val="32"/>
          <w:szCs w:val="32"/>
          <w:highlight w:val="none"/>
          <w14:textFill>
            <w14:solidFill>
              <w14:schemeClr w14:val="tx1"/>
            </w14:solidFill>
          </w14:textFill>
        </w:rPr>
        <w:t>20</w:t>
      </w:r>
      <w:r>
        <w:rPr>
          <w:rFonts w:hint="eastAsia" w:ascii="仿宋" w:hAnsi="仿宋" w:eastAsia="仿宋" w:cs="仿宋"/>
          <w:color w:val="000000" w:themeColor="text1"/>
          <w:sz w:val="32"/>
          <w:szCs w:val="32"/>
          <w:highlight w:val="none"/>
          <w:lang w:val="en-US" w:eastAsia="zh-CN"/>
          <w14:textFill>
            <w14:solidFill>
              <w14:schemeClr w14:val="tx1"/>
            </w14:solidFill>
          </w14:textFill>
        </w:rPr>
        <w:t>24</w:t>
      </w:r>
      <w:r>
        <w:rPr>
          <w:rFonts w:hint="eastAsia" w:ascii="仿宋" w:hAnsi="仿宋" w:eastAsia="仿宋" w:cs="仿宋"/>
          <w:color w:val="000000" w:themeColor="text1"/>
          <w:sz w:val="32"/>
          <w:szCs w:val="32"/>
          <w:highlight w:val="none"/>
          <w14:textFill>
            <w14:solidFill>
              <w14:schemeClr w14:val="tx1"/>
            </w14:solidFill>
          </w14:textFill>
        </w:rPr>
        <w:t>年</w:t>
      </w:r>
      <w:r>
        <w:rPr>
          <w:rFonts w:hint="eastAsia" w:ascii="仿宋" w:hAnsi="仿宋" w:eastAsia="仿宋" w:cs="仿宋"/>
          <w:color w:val="000000" w:themeColor="text1"/>
          <w:sz w:val="32"/>
          <w:szCs w:val="32"/>
          <w:highlight w:val="none"/>
          <w:lang w:eastAsia="zh-CN"/>
          <w14:textFill>
            <w14:solidFill>
              <w14:schemeClr w14:val="tx1"/>
            </w14:solidFill>
          </w14:textFill>
        </w:rPr>
        <w:t>末</w:t>
      </w:r>
      <w:r>
        <w:rPr>
          <w:rFonts w:hint="eastAsia" w:ascii="仿宋" w:hAnsi="仿宋" w:eastAsia="仿宋" w:cs="仿宋"/>
          <w:color w:val="000000" w:themeColor="text1"/>
          <w:sz w:val="32"/>
          <w:szCs w:val="32"/>
          <w:highlight w:val="none"/>
          <w14:textFill>
            <w14:solidFill>
              <w14:schemeClr w14:val="tx1"/>
            </w14:solidFill>
          </w14:textFill>
        </w:rPr>
        <w:t>，我市金融</w:t>
      </w:r>
      <w:r>
        <w:rPr>
          <w:rFonts w:hint="eastAsia" w:ascii="仿宋" w:hAnsi="仿宋" w:eastAsia="仿宋" w:cs="仿宋"/>
          <w:color w:val="000000" w:themeColor="text1"/>
          <w:sz w:val="32"/>
          <w:szCs w:val="32"/>
          <w:highlight w:val="none"/>
          <w:lang w:eastAsia="zh-CN"/>
          <w14:textFill>
            <w14:solidFill>
              <w14:schemeClr w14:val="tx1"/>
            </w14:solidFill>
          </w14:textFill>
        </w:rPr>
        <w:t>类</w:t>
      </w:r>
      <w:r>
        <w:rPr>
          <w:rFonts w:hint="eastAsia" w:ascii="仿宋" w:hAnsi="仿宋" w:eastAsia="仿宋" w:cs="仿宋"/>
          <w:color w:val="000000" w:themeColor="text1"/>
          <w:sz w:val="32"/>
          <w:szCs w:val="32"/>
          <w:highlight w:val="none"/>
          <w14:textFill>
            <w14:solidFill>
              <w14:schemeClr w14:val="tx1"/>
            </w14:solidFill>
          </w14:textFill>
        </w:rPr>
        <w:t>国有企业共有</w:t>
      </w:r>
      <w:r>
        <w:rPr>
          <w:rFonts w:hint="eastAsia" w:ascii="仿宋" w:hAnsi="仿宋" w:eastAsia="仿宋" w:cs="仿宋"/>
          <w:color w:val="000000" w:themeColor="text1"/>
          <w:sz w:val="32"/>
          <w:szCs w:val="32"/>
          <w:highlight w:val="none"/>
          <w:lang w:val="en-US" w:eastAsia="zh-CN"/>
          <w14:textFill>
            <w14:solidFill>
              <w14:schemeClr w14:val="tx1"/>
            </w14:solidFill>
          </w14:textFill>
        </w:rPr>
        <w:t>8</w:t>
      </w:r>
      <w:r>
        <w:rPr>
          <w:rFonts w:hint="eastAsia" w:ascii="仿宋" w:hAnsi="仿宋" w:eastAsia="仿宋" w:cs="仿宋"/>
          <w:color w:val="000000" w:themeColor="text1"/>
          <w:sz w:val="32"/>
          <w:szCs w:val="32"/>
          <w:highlight w:val="none"/>
          <w14:textFill>
            <w14:solidFill>
              <w14:schemeClr w14:val="tx1"/>
            </w14:solidFill>
          </w14:textFill>
        </w:rPr>
        <w:t>家</w:t>
      </w:r>
      <w:r>
        <w:rPr>
          <w:rFonts w:hint="eastAsia" w:ascii="仿宋" w:hAnsi="仿宋" w:eastAsia="仿宋" w:cs="仿宋"/>
          <w:color w:val="000000" w:themeColor="text1"/>
          <w:sz w:val="32"/>
          <w:szCs w:val="32"/>
          <w:highlight w:val="none"/>
          <w:lang w:eastAsia="zh-CN"/>
          <w14:textFill>
            <w14:solidFill>
              <w14:schemeClr w14:val="tx1"/>
            </w14:solidFill>
          </w14:textFill>
        </w:rPr>
        <w:t>，其中：银行类金融企业</w:t>
      </w:r>
      <w:r>
        <w:rPr>
          <w:rFonts w:hint="eastAsia" w:ascii="仿宋" w:hAnsi="仿宋" w:eastAsia="仿宋" w:cs="仿宋"/>
          <w:color w:val="000000" w:themeColor="text1"/>
          <w:sz w:val="32"/>
          <w:szCs w:val="32"/>
          <w:highlight w:val="none"/>
          <w:lang w:val="en-US" w:eastAsia="zh-CN"/>
          <w14:textFill>
            <w14:solidFill>
              <w14:schemeClr w14:val="tx1"/>
            </w14:solidFill>
          </w14:textFill>
        </w:rPr>
        <w:t>1家，</w:t>
      </w:r>
      <w:r>
        <w:rPr>
          <w:rFonts w:hint="eastAsia" w:ascii="仿宋" w:hAnsi="仿宋" w:eastAsia="仿宋" w:cs="仿宋"/>
          <w:color w:val="000000" w:themeColor="text1"/>
          <w:sz w:val="32"/>
          <w:szCs w:val="32"/>
          <w:highlight w:val="none"/>
          <w:lang w:eastAsia="zh-CN"/>
          <w14:textFill>
            <w14:solidFill>
              <w14:schemeClr w14:val="tx1"/>
            </w14:solidFill>
          </w14:textFill>
        </w:rPr>
        <w:t>信用社类金融企业</w:t>
      </w:r>
      <w:r>
        <w:rPr>
          <w:rFonts w:hint="eastAsia" w:ascii="仿宋" w:hAnsi="仿宋" w:eastAsia="仿宋" w:cs="仿宋"/>
          <w:color w:val="000000" w:themeColor="text1"/>
          <w:sz w:val="32"/>
          <w:szCs w:val="32"/>
          <w:highlight w:val="none"/>
          <w:lang w:val="en-US" w:eastAsia="zh-CN"/>
          <w14:textFill>
            <w14:solidFill>
              <w14:schemeClr w14:val="tx1"/>
            </w14:solidFill>
          </w14:textFill>
        </w:rPr>
        <w:t>3家，</w:t>
      </w:r>
      <w:r>
        <w:rPr>
          <w:rFonts w:hint="eastAsia" w:ascii="仿宋" w:hAnsi="仿宋" w:eastAsia="仿宋" w:cs="仿宋"/>
          <w:color w:val="000000" w:themeColor="text1"/>
          <w:sz w:val="32"/>
          <w:szCs w:val="32"/>
          <w:highlight w:val="none"/>
          <w:lang w:eastAsia="zh-CN"/>
          <w14:textFill>
            <w14:solidFill>
              <w14:schemeClr w14:val="tx1"/>
            </w14:solidFill>
          </w14:textFill>
        </w:rPr>
        <w:t>担保类金融企业</w:t>
      </w:r>
      <w:r>
        <w:rPr>
          <w:rFonts w:hint="eastAsia" w:ascii="仿宋" w:hAnsi="仿宋" w:eastAsia="仿宋" w:cs="仿宋"/>
          <w:color w:val="000000" w:themeColor="text1"/>
          <w:sz w:val="32"/>
          <w:szCs w:val="32"/>
          <w:highlight w:val="none"/>
          <w:lang w:val="en-US" w:eastAsia="zh-CN"/>
          <w14:textFill>
            <w14:solidFill>
              <w14:schemeClr w14:val="tx1"/>
            </w14:solidFill>
          </w14:textFill>
        </w:rPr>
        <w:t>4家。</w:t>
      </w:r>
      <w:r>
        <w:rPr>
          <w:rFonts w:hint="eastAsia" w:ascii="仿宋" w:hAnsi="仿宋" w:eastAsia="仿宋" w:cs="仿宋"/>
          <w:color w:val="000000" w:themeColor="text1"/>
          <w:sz w:val="32"/>
          <w:szCs w:val="32"/>
          <w:highlight w:val="none"/>
          <w14:textFill>
            <w14:solidFill>
              <w14:schemeClr w14:val="tx1"/>
            </w14:solidFill>
          </w14:textFill>
        </w:rPr>
        <w:t>金融</w:t>
      </w:r>
      <w:r>
        <w:rPr>
          <w:rFonts w:hint="eastAsia" w:ascii="仿宋" w:hAnsi="仿宋" w:eastAsia="仿宋" w:cs="仿宋"/>
          <w:color w:val="000000" w:themeColor="text1"/>
          <w:sz w:val="32"/>
          <w:szCs w:val="32"/>
          <w:highlight w:val="none"/>
          <w:lang w:eastAsia="zh-CN"/>
          <w14:textFill>
            <w14:solidFill>
              <w14:schemeClr w14:val="tx1"/>
            </w14:solidFill>
          </w14:textFill>
        </w:rPr>
        <w:t>类</w:t>
      </w:r>
      <w:r>
        <w:rPr>
          <w:rFonts w:hint="eastAsia" w:ascii="仿宋" w:hAnsi="仿宋" w:eastAsia="仿宋" w:cs="仿宋"/>
          <w:color w:val="000000" w:themeColor="text1"/>
          <w:sz w:val="32"/>
          <w:szCs w:val="32"/>
          <w:highlight w:val="none"/>
          <w14:textFill>
            <w14:solidFill>
              <w14:schemeClr w14:val="tx1"/>
            </w14:solidFill>
          </w14:textFill>
        </w:rPr>
        <w:t>国有企业</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资产23750311.87万元，</w:t>
      </w:r>
      <w:r>
        <w:rPr>
          <w:rFonts w:hint="eastAsia" w:ascii="仿宋" w:hAnsi="仿宋" w:eastAsia="仿宋" w:cs="仿宋"/>
          <w:color w:val="000000" w:themeColor="text1"/>
          <w:sz w:val="32"/>
          <w:szCs w:val="32"/>
          <w:highlight w:val="none"/>
          <w:lang w:eastAsia="zh-CN"/>
          <w14:textFill>
            <w14:solidFill>
              <w14:schemeClr w14:val="tx1"/>
            </w14:solidFill>
          </w14:textFill>
        </w:rPr>
        <w:t>较年初增加2401733.65</w:t>
      </w:r>
      <w:r>
        <w:rPr>
          <w:rFonts w:hint="eastAsia" w:ascii="仿宋" w:hAnsi="仿宋" w:eastAsia="仿宋" w:cs="仿宋"/>
          <w:color w:val="000000" w:themeColor="text1"/>
          <w:sz w:val="32"/>
          <w:szCs w:val="32"/>
          <w:highlight w:val="none"/>
          <w:lang w:val="en-US" w:eastAsia="zh-CN"/>
          <w14:textFill>
            <w14:solidFill>
              <w14:schemeClr w14:val="tx1"/>
            </w14:solidFill>
          </w14:textFill>
        </w:rPr>
        <w:t>万元，增长11.25%；</w:t>
      </w:r>
      <w:r>
        <w:rPr>
          <w:rFonts w:hint="eastAsia" w:ascii="仿宋" w:hAnsi="仿宋" w:eastAsia="仿宋" w:cs="仿宋"/>
          <w:color w:val="000000" w:themeColor="text1"/>
          <w:sz w:val="32"/>
          <w:szCs w:val="32"/>
          <w:highlight w:val="none"/>
          <w14:textFill>
            <w14:solidFill>
              <w14:schemeClr w14:val="tx1"/>
            </w14:solidFill>
          </w14:textFill>
        </w:rPr>
        <w:t>负债22234780.28万元</w:t>
      </w:r>
      <w:r>
        <w:rPr>
          <w:rFonts w:hint="eastAsia" w:ascii="仿宋" w:hAnsi="仿宋" w:eastAsia="仿宋" w:cs="仿宋"/>
          <w:color w:val="000000" w:themeColor="text1"/>
          <w:sz w:val="32"/>
          <w:szCs w:val="32"/>
          <w:highlight w:val="none"/>
          <w:lang w:eastAsia="zh-CN"/>
          <w14:textFill>
            <w14:solidFill>
              <w14:schemeClr w14:val="tx1"/>
            </w14:solidFill>
          </w14:textFill>
        </w:rPr>
        <w:t>，较年初增加2348026.85万元，</w:t>
      </w:r>
      <w:r>
        <w:rPr>
          <w:rFonts w:hint="eastAsia" w:ascii="仿宋" w:hAnsi="仿宋" w:eastAsia="仿宋" w:cs="仿宋"/>
          <w:color w:val="000000" w:themeColor="text1"/>
          <w:sz w:val="32"/>
          <w:szCs w:val="32"/>
          <w:highlight w:val="none"/>
          <w:lang w:val="en-US" w:eastAsia="zh-CN"/>
          <w14:textFill>
            <w14:solidFill>
              <w14:schemeClr w14:val="tx1"/>
            </w14:solidFill>
          </w14:textFill>
        </w:rPr>
        <w:t>增长11.81%；</w:t>
      </w:r>
      <w:r>
        <w:rPr>
          <w:rFonts w:hint="eastAsia" w:ascii="仿宋" w:hAnsi="仿宋" w:eastAsia="仿宋" w:cs="仿宋"/>
          <w:color w:val="000000" w:themeColor="text1"/>
          <w:sz w:val="32"/>
          <w:szCs w:val="32"/>
          <w:highlight w:val="none"/>
          <w14:textFill>
            <w14:solidFill>
              <w14:schemeClr w14:val="tx1"/>
            </w14:solidFill>
          </w14:textFill>
        </w:rPr>
        <w:t>所有者权益1515531.59万元</w:t>
      </w:r>
      <w:r>
        <w:rPr>
          <w:rFonts w:hint="eastAsia" w:ascii="仿宋" w:hAnsi="仿宋" w:eastAsia="仿宋" w:cs="仿宋"/>
          <w:color w:val="000000" w:themeColor="text1"/>
          <w:sz w:val="32"/>
          <w:szCs w:val="32"/>
          <w:highlight w:val="none"/>
          <w:lang w:eastAsia="zh-CN"/>
          <w14:textFill>
            <w14:solidFill>
              <w14:schemeClr w14:val="tx1"/>
            </w14:solidFill>
          </w14:textFill>
        </w:rPr>
        <w:t>，较年初增加53706.81万元，</w:t>
      </w:r>
      <w:r>
        <w:rPr>
          <w:rFonts w:hint="eastAsia" w:ascii="仿宋" w:hAnsi="仿宋" w:eastAsia="仿宋" w:cs="仿宋"/>
          <w:color w:val="000000" w:themeColor="text1"/>
          <w:sz w:val="32"/>
          <w:szCs w:val="32"/>
          <w:highlight w:val="none"/>
          <w:lang w:val="en-US" w:eastAsia="zh-CN"/>
          <w14:textFill>
            <w14:solidFill>
              <w14:schemeClr w14:val="tx1"/>
            </w14:solidFill>
          </w14:textFill>
        </w:rPr>
        <w:t>增长3.67%。扣除客观因素后（国有）所有者权益数为890244.94万元，较年初增加64878.10万元，</w:t>
      </w:r>
      <w:r>
        <w:rPr>
          <w:rFonts w:hint="eastAsia" w:ascii="仿宋" w:hAnsi="仿宋" w:eastAsia="仿宋" w:cs="仿宋"/>
          <w:color w:val="000000" w:themeColor="text1"/>
          <w:sz w:val="32"/>
          <w:szCs w:val="32"/>
          <w:highlight w:val="none"/>
          <w14:textFill>
            <w14:solidFill>
              <w14:schemeClr w14:val="tx1"/>
            </w14:solidFill>
          </w14:textFill>
        </w:rPr>
        <w:t>国有资本保值增值率</w:t>
      </w:r>
      <w:r>
        <w:rPr>
          <w:rFonts w:hint="eastAsia" w:ascii="仿宋" w:hAnsi="仿宋" w:eastAsia="仿宋" w:cs="仿宋"/>
          <w:color w:val="000000" w:themeColor="text1"/>
          <w:sz w:val="32"/>
          <w:szCs w:val="32"/>
          <w:highlight w:val="none"/>
          <w:lang w:eastAsia="zh-CN"/>
          <w14:textFill>
            <w14:solidFill>
              <w14:schemeClr w14:val="tx1"/>
            </w14:solidFill>
          </w14:textFill>
        </w:rPr>
        <w:t>为107.86</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金融</w:t>
      </w:r>
      <w:r>
        <w:rPr>
          <w:rFonts w:hint="eastAsia" w:ascii="仿宋" w:hAnsi="仿宋" w:eastAsia="仿宋" w:cs="仿宋"/>
          <w:color w:val="000000" w:themeColor="text1"/>
          <w:sz w:val="32"/>
          <w:szCs w:val="32"/>
          <w:highlight w:val="none"/>
          <w:lang w:eastAsia="zh-CN"/>
          <w14:textFill>
            <w14:solidFill>
              <w14:schemeClr w14:val="tx1"/>
            </w14:solidFill>
          </w14:textFill>
        </w:rPr>
        <w:t>类</w:t>
      </w:r>
      <w:r>
        <w:rPr>
          <w:rFonts w:hint="eastAsia" w:ascii="仿宋" w:hAnsi="仿宋" w:eastAsia="仿宋" w:cs="仿宋"/>
          <w:color w:val="000000" w:themeColor="text1"/>
          <w:sz w:val="32"/>
          <w:szCs w:val="32"/>
          <w:highlight w:val="none"/>
          <w14:textFill>
            <w14:solidFill>
              <w14:schemeClr w14:val="tx1"/>
            </w14:solidFill>
          </w14:textFill>
        </w:rPr>
        <w:t>国有企业营业收入694193.58万元，</w:t>
      </w:r>
      <w:r>
        <w:rPr>
          <w:rFonts w:hint="eastAsia" w:ascii="仿宋" w:hAnsi="仿宋" w:eastAsia="仿宋" w:cs="仿宋"/>
          <w:color w:val="000000" w:themeColor="text1"/>
          <w:sz w:val="32"/>
          <w:szCs w:val="32"/>
          <w:highlight w:val="none"/>
          <w:lang w:eastAsia="zh-CN"/>
          <w14:textFill>
            <w14:solidFill>
              <w14:schemeClr w14:val="tx1"/>
            </w14:solidFill>
          </w14:textFill>
        </w:rPr>
        <w:t>较上年增加248864.08</w:t>
      </w:r>
      <w:r>
        <w:rPr>
          <w:rFonts w:hint="eastAsia" w:ascii="仿宋" w:hAnsi="仿宋" w:eastAsia="仿宋" w:cs="仿宋"/>
          <w:color w:val="000000" w:themeColor="text1"/>
          <w:sz w:val="32"/>
          <w:szCs w:val="32"/>
          <w:highlight w:val="none"/>
          <w14:textFill>
            <w14:solidFill>
              <w14:schemeClr w14:val="tx1"/>
            </w14:solidFill>
          </w14:textFill>
        </w:rPr>
        <w:t>万元</w:t>
      </w:r>
      <w:r>
        <w:rPr>
          <w:rFonts w:hint="eastAsia" w:ascii="仿宋" w:hAnsi="仿宋" w:eastAsia="仿宋" w:cs="仿宋"/>
          <w:color w:val="000000" w:themeColor="text1"/>
          <w:sz w:val="32"/>
          <w:szCs w:val="32"/>
          <w:highlight w:val="none"/>
          <w:lang w:eastAsia="zh-CN"/>
          <w14:textFill>
            <w14:solidFill>
              <w14:schemeClr w14:val="tx1"/>
            </w14:solidFill>
          </w14:textFill>
        </w:rPr>
        <w:t>，增长55.88</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营业支出554693.07万元，</w:t>
      </w:r>
      <w:r>
        <w:rPr>
          <w:rFonts w:hint="eastAsia" w:ascii="仿宋" w:hAnsi="仿宋" w:eastAsia="仿宋" w:cs="仿宋"/>
          <w:color w:val="000000" w:themeColor="text1"/>
          <w:sz w:val="32"/>
          <w:szCs w:val="32"/>
          <w:highlight w:val="none"/>
          <w:lang w:eastAsia="zh-CN"/>
          <w14:textFill>
            <w14:solidFill>
              <w14:schemeClr w14:val="tx1"/>
            </w14:solidFill>
          </w14:textFill>
        </w:rPr>
        <w:t>较上年增加219242.43万元，增长65.36</w:t>
      </w:r>
      <w:r>
        <w:rPr>
          <w:rFonts w:hint="eastAsia" w:ascii="仿宋" w:hAnsi="仿宋" w:eastAsia="仿宋" w:cs="仿宋"/>
          <w:color w:val="000000" w:themeColor="text1"/>
          <w:sz w:val="32"/>
          <w:szCs w:val="32"/>
          <w:highlight w:val="none"/>
          <w:lang w:val="en-US" w:eastAsia="zh-CN"/>
          <w14:textFill>
            <w14:solidFill>
              <w14:schemeClr w14:val="tx1"/>
            </w14:solidFill>
          </w14:textFill>
        </w:rPr>
        <w:t>%；净利润100509.02万元，较上年增加15682.04万元，增长18.49%。</w:t>
      </w:r>
      <w:r>
        <w:rPr>
          <w:rFonts w:hint="eastAsia" w:ascii="仿宋" w:hAnsi="仿宋" w:eastAsia="仿宋" w:cs="仿宋"/>
          <w:color w:val="000000" w:themeColor="text1"/>
          <w:sz w:val="32"/>
          <w:szCs w:val="32"/>
          <w:highlight w:val="none"/>
          <w14:textFill>
            <w14:solidFill>
              <w14:schemeClr w14:val="tx1"/>
            </w14:solidFill>
          </w14:textFill>
        </w:rPr>
        <w:t>国有资本159935.33万元</w:t>
      </w:r>
      <w:r>
        <w:rPr>
          <w:rFonts w:hint="eastAsia" w:ascii="仿宋" w:hAnsi="仿宋" w:eastAsia="仿宋" w:cs="仿宋"/>
          <w:color w:val="000000" w:themeColor="text1"/>
          <w:sz w:val="32"/>
          <w:szCs w:val="32"/>
          <w:highlight w:val="none"/>
          <w:lang w:eastAsia="zh-CN"/>
          <w14:textFill>
            <w14:solidFill>
              <w14:schemeClr w14:val="tx1"/>
            </w14:solidFill>
          </w14:textFill>
        </w:rPr>
        <w:t>，较年初增加5100.00万元，</w:t>
      </w:r>
      <w:r>
        <w:rPr>
          <w:rFonts w:hint="eastAsia" w:ascii="仿宋" w:hAnsi="仿宋" w:eastAsia="仿宋" w:cs="仿宋"/>
          <w:color w:val="000000" w:themeColor="text1"/>
          <w:sz w:val="32"/>
          <w:szCs w:val="32"/>
          <w:highlight w:val="none"/>
          <w:lang w:val="en-US" w:eastAsia="zh-CN"/>
          <w14:textFill>
            <w14:solidFill>
              <w14:schemeClr w14:val="tx1"/>
            </w14:solidFill>
          </w14:textFill>
        </w:rPr>
        <w:t>增长3.29%</w:t>
      </w:r>
      <w:r>
        <w:rPr>
          <w:rFonts w:hint="eastAsia" w:ascii="仿宋" w:hAnsi="仿宋" w:eastAsia="仿宋" w:cs="仿宋"/>
          <w:color w:val="000000" w:themeColor="text1"/>
          <w:sz w:val="32"/>
          <w:szCs w:val="32"/>
          <w:highlight w:val="none"/>
          <w14:textFill>
            <w14:solidFill>
              <w14:schemeClr w14:val="tx1"/>
            </w14:solidFill>
          </w14:textFill>
        </w:rPr>
        <w:t>。</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rPr>
          <w:rFonts w:hint="eastAsia" w:ascii="楷体_GB2312" w:hAnsi="楷体_GB2312" w:eastAsia="楷体_GB2312" w:cs="楷体_GB2312"/>
          <w:b/>
          <w:bCs/>
          <w:color w:val="000000" w:themeColor="text1"/>
          <w:sz w:val="32"/>
          <w:szCs w:val="32"/>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eastAsia="zh-CN"/>
          <w14:textFill>
            <w14:solidFill>
              <w14:schemeClr w14:val="tx1"/>
            </w14:solidFill>
          </w14:textFill>
        </w:rPr>
        <w:t>（二）金融企业国有资产管理工作情况</w:t>
      </w:r>
    </w:p>
    <w:p>
      <w:pPr>
        <w:pStyle w:val="3"/>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spacing w:before="0" w:beforeLines="0" w:afterLines="0" w:line="560" w:lineRule="exact"/>
        <w:ind w:left="0" w:leftChars="0" w:right="0" w:rightChars="0" w:firstLine="640" w:firstLineChars="200"/>
        <w:jc w:val="both"/>
        <w:textAlignment w:val="auto"/>
        <w:outlineLvl w:val="9"/>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仿宋"/>
          <w:bCs/>
          <w:color w:val="000000" w:themeColor="text1"/>
          <w:sz w:val="32"/>
          <w:szCs w:val="32"/>
          <w:highlight w:val="none"/>
          <w:lang w:val="en-US" w:eastAsia="zh-CN"/>
          <w14:textFill>
            <w14:solidFill>
              <w14:schemeClr w14:val="tx1"/>
            </w14:solidFill>
          </w14:textFill>
        </w:rPr>
        <w:t>1.</w:t>
      </w:r>
      <w:r>
        <w:rPr>
          <w:rFonts w:hint="eastAsia" w:ascii="仿宋" w:hAnsi="仿宋" w:eastAsia="仿宋" w:cs="仿宋"/>
          <w:bCs/>
          <w:color w:val="000000" w:themeColor="text1"/>
          <w:sz w:val="32"/>
          <w:szCs w:val="32"/>
          <w:highlight w:val="none"/>
          <w14:textFill>
            <w14:solidFill>
              <w14:schemeClr w14:val="tx1"/>
            </w14:solidFill>
          </w14:textFill>
        </w:rPr>
        <w:t>强化地方金融</w:t>
      </w:r>
      <w:r>
        <w:rPr>
          <w:rFonts w:hint="eastAsia" w:ascii="仿宋" w:hAnsi="仿宋" w:eastAsia="仿宋" w:cs="仿宋"/>
          <w:bCs/>
          <w:color w:val="000000" w:themeColor="text1"/>
          <w:sz w:val="32"/>
          <w:szCs w:val="32"/>
          <w:highlight w:val="none"/>
          <w:lang w:eastAsia="zh-CN"/>
          <w14:textFill>
            <w14:solidFill>
              <w14:schemeClr w14:val="tx1"/>
            </w14:solidFill>
          </w14:textFill>
        </w:rPr>
        <w:t>类</w:t>
      </w:r>
      <w:r>
        <w:rPr>
          <w:rFonts w:hint="eastAsia" w:ascii="仿宋" w:hAnsi="仿宋" w:eastAsia="仿宋" w:cs="仿宋"/>
          <w:bCs/>
          <w:color w:val="000000" w:themeColor="text1"/>
          <w:sz w:val="32"/>
          <w:szCs w:val="32"/>
          <w:highlight w:val="none"/>
          <w14:textFill>
            <w14:solidFill>
              <w14:schemeClr w14:val="tx1"/>
            </w14:solidFill>
          </w14:textFill>
        </w:rPr>
        <w:t>企业国有资产监管</w:t>
      </w:r>
      <w:r>
        <w:rPr>
          <w:rFonts w:hint="eastAsia" w:ascii="仿宋" w:hAnsi="仿宋" w:eastAsia="仿宋" w:cs="仿宋"/>
          <w:bCs/>
          <w:color w:val="000000" w:themeColor="text1"/>
          <w:sz w:val="32"/>
          <w:szCs w:val="32"/>
          <w:highlight w:val="none"/>
          <w:lang w:eastAsia="zh-CN"/>
          <w14:textFill>
            <w14:solidFill>
              <w14:schemeClr w14:val="tx1"/>
            </w14:solidFill>
          </w14:textFill>
        </w:rPr>
        <w:t>。</w:t>
      </w:r>
      <w:r>
        <w:rPr>
          <w:rFonts w:hint="eastAsia" w:ascii="仿宋" w:hAnsi="仿宋" w:eastAsia="仿宋" w:cs="仿宋"/>
          <w:b/>
          <w:bCs/>
          <w:color w:val="000000" w:themeColor="text1"/>
          <w:kern w:val="2"/>
          <w:sz w:val="32"/>
          <w:szCs w:val="32"/>
          <w:highlight w:val="none"/>
          <w:lang w:val="en-US" w:eastAsia="zh-CN" w:bidi="ar-SA"/>
          <w14:textFill>
            <w14:solidFill>
              <w14:schemeClr w14:val="tx1"/>
            </w14:solidFill>
          </w14:textFill>
        </w:rPr>
        <w:t>一是</w:t>
      </w: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按照《财政部关于印发&lt;国有金融资本产权登记管理办法（试行）&gt;的通知》和《河北省财政厅关于做好国有金融资本产权登记监督检查工作的通知》等文件，积极开展国有金融资本产权登记监督检查工作，并认真编制年度国有金融资本产权变动状况分析报告及国有金融资本产权登记汇总表，按时上报省财政厅。切实加强国有金融资本产权登记管理工作，实现国有产权变动全链条动态穿透监管。</w:t>
      </w:r>
      <w:r>
        <w:rPr>
          <w:rFonts w:hint="eastAsia" w:ascii="仿宋" w:hAnsi="仿宋" w:eastAsia="仿宋" w:cs="仿宋"/>
          <w:b/>
          <w:bCs/>
          <w:color w:val="000000" w:themeColor="text1"/>
          <w:kern w:val="2"/>
          <w:sz w:val="32"/>
          <w:szCs w:val="32"/>
          <w:highlight w:val="none"/>
          <w:lang w:val="en-US" w:eastAsia="zh-CN" w:bidi="ar-SA"/>
          <w14:textFill>
            <w14:solidFill>
              <w14:schemeClr w14:val="tx1"/>
            </w14:solidFill>
          </w14:textFill>
        </w:rPr>
        <w:t>二是</w:t>
      </w: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认真学习贯彻《河北省财政厅关于做好2023年度全省及省级金融企业国有资产报告工作的通知》，并按照通知要求，我们汇总全市地方金融类企业2023年度国有资产情况，完成邢台市2023年度金融企业国有资产分析报告，并按时上报省厅。</w:t>
      </w:r>
    </w:p>
    <w:p>
      <w:pPr>
        <w:pStyle w:val="3"/>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spacing w:before="0" w:beforeLines="0" w:afterLines="0" w:line="560" w:lineRule="exact"/>
        <w:ind w:left="0" w:leftChars="0" w:right="0" w:rightChars="0" w:firstLine="640" w:firstLineChars="200"/>
        <w:jc w:val="both"/>
        <w:textAlignment w:val="auto"/>
        <w:outlineLvl w:val="9"/>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bCs/>
          <w:color w:val="000000" w:themeColor="text1"/>
          <w:sz w:val="32"/>
          <w:szCs w:val="32"/>
          <w:highlight w:val="none"/>
          <w:lang w:val="en-US" w:eastAsia="zh-CN"/>
          <w14:textFill>
            <w14:solidFill>
              <w14:schemeClr w14:val="tx1"/>
            </w14:solidFill>
          </w14:textFill>
        </w:rPr>
        <w:t>2.</w:t>
      </w:r>
      <w:r>
        <w:rPr>
          <w:rFonts w:hint="eastAsia" w:ascii="仿宋" w:hAnsi="仿宋" w:eastAsia="仿宋" w:cs="仿宋"/>
          <w:bCs/>
          <w:color w:val="000000" w:themeColor="text1"/>
          <w:sz w:val="32"/>
          <w:szCs w:val="32"/>
          <w:highlight w:val="none"/>
          <w:lang w:eastAsia="zh-CN"/>
          <w14:textFill>
            <w14:solidFill>
              <w14:schemeClr w14:val="tx1"/>
            </w14:solidFill>
          </w14:textFill>
        </w:rPr>
        <w:t>加强地方金融类企业财务管理。</w:t>
      </w:r>
      <w:r>
        <w:rPr>
          <w:rFonts w:hint="eastAsia" w:ascii="仿宋" w:hAnsi="仿宋" w:eastAsia="仿宋" w:cs="仿宋"/>
          <w:color w:val="000000" w:themeColor="text1"/>
          <w:sz w:val="32"/>
          <w:szCs w:val="32"/>
          <w:highlight w:val="none"/>
          <w14:textFill>
            <w14:solidFill>
              <w14:schemeClr w14:val="tx1"/>
            </w14:solidFill>
          </w14:textFill>
        </w:rPr>
        <w:t>按照《金融企业财务规则》</w:t>
      </w:r>
      <w:r>
        <w:rPr>
          <w:rFonts w:hint="eastAsia" w:ascii="仿宋" w:hAnsi="仿宋" w:eastAsia="仿宋" w:cs="仿宋"/>
          <w:color w:val="000000" w:themeColor="text1"/>
          <w:sz w:val="32"/>
          <w:szCs w:val="32"/>
          <w:highlight w:val="none"/>
          <w:lang w:eastAsia="zh-CN"/>
          <w14:textFill>
            <w14:solidFill>
              <w14:schemeClr w14:val="tx1"/>
            </w14:solidFill>
          </w14:textFill>
        </w:rPr>
        <w:t>和《河北省财政厅关于进一步加强地方国有金融企业财务管理的通知》</w:t>
      </w:r>
      <w:r>
        <w:rPr>
          <w:rFonts w:hint="eastAsia" w:ascii="仿宋" w:hAnsi="仿宋" w:eastAsia="仿宋" w:cs="仿宋"/>
          <w:color w:val="000000" w:themeColor="text1"/>
          <w:sz w:val="32"/>
          <w:szCs w:val="32"/>
          <w:highlight w:val="none"/>
          <w14:textFill>
            <w14:solidFill>
              <w14:schemeClr w14:val="tx1"/>
            </w14:solidFill>
          </w14:textFill>
        </w:rPr>
        <w:t>等法规要求，指导、督促全市金融企业建立健全内部财务管理制度、财务风险控制体系，规范财务行为。</w:t>
      </w:r>
      <w:r>
        <w:rPr>
          <w:rFonts w:hint="eastAsia" w:ascii="仿宋" w:hAnsi="仿宋" w:eastAsia="仿宋" w:cs="仿宋"/>
          <w:color w:val="000000" w:themeColor="text1"/>
          <w:kern w:val="0"/>
          <w:sz w:val="32"/>
          <w:szCs w:val="32"/>
          <w:highlight w:val="none"/>
          <w:lang w:val="zh-CN"/>
          <w14:textFill>
            <w14:solidFill>
              <w14:schemeClr w14:val="tx1"/>
            </w14:solidFill>
          </w14:textFill>
        </w:rPr>
        <w:t>根据《</w:t>
      </w:r>
      <w:r>
        <w:rPr>
          <w:rFonts w:hint="eastAsia" w:ascii="仿宋" w:hAnsi="仿宋" w:eastAsia="仿宋" w:cs="仿宋"/>
          <w:color w:val="000000" w:themeColor="text1"/>
          <w:kern w:val="0"/>
          <w:sz w:val="32"/>
          <w:szCs w:val="32"/>
          <w:highlight w:val="none"/>
          <w:lang w:val="zh-CN" w:eastAsia="zh-CN"/>
          <w14:textFill>
            <w14:solidFill>
              <w14:schemeClr w14:val="tx1"/>
            </w14:solidFill>
          </w14:textFill>
        </w:rPr>
        <w:t>河北省财政厅关于做好</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2023年度金融企业</w:t>
      </w:r>
      <w:r>
        <w:rPr>
          <w:rFonts w:hint="eastAsia" w:ascii="仿宋" w:hAnsi="仿宋" w:eastAsia="仿宋" w:cs="仿宋"/>
          <w:color w:val="000000" w:themeColor="text1"/>
          <w:kern w:val="0"/>
          <w:sz w:val="32"/>
          <w:szCs w:val="32"/>
          <w:highlight w:val="none"/>
          <w:lang w:val="zh-CN"/>
          <w14:textFill>
            <w14:solidFill>
              <w14:schemeClr w14:val="tx1"/>
            </w14:solidFill>
          </w14:textFill>
        </w:rPr>
        <w:t>绩效评价工作的通知》，在</w:t>
      </w:r>
      <w:r>
        <w:rPr>
          <w:rFonts w:hint="eastAsia" w:ascii="仿宋" w:hAnsi="仿宋" w:eastAsia="仿宋" w:cs="仿宋"/>
          <w:color w:val="000000" w:themeColor="text1"/>
          <w:sz w:val="32"/>
          <w:szCs w:val="32"/>
          <w:highlight w:val="none"/>
          <w14:textFill>
            <w14:solidFill>
              <w14:schemeClr w14:val="tx1"/>
            </w14:solidFill>
          </w14:textFill>
        </w:rPr>
        <w:t>全市开展地方金融企业绩效评价，上报省厅。</w:t>
      </w:r>
      <w:r>
        <w:rPr>
          <w:rFonts w:hint="eastAsia" w:ascii="仿宋" w:hAnsi="仿宋" w:eastAsia="仿宋" w:cs="仿宋"/>
          <w:color w:val="000000" w:themeColor="text1"/>
          <w:sz w:val="32"/>
          <w:szCs w:val="32"/>
          <w:highlight w:val="none"/>
          <w:lang w:eastAsia="zh-CN"/>
          <w14:textFill>
            <w14:solidFill>
              <w14:schemeClr w14:val="tx1"/>
            </w14:solidFill>
          </w14:textFill>
        </w:rPr>
        <w:t>按照</w:t>
      </w:r>
      <w:r>
        <w:rPr>
          <w:rFonts w:hint="eastAsia" w:ascii="仿宋" w:hAnsi="仿宋" w:eastAsia="仿宋" w:cs="仿宋"/>
          <w:color w:val="000000" w:themeColor="text1"/>
          <w:sz w:val="32"/>
          <w:szCs w:val="32"/>
          <w:highlight w:val="none"/>
          <w14:textFill>
            <w14:solidFill>
              <w14:schemeClr w14:val="tx1"/>
            </w14:solidFill>
          </w14:textFill>
        </w:rPr>
        <w:t>河北省财政厅</w:t>
      </w:r>
      <w:r>
        <w:rPr>
          <w:rFonts w:hint="eastAsia" w:ascii="仿宋" w:hAnsi="仿宋" w:eastAsia="仿宋" w:cs="仿宋"/>
          <w:color w:val="000000" w:themeColor="text1"/>
          <w:sz w:val="32"/>
          <w:szCs w:val="32"/>
          <w:highlight w:val="none"/>
          <w:lang w:eastAsia="zh-CN"/>
          <w14:textFill>
            <w14:solidFill>
              <w14:schemeClr w14:val="tx1"/>
            </w14:solidFill>
          </w14:textFill>
        </w:rPr>
        <w:t>关于认真做好</w:t>
      </w:r>
      <w:r>
        <w:rPr>
          <w:rFonts w:hint="eastAsia" w:ascii="仿宋" w:hAnsi="仿宋" w:eastAsia="仿宋" w:cs="仿宋"/>
          <w:color w:val="000000" w:themeColor="text1"/>
          <w:sz w:val="32"/>
          <w:szCs w:val="32"/>
          <w:highlight w:val="none"/>
          <w:lang w:val="en-US" w:eastAsia="zh-CN"/>
          <w14:textFill>
            <w14:solidFill>
              <w14:schemeClr w14:val="tx1"/>
            </w14:solidFill>
          </w14:textFill>
        </w:rPr>
        <w:t>年度</w:t>
      </w:r>
      <w:r>
        <w:rPr>
          <w:rFonts w:hint="eastAsia" w:ascii="仿宋" w:hAnsi="仿宋" w:eastAsia="仿宋" w:cs="仿宋"/>
          <w:color w:val="000000" w:themeColor="text1"/>
          <w:sz w:val="32"/>
          <w:szCs w:val="32"/>
          <w:highlight w:val="none"/>
          <w:lang w:eastAsia="zh-CN"/>
          <w14:textFill>
            <w14:solidFill>
              <w14:schemeClr w14:val="tx1"/>
            </w14:solidFill>
          </w14:textFill>
        </w:rPr>
        <w:t>全省地方</w:t>
      </w:r>
      <w:r>
        <w:rPr>
          <w:rFonts w:hint="eastAsia" w:ascii="仿宋" w:hAnsi="仿宋" w:eastAsia="仿宋" w:cs="仿宋"/>
          <w:color w:val="000000" w:themeColor="text1"/>
          <w:sz w:val="32"/>
          <w:szCs w:val="32"/>
          <w:highlight w:val="none"/>
          <w14:textFill>
            <w14:solidFill>
              <w14:schemeClr w14:val="tx1"/>
            </w14:solidFill>
          </w14:textFill>
        </w:rPr>
        <w:t>金融企业财务</w:t>
      </w:r>
      <w:r>
        <w:rPr>
          <w:rFonts w:hint="eastAsia" w:ascii="仿宋" w:hAnsi="仿宋" w:eastAsia="仿宋" w:cs="仿宋"/>
          <w:color w:val="000000" w:themeColor="text1"/>
          <w:sz w:val="32"/>
          <w:szCs w:val="32"/>
          <w:highlight w:val="none"/>
          <w:lang w:eastAsia="zh-CN"/>
          <w14:textFill>
            <w14:solidFill>
              <w14:schemeClr w14:val="tx1"/>
            </w14:solidFill>
          </w14:textFill>
        </w:rPr>
        <w:t>决算</w:t>
      </w:r>
      <w:r>
        <w:rPr>
          <w:rFonts w:hint="eastAsia" w:ascii="仿宋" w:hAnsi="仿宋" w:eastAsia="仿宋" w:cs="仿宋"/>
          <w:color w:val="000000" w:themeColor="text1"/>
          <w:sz w:val="32"/>
          <w:szCs w:val="32"/>
          <w:highlight w:val="none"/>
          <w14:textFill>
            <w14:solidFill>
              <w14:schemeClr w14:val="tx1"/>
            </w14:solidFill>
          </w14:textFill>
        </w:rPr>
        <w:t>报表</w:t>
      </w:r>
      <w:r>
        <w:rPr>
          <w:rFonts w:hint="eastAsia" w:ascii="仿宋" w:hAnsi="仿宋" w:eastAsia="仿宋" w:cs="仿宋"/>
          <w:color w:val="000000" w:themeColor="text1"/>
          <w:sz w:val="32"/>
          <w:szCs w:val="32"/>
          <w:highlight w:val="none"/>
          <w:lang w:eastAsia="zh-CN"/>
          <w14:textFill>
            <w14:solidFill>
              <w14:schemeClr w14:val="tx1"/>
            </w14:solidFill>
          </w14:textFill>
        </w:rPr>
        <w:t>和财务快报有关事项的通知</w:t>
      </w:r>
      <w:r>
        <w:rPr>
          <w:rFonts w:hint="eastAsia" w:ascii="仿宋" w:hAnsi="仿宋" w:eastAsia="仿宋" w:cs="仿宋"/>
          <w:color w:val="000000" w:themeColor="text1"/>
          <w:sz w:val="32"/>
          <w:szCs w:val="32"/>
          <w:highlight w:val="none"/>
          <w14:textFill>
            <w14:solidFill>
              <w14:schemeClr w14:val="tx1"/>
            </w14:solidFill>
          </w14:textFill>
        </w:rPr>
        <w:t>，积极布置全市地方金融企业财务决算</w:t>
      </w:r>
      <w:r>
        <w:rPr>
          <w:rFonts w:hint="eastAsia" w:ascii="仿宋" w:hAnsi="仿宋" w:eastAsia="仿宋" w:cs="仿宋"/>
          <w:color w:val="000000" w:themeColor="text1"/>
          <w:sz w:val="32"/>
          <w:szCs w:val="32"/>
          <w:highlight w:val="none"/>
          <w:lang w:eastAsia="zh-CN"/>
          <w14:textFill>
            <w14:solidFill>
              <w14:schemeClr w14:val="tx1"/>
            </w14:solidFill>
          </w14:textFill>
        </w:rPr>
        <w:t>、快报</w:t>
      </w:r>
      <w:r>
        <w:rPr>
          <w:rFonts w:hint="eastAsia" w:ascii="仿宋" w:hAnsi="仿宋" w:eastAsia="仿宋" w:cs="仿宋"/>
          <w:color w:val="000000" w:themeColor="text1"/>
          <w:sz w:val="32"/>
          <w:szCs w:val="32"/>
          <w:highlight w:val="none"/>
          <w14:textFill>
            <w14:solidFill>
              <w14:schemeClr w14:val="tx1"/>
            </w14:solidFill>
          </w14:textFill>
        </w:rPr>
        <w:t>工作，认真组织、审核、汇总，圆满完成全市年度地方金融企业财务决算和季度财务快报等财务管理基础工作，为全面了解和掌握地方金融企业的资产财务和经营状况，防范和化解金融风险，提供可靠的财务数据资料。</w:t>
      </w:r>
    </w:p>
    <w:p>
      <w:pPr>
        <w:pStyle w:val="3"/>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spacing w:before="0" w:beforeLines="0" w:afterLines="0" w:line="560" w:lineRule="exact"/>
        <w:ind w:left="0" w:leftChars="0" w:right="0" w:rightChars="0" w:firstLine="640" w:firstLineChars="200"/>
        <w:jc w:val="both"/>
        <w:textAlignment w:val="auto"/>
        <w:outlineLvl w:val="9"/>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t>3.推进国有金融资本管理。根据《邢台市人民政府办公室关于印发邢台市市级国有金融资本出资人职责暂行规定的通知》（邢政办字〔2021〕1号）文件精神，结合我市市级国有金融资本管理情况，我们进一步加强市级国有金融资本管理，明确出资人职责，厘清国有金融资本出资人职责边界、规范明确有关部门和金融机构权利和义务。</w:t>
      </w:r>
    </w:p>
    <w:p>
      <w:pPr>
        <w:pStyle w:val="3"/>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spacing w:before="0" w:beforeLines="0" w:afterLines="0" w:line="560" w:lineRule="exact"/>
        <w:ind w:left="0" w:leftChars="0" w:right="0" w:rightChars="0" w:firstLine="640" w:firstLineChars="200"/>
        <w:jc w:val="both"/>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t>4.指导国有股东参与地方金融类企业治理，逐步完善地方金融类企业治理改革。我市地方金融类企业积极贯彻落实上级有关国有资产重大决策部署和方针政策，加强国有资产管理，完善国有资产制度建设，</w:t>
      </w:r>
      <w:r>
        <w:rPr>
          <w:rFonts w:hint="eastAsia" w:ascii="仿宋" w:hAnsi="仿宋" w:eastAsia="仿宋" w:cs="仿宋"/>
          <w:color w:val="000000" w:themeColor="text1"/>
          <w:sz w:val="32"/>
          <w:szCs w:val="32"/>
          <w:highlight w:val="none"/>
          <w:lang w:val="en-US" w:eastAsia="zh-CN"/>
          <w14:textFill>
            <w14:solidFill>
              <w14:schemeClr w14:val="tx1"/>
            </w14:solidFill>
          </w14:textFill>
        </w:rPr>
        <w:t>按照法律法规和监管部门要求，</w:t>
      </w:r>
      <w:r>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t>逐步建立起完善的公司治理架构</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r>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t>同时以《公司章程》为核心，建立起各项议事规则，股东股权、关联交易、信息披露等公司治理制度体系，不断规范公司治理。</w:t>
      </w:r>
      <w:r>
        <w:rPr>
          <w:rFonts w:hint="eastAsia" w:ascii="仿宋" w:hAnsi="仿宋" w:eastAsia="仿宋" w:cs="仿宋"/>
          <w:color w:val="000000" w:themeColor="text1"/>
          <w:sz w:val="32"/>
          <w:szCs w:val="32"/>
          <w:highlight w:val="none"/>
          <w:lang w:val="en-US" w:eastAsia="zh-CN"/>
          <w14:textFill>
            <w14:solidFill>
              <w14:schemeClr w14:val="tx1"/>
            </w14:solidFill>
          </w14:textFill>
        </w:rPr>
        <w:t>2024年，我市国有股东向银行等主要企业派出股权董事11人，地方金融类企业累计召开股东大会及董事会共计79次，国有股东及国有股东委派的董事积极参加企业股东大会、董事会，推动了我市金融企业健康稳健发展。</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rPr>
          <w:rFonts w:hint="eastAsia" w:ascii="楷体_GB2312" w:hAnsi="楷体_GB2312" w:eastAsia="楷体_GB2312" w:cs="楷体_GB2312"/>
          <w:b/>
          <w:bCs/>
          <w:color w:val="000000" w:themeColor="text1"/>
          <w:sz w:val="32"/>
          <w:szCs w:val="32"/>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eastAsia="zh-CN"/>
          <w14:textFill>
            <w14:solidFill>
              <w14:schemeClr w14:val="tx1"/>
            </w14:solidFill>
          </w14:textFill>
        </w:rPr>
        <w:t>（三）存在问题</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spacing w:before="0" w:beforeLines="0" w:afterLines="0" w:line="560" w:lineRule="exact"/>
        <w:ind w:left="0" w:leftChars="0" w:right="0" w:rightChars="0" w:firstLine="640" w:firstLineChars="200"/>
        <w:jc w:val="both"/>
        <w:textAlignment w:val="auto"/>
        <w:outlineLvl w:val="9"/>
        <w:rPr>
          <w:rFonts w:hint="eastAsia" w:ascii="仿宋" w:hAnsi="仿宋" w:eastAsia="仿宋" w:cs="仿宋"/>
          <w:b w:val="0"/>
          <w:bCs w:val="0"/>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我市积极贯彻落实上级有关国有资产重大决策部署和方针政策，虽然在金融企业国有资产管理体制、运行机制、管理方式及信息化建设等方面未出现重大问题，</w:t>
      </w:r>
      <w:r>
        <w:rPr>
          <w:rFonts w:hint="eastAsia" w:ascii="仿宋" w:hAnsi="仿宋" w:eastAsia="仿宋" w:cs="仿宋"/>
          <w:color w:val="000000" w:themeColor="text1"/>
          <w:sz w:val="32"/>
          <w:szCs w:val="32"/>
          <w:highlight w:val="none"/>
          <w:lang w:eastAsia="zh-CN"/>
          <w14:textFill>
            <w14:solidFill>
              <w14:schemeClr w14:val="tx1"/>
            </w14:solidFill>
          </w14:textFill>
        </w:rPr>
        <w:t>但是在推进国有金融资产管理方面还存在不足之处。</w:t>
      </w:r>
      <w:r>
        <w:rPr>
          <w:rFonts w:hint="eastAsia" w:ascii="仿宋" w:hAnsi="仿宋" w:eastAsia="仿宋" w:cs="仿宋"/>
          <w:b/>
          <w:bCs/>
          <w:color w:val="000000" w:themeColor="text1"/>
          <w:sz w:val="32"/>
          <w:szCs w:val="32"/>
          <w:highlight w:val="none"/>
          <w:lang w:eastAsia="zh-CN"/>
          <w14:textFill>
            <w14:solidFill>
              <w14:schemeClr w14:val="tx1"/>
            </w14:solidFill>
          </w14:textFill>
        </w:rPr>
        <w:t>一是</w:t>
      </w:r>
      <w:r>
        <w:rPr>
          <w:rFonts w:hint="eastAsia" w:ascii="仿宋" w:hAnsi="仿宋" w:eastAsia="仿宋" w:cs="仿宋"/>
          <w:color w:val="000000" w:themeColor="text1"/>
          <w:sz w:val="32"/>
          <w:szCs w:val="32"/>
          <w:highlight w:val="none"/>
          <w:lang w:eastAsia="zh-CN"/>
          <w14:textFill>
            <w14:solidFill>
              <w14:schemeClr w14:val="tx1"/>
            </w14:solidFill>
          </w14:textFill>
        </w:rPr>
        <w:t>制度体系建设还需加强。2019年以来，国务院办公厅、省政府办公厅和我市分别印发了《国有金融资本出资人职责暂行规定》，但国家和省级层面还未出台国有金融资本管理方面有关法律法规，国有金融资本管理体制建设相对缓慢。</w:t>
      </w:r>
      <w:r>
        <w:rPr>
          <w:rFonts w:hint="eastAsia" w:ascii="仿宋" w:hAnsi="仿宋" w:eastAsia="仿宋" w:cs="仿宋"/>
          <w:b/>
          <w:bCs/>
          <w:color w:val="000000" w:themeColor="text1"/>
          <w:sz w:val="32"/>
          <w:szCs w:val="32"/>
          <w:highlight w:val="none"/>
          <w:lang w:eastAsia="zh-CN"/>
          <w14:textFill>
            <w14:solidFill>
              <w14:schemeClr w14:val="tx1"/>
            </w14:solidFill>
          </w14:textFill>
        </w:rPr>
        <w:t>二是</w:t>
      </w:r>
      <w:r>
        <w:rPr>
          <w:rFonts w:hint="eastAsia" w:ascii="仿宋" w:hAnsi="仿宋" w:eastAsia="仿宋" w:cs="仿宋"/>
          <w:color w:val="000000" w:themeColor="text1"/>
          <w:sz w:val="32"/>
          <w:szCs w:val="32"/>
          <w:highlight w:val="none"/>
          <w:lang w:eastAsia="zh-CN"/>
          <w14:textFill>
            <w14:solidFill>
              <w14:schemeClr w14:val="tx1"/>
            </w14:solidFill>
          </w14:textFill>
        </w:rPr>
        <w:t>地方金融企业国有资产规模较小。从行业布局看，全市金融企业国有资本主要集中在银行类、信用社类及担保类金融企业；从地区分布看，金融企业国有资本主要集中在市级，行业布局和地区分布不均。全市国有金融企业仅有</w:t>
      </w:r>
      <w:r>
        <w:rPr>
          <w:rFonts w:hint="eastAsia" w:ascii="仿宋" w:hAnsi="仿宋" w:eastAsia="仿宋" w:cs="仿宋"/>
          <w:color w:val="000000" w:themeColor="text1"/>
          <w:sz w:val="32"/>
          <w:szCs w:val="32"/>
          <w:highlight w:val="none"/>
          <w:lang w:val="en-US" w:eastAsia="zh-CN"/>
          <w14:textFill>
            <w14:solidFill>
              <w14:schemeClr w14:val="tx1"/>
            </w14:solidFill>
          </w14:textFill>
        </w:rPr>
        <w:t>8</w:t>
      </w:r>
      <w:r>
        <w:rPr>
          <w:rFonts w:hint="eastAsia" w:ascii="仿宋" w:hAnsi="仿宋" w:eastAsia="仿宋" w:cs="仿宋"/>
          <w:color w:val="000000" w:themeColor="text1"/>
          <w:sz w:val="32"/>
          <w:szCs w:val="32"/>
          <w:highlight w:val="none"/>
          <w:lang w:eastAsia="zh-CN"/>
          <w14:textFill>
            <w14:solidFill>
              <w14:schemeClr w14:val="tx1"/>
            </w14:solidFill>
          </w14:textFill>
        </w:rPr>
        <w:t>家，除邢台银行外，其它金融企业资产规模较小，亟待发展壮大。</w:t>
      </w:r>
      <w:r>
        <w:rPr>
          <w:rFonts w:hint="eastAsia" w:ascii="仿宋" w:hAnsi="仿宋" w:eastAsia="仿宋" w:cs="仿宋"/>
          <w:b/>
          <w:bCs/>
          <w:color w:val="000000" w:themeColor="text1"/>
          <w:sz w:val="32"/>
          <w:szCs w:val="32"/>
          <w:highlight w:val="none"/>
          <w:lang w:eastAsia="zh-CN"/>
          <w14:textFill>
            <w14:solidFill>
              <w14:schemeClr w14:val="tx1"/>
            </w14:solidFill>
          </w14:textFill>
        </w:rPr>
        <w:t>三是</w:t>
      </w:r>
      <w:r>
        <w:rPr>
          <w:rFonts w:hint="eastAsia" w:ascii="仿宋" w:hAnsi="仿宋" w:eastAsia="仿宋" w:cs="仿宋"/>
          <w:color w:val="000000" w:themeColor="text1"/>
          <w:sz w:val="32"/>
          <w:szCs w:val="32"/>
          <w:highlight w:val="none"/>
          <w:lang w:eastAsia="zh-CN"/>
          <w14:textFill>
            <w14:solidFill>
              <w14:schemeClr w14:val="tx1"/>
            </w14:solidFill>
          </w14:textFill>
        </w:rPr>
        <w:t>风险控制体系有待完善。受经济下行等因素影响，金融领域潜在风险有所增加，信用风险、流动性风险和信息科技风险逐步显现，我市金融企业风险防范意识和管理能力还相对较弱，企业内部风险控制体系还需进一步完善。</w:t>
      </w:r>
      <w:r>
        <w:rPr>
          <w:rFonts w:hint="eastAsia" w:ascii="仿宋" w:hAnsi="仿宋" w:eastAsia="仿宋" w:cs="仿宋"/>
          <w:b/>
          <w:bCs/>
          <w:color w:val="000000" w:themeColor="text1"/>
          <w:sz w:val="32"/>
          <w:szCs w:val="32"/>
          <w:highlight w:val="none"/>
          <w:lang w:eastAsia="zh-CN"/>
          <w14:textFill>
            <w14:solidFill>
              <w14:schemeClr w14:val="tx1"/>
            </w14:solidFill>
          </w14:textFill>
        </w:rPr>
        <w:t>四是</w:t>
      </w:r>
      <w:r>
        <w:rPr>
          <w:rFonts w:hint="eastAsia" w:ascii="仿宋" w:hAnsi="仿宋" w:eastAsia="仿宋" w:cs="仿宋"/>
          <w:b w:val="0"/>
          <w:bCs w:val="0"/>
          <w:color w:val="000000" w:themeColor="text1"/>
          <w:sz w:val="32"/>
          <w:szCs w:val="32"/>
          <w:highlight w:val="none"/>
          <w:lang w:eastAsia="zh-CN"/>
          <w14:textFill>
            <w14:solidFill>
              <w14:schemeClr w14:val="tx1"/>
            </w14:solidFill>
          </w14:textFill>
        </w:rPr>
        <w:t>我市部分信用社类金融企业由于受利率市场化进程加快、</w:t>
      </w:r>
      <w:r>
        <w:rPr>
          <w:rFonts w:hint="eastAsia" w:ascii="仿宋" w:hAnsi="仿宋" w:eastAsia="仿宋" w:cs="仿宋"/>
          <w:b w:val="0"/>
          <w:bCs w:val="0"/>
          <w:color w:val="000000" w:themeColor="text1"/>
          <w:kern w:val="2"/>
          <w:sz w:val="32"/>
          <w:szCs w:val="32"/>
          <w:highlight w:val="none"/>
          <w:lang w:val="en-US" w:eastAsia="zh-CN" w:bidi="ar-SA"/>
          <w14:textFill>
            <w14:solidFill>
              <w14:schemeClr w14:val="tx1"/>
            </w14:solidFill>
          </w14:textFill>
        </w:rPr>
        <w:t>经济紧缩、专项债券还本付息支出较多等因素影响，信用风险增加，利润空间变窄。</w:t>
      </w:r>
      <w:r>
        <w:rPr>
          <w:rFonts w:hint="eastAsia" w:ascii="仿宋" w:hAnsi="仿宋" w:eastAsia="仿宋" w:cs="仿宋"/>
          <w:b/>
          <w:bCs/>
          <w:color w:val="000000" w:themeColor="text1"/>
          <w:sz w:val="32"/>
          <w:szCs w:val="32"/>
          <w:highlight w:val="none"/>
          <w:lang w:eastAsia="zh-CN"/>
          <w14:textFill>
            <w14:solidFill>
              <w14:schemeClr w14:val="tx1"/>
            </w14:solidFill>
          </w14:textFill>
        </w:rPr>
        <w:t>五是</w:t>
      </w:r>
      <w:r>
        <w:rPr>
          <w:rFonts w:hint="eastAsia" w:ascii="仿宋" w:hAnsi="仿宋" w:eastAsia="仿宋" w:cs="仿宋"/>
          <w:b w:val="0"/>
          <w:bCs w:val="0"/>
          <w:color w:val="000000" w:themeColor="text1"/>
          <w:sz w:val="32"/>
          <w:szCs w:val="32"/>
          <w:highlight w:val="none"/>
          <w:lang w:eastAsia="zh-CN"/>
          <w14:textFill>
            <w14:solidFill>
              <w14:schemeClr w14:val="tx1"/>
            </w14:solidFill>
          </w14:textFill>
        </w:rPr>
        <w:t>我市部分担保类金融企业服务对象以小微企业居多，且小微企业普遍存在管理不规范、企业信息公布不及时、抵抗风险能力差的情况，存在担保损失风险。</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rPr>
          <w:rFonts w:hint="eastAsia" w:ascii="楷体_GB2312" w:hAnsi="楷体_GB2312" w:eastAsia="楷体_GB2312" w:cs="楷体_GB2312"/>
          <w:b/>
          <w:bCs/>
          <w:color w:val="000000" w:themeColor="text1"/>
          <w:sz w:val="32"/>
          <w:szCs w:val="32"/>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eastAsia="zh-CN"/>
          <w14:textFill>
            <w14:solidFill>
              <w14:schemeClr w14:val="tx1"/>
            </w14:solidFill>
          </w14:textFill>
        </w:rPr>
        <w:t>（四）下一步工作措施</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spacing w:before="0" w:beforeLines="0" w:afterLines="0" w:line="560" w:lineRule="exact"/>
        <w:ind w:left="0" w:leftChars="0" w:right="0" w:rightChars="0" w:firstLine="640" w:firstLineChars="200"/>
        <w:jc w:val="both"/>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下一步，</w:t>
      </w:r>
      <w:r>
        <w:rPr>
          <w:rFonts w:hint="eastAsia" w:ascii="仿宋" w:hAnsi="仿宋" w:eastAsia="仿宋" w:cs="仿宋"/>
          <w:color w:val="000000" w:themeColor="text1"/>
          <w:sz w:val="32"/>
          <w:szCs w:val="32"/>
          <w:highlight w:val="none"/>
          <w:lang w:val="en-US" w:eastAsia="zh-CN"/>
          <w14:textFill>
            <w14:solidFill>
              <w14:schemeClr w14:val="tx1"/>
            </w14:solidFill>
          </w14:textFill>
        </w:rPr>
        <w:t>我市将</w:t>
      </w:r>
      <w:r>
        <w:rPr>
          <w:rFonts w:hint="eastAsia" w:ascii="仿宋" w:hAnsi="仿宋" w:eastAsia="仿宋" w:cs="仿宋"/>
          <w:color w:val="000000" w:themeColor="text1"/>
          <w:sz w:val="32"/>
          <w:szCs w:val="32"/>
          <w:highlight w:val="none"/>
          <w:lang w:eastAsia="zh-CN"/>
          <w14:textFill>
            <w14:solidFill>
              <w14:schemeClr w14:val="tx1"/>
            </w14:solidFill>
          </w14:textFill>
        </w:rPr>
        <w:t>严格贯彻落实</w:t>
      </w:r>
      <w:r>
        <w:rPr>
          <w:rFonts w:hint="eastAsia" w:ascii="仿宋" w:hAnsi="仿宋" w:eastAsia="仿宋" w:cs="仿宋"/>
          <w:color w:val="000000" w:themeColor="text1"/>
          <w:sz w:val="32"/>
          <w:szCs w:val="32"/>
          <w:highlight w:val="none"/>
          <w:lang w:val="en-US" w:eastAsia="zh-CN"/>
          <w14:textFill>
            <w14:solidFill>
              <w14:schemeClr w14:val="tx1"/>
            </w14:solidFill>
          </w14:textFill>
        </w:rPr>
        <w:t>党的二十大、</w:t>
      </w:r>
      <w:r>
        <w:rPr>
          <w:rFonts w:hint="eastAsia" w:ascii="仿宋" w:hAnsi="仿宋" w:eastAsia="仿宋" w:cs="仿宋"/>
          <w:color w:val="000000" w:themeColor="text1"/>
          <w:sz w:val="32"/>
          <w:szCs w:val="32"/>
          <w:highlight w:val="none"/>
          <w:lang w:eastAsia="zh-CN"/>
          <w14:textFill>
            <w14:solidFill>
              <w14:schemeClr w14:val="tx1"/>
            </w14:solidFill>
          </w14:textFill>
        </w:rPr>
        <w:t>国家十四五规划、中央经济工作会议及相关金融工作会议精神，做好金融支持实体经济，完整、准确、全面贯彻新发展理念，加快构建新发展格局，统筹发展与安全，坚定不移走高质量安全发展之路。</w:t>
      </w: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一是</w:t>
      </w:r>
      <w:r>
        <w:rPr>
          <w:rFonts w:hint="eastAsia" w:ascii="仿宋" w:hAnsi="仿宋" w:eastAsia="仿宋" w:cs="仿宋"/>
          <w:color w:val="000000" w:themeColor="text1"/>
          <w:sz w:val="32"/>
          <w:szCs w:val="32"/>
          <w:highlight w:val="none"/>
          <w:lang w:val="en-US" w:eastAsia="zh-CN"/>
          <w14:textFill>
            <w14:solidFill>
              <w14:schemeClr w14:val="tx1"/>
            </w14:solidFill>
          </w14:textFill>
        </w:rPr>
        <w:t>积极引导市级金融企业支持我市传统产业转型升级，助力新兴产业发展壮大。重点支持服务我市制造业、高新技术产业、专精特新、京津冀协同发展及省、市级重点项目。</w:t>
      </w: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二是</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积极</w:t>
      </w:r>
      <w:r>
        <w:rPr>
          <w:rFonts w:hint="eastAsia" w:ascii="仿宋" w:hAnsi="仿宋" w:eastAsia="仿宋" w:cs="仿宋"/>
          <w:color w:val="000000" w:themeColor="text1"/>
          <w:sz w:val="32"/>
          <w:szCs w:val="32"/>
          <w:highlight w:val="none"/>
          <w:lang w:val="en-US" w:eastAsia="zh-CN"/>
          <w14:textFill>
            <w14:solidFill>
              <w14:schemeClr w14:val="tx1"/>
            </w14:solidFill>
          </w14:textFill>
        </w:rPr>
        <w:t>发挥县级金融企业服务“三农”、立足小微的优势，重点支持符合产业政策的“三农”和小微企业，不断提高服务实体经济的能力和水平。</w:t>
      </w: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三是</w:t>
      </w: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充分发挥政府性融资担保企业杠杆撬动作用，</w:t>
      </w:r>
      <w:r>
        <w:rPr>
          <w:rFonts w:hint="eastAsia" w:ascii="仿宋" w:hAnsi="仿宋" w:eastAsia="仿宋" w:cs="仿宋"/>
          <w:color w:val="000000" w:themeColor="text1"/>
          <w:sz w:val="32"/>
          <w:szCs w:val="32"/>
          <w:highlight w:val="none"/>
          <w:lang w:eastAsia="zh-CN"/>
          <w14:textFill>
            <w14:solidFill>
              <w14:schemeClr w14:val="tx1"/>
            </w14:solidFill>
          </w14:textFill>
        </w:rPr>
        <w:t>着力改善小微企业、“三农”、</w:t>
      </w: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个体工商户</w:t>
      </w:r>
      <w:r>
        <w:rPr>
          <w:rFonts w:hint="eastAsia" w:ascii="仿宋" w:hAnsi="仿宋" w:eastAsia="仿宋" w:cs="仿宋"/>
          <w:color w:val="000000" w:themeColor="text1"/>
          <w:sz w:val="32"/>
          <w:szCs w:val="32"/>
          <w:highlight w:val="none"/>
          <w:lang w:val="en-US" w:eastAsia="zh-CN"/>
          <w14:textFill>
            <w14:solidFill>
              <w14:schemeClr w14:val="tx1"/>
            </w14:solidFill>
          </w14:textFill>
        </w:rPr>
        <w:t>“融资难、融资贵”问题，积极为资金困难企业提供纾困担保，稳定就业岗位，助力企业发展。</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spacing w:before="0" w:beforeLines="0" w:afterLines="0" w:line="560" w:lineRule="exact"/>
        <w:ind w:left="0" w:leftChars="0" w:right="0" w:rightChars="0" w:firstLine="616" w:firstLineChars="200"/>
        <w:jc w:val="both"/>
        <w:textAlignment w:val="auto"/>
        <w:outlineLvl w:val="9"/>
        <w:rPr>
          <w:rFonts w:hint="eastAsia" w:ascii="黑体" w:hAnsi="黑体" w:eastAsia="黑体" w:cs="黑体"/>
          <w:color w:val="000000" w:themeColor="text1"/>
          <w:spacing w:val="-6"/>
          <w:sz w:val="32"/>
          <w:szCs w:val="32"/>
          <w:lang w:eastAsia="zh-CN"/>
          <w14:textFill>
            <w14:solidFill>
              <w14:schemeClr w14:val="tx1"/>
            </w14:solidFill>
          </w14:textFill>
        </w:rPr>
      </w:pPr>
      <w:r>
        <w:rPr>
          <w:rFonts w:hint="eastAsia" w:ascii="黑体" w:hAnsi="黑体" w:eastAsia="黑体" w:cs="黑体"/>
          <w:color w:val="000000" w:themeColor="text1"/>
          <w:spacing w:val="-6"/>
          <w:sz w:val="32"/>
          <w:szCs w:val="32"/>
          <w:lang w:eastAsia="zh-CN"/>
          <w14:textFill>
            <w14:solidFill>
              <w14:schemeClr w14:val="tx1"/>
            </w14:solidFill>
          </w14:textFill>
        </w:rPr>
        <w:t>三、全市行政事业性国有资产管理情况</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（一）全市行政事业性国有资产基本情况</w:t>
      </w:r>
    </w:p>
    <w:p>
      <w:pPr>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spacing w:before="0" w:beforeLines="0" w:afterLines="0" w:line="560" w:lineRule="exact"/>
        <w:ind w:left="0" w:leftChars="0" w:right="0" w:rightChars="0" w:firstLine="640" w:firstLineChars="200"/>
        <w:jc w:val="both"/>
        <w:textAlignment w:val="auto"/>
        <w:outlineLvl w:val="9"/>
        <w:rPr>
          <w:rFonts w:hint="eastAsia" w:ascii="仿宋" w:hAnsi="仿宋" w:eastAsia="仿宋" w:cs="仿宋"/>
          <w:color w:val="000000" w:themeColor="text1"/>
          <w:kern w:val="2"/>
          <w:sz w:val="32"/>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2"/>
          <w:szCs w:val="24"/>
          <w:highlight w:val="none"/>
          <w:lang w:val="en-US" w:eastAsia="zh-CN" w:bidi="ar-SA"/>
          <w14:textFill>
            <w14:solidFill>
              <w14:schemeClr w14:val="tx1"/>
            </w14:solidFill>
          </w14:textFill>
        </w:rPr>
        <w:t>截至2024年底，全市行政事业性资产总额1383.01亿元，较上年增加434.05 亿元，增长45.74%;负债总额138.89亿元，较上年增加2.12亿元，增长1.55%;净资产1244.12亿元，较上年增加431.98亿元，增长53.19%。其中：流动资产171.61亿元，固定资产307.36亿元，在建工程480.49亿元，无形资产20.58亿元，公共基础设施372.99亿元，政府储备物资1.65亿元，保障性住房24.85亿元，其他资产3.48亿元。市本级资产总额为527.58亿元，县市区资产总额为855.43亿元。</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（二）行政事业性国有资产管理工作情况</w:t>
      </w:r>
    </w:p>
    <w:p>
      <w:pPr>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spacing w:before="0" w:beforeLines="0" w:afterLines="0" w:line="560" w:lineRule="exact"/>
        <w:ind w:left="0" w:leftChars="0" w:right="0" w:rightChars="0" w:firstLine="640" w:firstLineChars="200"/>
        <w:jc w:val="both"/>
        <w:textAlignment w:val="auto"/>
        <w:outlineLvl w:val="9"/>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1.抓顶层设计,在健全资产管理制度体系上下功夫。持续推进资产管理制度建设，促进资产管理监督规范化,进一步规范了资产配置、使用、处置、收入管理，建立了国有资产管理全生命周期制度体系。</w:t>
      </w:r>
      <w:r>
        <w:rPr>
          <w:rFonts w:hint="eastAsia" w:ascii="仿宋" w:hAnsi="仿宋" w:eastAsia="仿宋" w:cs="仿宋"/>
          <w:b/>
          <w:bCs/>
          <w:color w:val="000000" w:themeColor="text1"/>
          <w:kern w:val="2"/>
          <w:sz w:val="32"/>
          <w:szCs w:val="32"/>
          <w:highlight w:val="none"/>
          <w:lang w:val="en-US" w:eastAsia="zh-CN" w:bidi="ar-SA"/>
          <w14:textFill>
            <w14:solidFill>
              <w14:schemeClr w14:val="tx1"/>
            </w14:solidFill>
          </w14:textFill>
        </w:rPr>
        <w:t>一是</w:t>
      </w: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2024年印发了《邢台市市级行政事业单位国有资产使用管理办法》《邢台市市级行政事业单位国有资产出租出借管理暂行办法》。</w:t>
      </w:r>
      <w:r>
        <w:rPr>
          <w:rFonts w:hint="eastAsia" w:ascii="仿宋" w:hAnsi="仿宋" w:eastAsia="仿宋" w:cs="仿宋"/>
          <w:b/>
          <w:bCs/>
          <w:color w:val="000000" w:themeColor="text1"/>
          <w:kern w:val="2"/>
          <w:sz w:val="32"/>
          <w:szCs w:val="32"/>
          <w:highlight w:val="none"/>
          <w:lang w:val="en-US" w:eastAsia="zh-CN" w:bidi="ar-SA"/>
          <w14:textFill>
            <w14:solidFill>
              <w14:schemeClr w14:val="tx1"/>
            </w14:solidFill>
          </w14:textFill>
        </w:rPr>
        <w:t>二是</w:t>
      </w: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规范公共基础设施等资产管理,建立健全财政部门与行业主管部门相互配合、协调联动的工作机制，转发了省财政厅《河北省国有文物资源资产管理实施（暂行）办法》、转发省财政厅 省水利厅《关于贯彻落实&lt;水文技术装备专用资产配置标准（试行）、转发省财政厅等六部门《关于加强市政基础设施资产管理的通知》、转发省财政厅 河北省发展和改革委员会关于贯彻落实财政部 国家发展改革委《政府储备物资资产报告管理办法》，进一步规范了公共基础设施等资产管理全生命周期制度。</w:t>
      </w:r>
    </w:p>
    <w:p>
      <w:pPr>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spacing w:before="0" w:beforeLines="0" w:afterLines="0" w:line="560" w:lineRule="exact"/>
        <w:ind w:left="0" w:leftChars="0" w:right="0" w:rightChars="0" w:firstLine="640" w:firstLineChars="200"/>
        <w:jc w:val="both"/>
        <w:textAlignment w:val="auto"/>
        <w:outlineLvl w:val="9"/>
        <w:rPr>
          <w:rFonts w:hint="eastAsia" w:ascii="仿宋" w:hAnsi="仿宋" w:eastAsia="仿宋" w:cs="仿宋"/>
          <w:color w:val="000000" w:themeColor="text1"/>
          <w:kern w:val="2"/>
          <w:sz w:val="32"/>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2"/>
          <w:szCs w:val="24"/>
          <w:highlight w:val="none"/>
          <w:lang w:val="en-US" w:eastAsia="zh-CN" w:bidi="ar-SA"/>
          <w14:textFill>
            <w14:solidFill>
              <w14:schemeClr w14:val="tx1"/>
            </w14:solidFill>
          </w14:textFill>
        </w:rPr>
        <w:t>2.抓日常管理，在强化国有资产管理基础上出实招。根据省财政厅要求，结合我市实际情况，印发了《关于进一步夯实行政事业性国有资产数据基础提升资产报告质量的通知》《关于加强政府投资形成资产登记入账的通知》《关于规范建养单位不一致项目形成资产登记入账的通知》等规范性文件，全市各部门单位通过清理盘点等手段，对单位各项资产及相关账目、资金使用和管理情况进行全面清理、核对和查实，进一步强化了资金形成资产全过程及时登记，在建工程及时记账，做好了已投入使用在建工程转固定资产处理，逐条核实并修改了闲置、待处置状态资产，规范了资产分类，把应记公共基础设施等科目的资产从固定资产调出，为进一步规范全市资产数据管理工作奠定基础。</w:t>
      </w:r>
    </w:p>
    <w:p>
      <w:pPr>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pacing w:before="0" w:beforeLines="0" w:afterLines="0" w:line="560" w:lineRule="exact"/>
        <w:ind w:left="0" w:leftChars="0" w:right="0" w:rightChars="0" w:firstLine="640" w:firstLineChars="200"/>
        <w:jc w:val="both"/>
        <w:textAlignment w:val="auto"/>
        <w:rPr>
          <w:rFonts w:hint="eastAsia" w:ascii="仿宋" w:hAnsi="仿宋" w:eastAsia="仿宋" w:cs="仿宋"/>
          <w:color w:val="000000" w:themeColor="text1"/>
          <w:kern w:val="2"/>
          <w:sz w:val="32"/>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2"/>
          <w:szCs w:val="24"/>
          <w:highlight w:val="none"/>
          <w:lang w:val="en-US" w:eastAsia="zh-CN" w:bidi="ar-SA"/>
          <w14:textFill>
            <w14:solidFill>
              <w14:schemeClr w14:val="tx1"/>
            </w14:solidFill>
          </w14:textFill>
        </w:rPr>
        <w:t>3.抓盘活资产，在提升资产使用效率上求突破。</w:t>
      </w:r>
      <w:r>
        <w:rPr>
          <w:rFonts w:hint="eastAsia" w:ascii="仿宋" w:hAnsi="仿宋" w:eastAsia="仿宋" w:cs="仿宋"/>
          <w:b/>
          <w:bCs/>
          <w:color w:val="000000" w:themeColor="text1"/>
          <w:kern w:val="2"/>
          <w:sz w:val="32"/>
          <w:szCs w:val="24"/>
          <w:highlight w:val="none"/>
          <w:lang w:val="en-US" w:eastAsia="zh-CN" w:bidi="ar-SA"/>
          <w14:textFill>
            <w14:solidFill>
              <w14:schemeClr w14:val="tx1"/>
            </w14:solidFill>
          </w14:textFill>
        </w:rPr>
        <w:t>一是</w:t>
      </w:r>
      <w:r>
        <w:rPr>
          <w:rFonts w:hint="eastAsia" w:ascii="仿宋" w:hAnsi="仿宋" w:eastAsia="仿宋" w:cs="仿宋"/>
          <w:color w:val="000000" w:themeColor="text1"/>
          <w:kern w:val="2"/>
          <w:sz w:val="32"/>
          <w:szCs w:val="24"/>
          <w:highlight w:val="none"/>
          <w:lang w:val="en-US" w:eastAsia="zh-CN" w:bidi="ar-SA"/>
          <w14:textFill>
            <w14:solidFill>
              <w14:schemeClr w14:val="tx1"/>
            </w14:solidFill>
          </w14:textFill>
        </w:rPr>
        <w:t>组织开展了全市行政事业单位国有资产盘活工作。成立工作专班，印发了《2024年度市级行政事业单位国有资产盘活工作实施方案》，组织各部门单位系统梳理存量资产情况，分类制定盘活措施，有序开展盘活工作。截至2024年底，全市已盘活资产原值总计29549.02万元，盘活资产上缴财政收入32825.82万元。</w:t>
      </w:r>
      <w:r>
        <w:rPr>
          <w:rFonts w:hint="eastAsia" w:ascii="仿宋" w:hAnsi="仿宋" w:eastAsia="仿宋" w:cs="仿宋"/>
          <w:b/>
          <w:bCs/>
          <w:color w:val="000000" w:themeColor="text1"/>
          <w:kern w:val="2"/>
          <w:sz w:val="32"/>
          <w:szCs w:val="24"/>
          <w:highlight w:val="none"/>
          <w:lang w:val="en-US" w:eastAsia="zh-CN" w:bidi="ar-SA"/>
          <w14:textFill>
            <w14:solidFill>
              <w14:schemeClr w14:val="tx1"/>
            </w14:solidFill>
          </w14:textFill>
        </w:rPr>
        <w:t>二是</w:t>
      </w:r>
      <w:r>
        <w:rPr>
          <w:rFonts w:hint="eastAsia" w:ascii="仿宋" w:hAnsi="仿宋" w:eastAsia="仿宋" w:cs="仿宋"/>
          <w:color w:val="000000" w:themeColor="text1"/>
          <w:kern w:val="2"/>
          <w:sz w:val="32"/>
          <w:szCs w:val="24"/>
          <w:highlight w:val="none"/>
          <w:lang w:val="en-US" w:eastAsia="zh-CN" w:bidi="ar-SA"/>
          <w14:textFill>
            <w14:solidFill>
              <w14:schemeClr w14:val="tx1"/>
            </w14:solidFill>
          </w14:textFill>
        </w:rPr>
        <w:t>全力推进市级公物仓建设。市财政局、市机关后勤服务联合印发了《邢台市市级公物仓管理办法（试行）》。市级公物仓建设采取虚拟仓与实体仓相结合的方式，市级公物仓自2023年8月运行以来，已接收国有资产3157件，价值861.34万元，已调剂资产516件，节省财政资金127.98万元。</w:t>
      </w:r>
    </w:p>
    <w:p>
      <w:pPr>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spacing w:before="0" w:beforeLines="0" w:afterLines="0" w:line="560" w:lineRule="exact"/>
        <w:ind w:left="0" w:leftChars="0" w:right="0" w:rightChars="0" w:firstLine="640" w:firstLineChars="200"/>
        <w:jc w:val="both"/>
        <w:textAlignment w:val="auto"/>
        <w:outlineLvl w:val="9"/>
        <w:rPr>
          <w:rFonts w:hint="eastAsia" w:ascii="仿宋" w:hAnsi="仿宋" w:eastAsia="仿宋" w:cs="仿宋"/>
          <w:color w:val="000000" w:themeColor="text1"/>
          <w:kern w:val="2"/>
          <w:sz w:val="32"/>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2"/>
          <w:szCs w:val="24"/>
          <w:highlight w:val="none"/>
          <w:lang w:val="en-US" w:eastAsia="zh-CN" w:bidi="ar-SA"/>
          <w14:textFill>
            <w14:solidFill>
              <w14:schemeClr w14:val="tx1"/>
            </w14:solidFill>
          </w14:textFill>
        </w:rPr>
        <w:t>4.抓创新突破，在探索试行公务用车“以租代购”，节约财政资金上做文章。以绿色低碳、节约可控为目标，大力推广使用新能源车，市财政局联合市机关后勤服务中心在市本级探索推进试行新能源车“以租代购”工作。5月16日联合印发了《邢台市市直单位编制内租赁新能源汽车管理使用办法（暂行）》。目前首批新能源车租赁正在审批办理中，共计有市交通局等13家单位租赁新能源车68辆，据测算，整体费用较传统公务出行费用可节省10%以上。</w:t>
      </w:r>
    </w:p>
    <w:p>
      <w:pPr>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spacing w:before="0" w:beforeLines="0" w:afterLines="0" w:line="560" w:lineRule="exact"/>
        <w:ind w:left="0" w:leftChars="0" w:right="0" w:rightChars="0" w:firstLine="640" w:firstLineChars="200"/>
        <w:jc w:val="both"/>
        <w:textAlignment w:val="auto"/>
        <w:outlineLvl w:val="9"/>
        <w:rPr>
          <w:rFonts w:hint="eastAsia" w:ascii="仿宋" w:hAnsi="仿宋" w:eastAsia="仿宋" w:cs="仿宋"/>
          <w:color w:val="000000" w:themeColor="text1"/>
          <w:kern w:val="2"/>
          <w:sz w:val="32"/>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2"/>
          <w:szCs w:val="24"/>
          <w:highlight w:val="none"/>
          <w:lang w:val="en-US" w:eastAsia="zh-CN" w:bidi="ar-SA"/>
          <w14:textFill>
            <w14:solidFill>
              <w14:schemeClr w14:val="tx1"/>
            </w14:solidFill>
          </w14:textFill>
        </w:rPr>
        <w:t>5.抓重点资产，在巩固资产管理成果上见实效。为全面摸清市本级行政事业单位重点资产家底，市财政局联合市机关后勤服务中心开展市直行政事业单位土地、房屋等资产清查工作。本次清查对281家行政事业单位进行摸排，有土地、房屋信息的共有165家单位，土地面积59517.22亩，房屋建筑面积372.63万平方米。通过此次清查摸清了市本级行政事业单位土地、房屋资产家底，完善了资产管理系统的重点资产数据，确保资产动态管理，为土地、房屋资产管理奠定了基础。</w:t>
      </w:r>
    </w:p>
    <w:p>
      <w:pPr>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spacing w:before="0" w:beforeLines="0" w:afterLines="0" w:line="560" w:lineRule="exact"/>
        <w:ind w:left="0" w:leftChars="0" w:right="0" w:rightChars="0" w:firstLine="640" w:firstLineChars="200"/>
        <w:jc w:val="both"/>
        <w:textAlignment w:val="auto"/>
        <w:outlineLvl w:val="9"/>
        <w:rPr>
          <w:rFonts w:hint="eastAsia" w:ascii="仿宋" w:hAnsi="仿宋" w:eastAsia="仿宋" w:cs="仿宋"/>
          <w:color w:val="000000" w:themeColor="text1"/>
          <w:kern w:val="2"/>
          <w:sz w:val="32"/>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2"/>
          <w:szCs w:val="24"/>
          <w:highlight w:val="none"/>
          <w:lang w:val="en-US" w:eastAsia="zh-CN" w:bidi="ar-SA"/>
          <w14:textFill>
            <w14:solidFill>
              <w14:schemeClr w14:val="tx1"/>
            </w14:solidFill>
          </w14:textFill>
        </w:rPr>
        <w:t>6.抓重点资产，在巩固资产管理成果上见实效。为全面摸清市本级行政事业单位重点资产家底，市财政局联合市机关后勤服务中心开展市直行政事业单位土地、房屋等资产清查工作。本次清查对281家行政事业单位进行摸排，有土地、房屋信息的共有165家单位，土地面积59517.22亩，房屋建筑面积372.63万平方米。通过此次清查摸清了市本级行政事业单位土地、房屋资产家底，完善了资产管理系统的重点资产数据，确保资产动态管理，为土地、房屋资产管理奠定了基础。</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（三）存在问题</w:t>
      </w:r>
    </w:p>
    <w:p>
      <w:pPr>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spacing w:before="0" w:beforeLines="0" w:afterLines="0" w:line="560" w:lineRule="exact"/>
        <w:ind w:left="0" w:leftChars="0" w:right="0" w:rightChars="0" w:firstLine="643" w:firstLineChars="200"/>
        <w:jc w:val="both"/>
        <w:textAlignment w:val="auto"/>
        <w:outlineLvl w:val="9"/>
        <w:rPr>
          <w:rFonts w:hint="eastAsia" w:ascii="仿宋" w:hAnsi="仿宋" w:eastAsia="仿宋" w:cs="仿宋"/>
          <w:color w:val="000000" w:themeColor="text1"/>
          <w:kern w:val="2"/>
          <w:sz w:val="32"/>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kern w:val="2"/>
          <w:sz w:val="32"/>
          <w:szCs w:val="24"/>
          <w:highlight w:val="none"/>
          <w:lang w:val="en-US" w:eastAsia="zh-CN" w:bidi="ar-SA"/>
          <w14:textFill>
            <w14:solidFill>
              <w14:schemeClr w14:val="tx1"/>
            </w14:solidFill>
          </w14:textFill>
        </w:rPr>
        <w:t>一是</w:t>
      </w:r>
      <w:r>
        <w:rPr>
          <w:rFonts w:hint="eastAsia" w:ascii="仿宋" w:hAnsi="仿宋" w:eastAsia="仿宋" w:cs="仿宋"/>
          <w:color w:val="000000" w:themeColor="text1"/>
          <w:kern w:val="2"/>
          <w:sz w:val="32"/>
          <w:szCs w:val="24"/>
          <w:highlight w:val="none"/>
          <w:lang w:val="en-US" w:eastAsia="zh-CN" w:bidi="ar-SA"/>
          <w14:textFill>
            <w14:solidFill>
              <w14:schemeClr w14:val="tx1"/>
            </w14:solidFill>
          </w14:textFill>
        </w:rPr>
        <w:t>个别部门（单位）资产管理意识有待加强，重财务，轻资产。</w:t>
      </w:r>
      <w:r>
        <w:rPr>
          <w:rFonts w:hint="eastAsia" w:ascii="仿宋" w:hAnsi="仿宋" w:eastAsia="仿宋" w:cs="仿宋"/>
          <w:b/>
          <w:bCs/>
          <w:color w:val="000000" w:themeColor="text1"/>
          <w:kern w:val="2"/>
          <w:sz w:val="32"/>
          <w:szCs w:val="24"/>
          <w:highlight w:val="none"/>
          <w:lang w:val="en-US" w:eastAsia="zh-CN" w:bidi="ar-SA"/>
          <w14:textFill>
            <w14:solidFill>
              <w14:schemeClr w14:val="tx1"/>
            </w14:solidFill>
          </w14:textFill>
        </w:rPr>
        <w:t>二是</w:t>
      </w:r>
      <w:r>
        <w:rPr>
          <w:rFonts w:hint="eastAsia" w:ascii="仿宋" w:hAnsi="仿宋" w:eastAsia="仿宋" w:cs="仿宋"/>
          <w:color w:val="000000" w:themeColor="text1"/>
          <w:kern w:val="2"/>
          <w:sz w:val="32"/>
          <w:szCs w:val="24"/>
          <w:highlight w:val="none"/>
          <w:lang w:val="en-US" w:eastAsia="zh-CN" w:bidi="ar-SA"/>
          <w14:textFill>
            <w14:solidFill>
              <w14:schemeClr w14:val="tx1"/>
            </w14:solidFill>
          </w14:textFill>
        </w:rPr>
        <w:t>有些部门（单位）资产管理机制有待进一步完善。资产管理人员责任意识和业务能力有待提高。会计人员流动频繁，专业会计人员少之又少，都是兼职做会计。</w:t>
      </w:r>
      <w:r>
        <w:rPr>
          <w:rFonts w:hint="eastAsia" w:ascii="仿宋" w:hAnsi="仿宋" w:eastAsia="仿宋" w:cs="仿宋"/>
          <w:b/>
          <w:bCs/>
          <w:color w:val="000000" w:themeColor="text1"/>
          <w:kern w:val="2"/>
          <w:sz w:val="32"/>
          <w:szCs w:val="24"/>
          <w:highlight w:val="none"/>
          <w:lang w:val="en-US" w:eastAsia="zh-CN" w:bidi="ar-SA"/>
          <w14:textFill>
            <w14:solidFill>
              <w14:schemeClr w14:val="tx1"/>
            </w14:solidFill>
          </w14:textFill>
        </w:rPr>
        <w:t>三是</w:t>
      </w:r>
      <w:r>
        <w:rPr>
          <w:rFonts w:hint="eastAsia" w:ascii="仿宋" w:hAnsi="仿宋" w:eastAsia="仿宋" w:cs="仿宋"/>
          <w:color w:val="000000" w:themeColor="text1"/>
          <w:kern w:val="2"/>
          <w:sz w:val="32"/>
          <w:szCs w:val="24"/>
          <w:highlight w:val="none"/>
          <w:lang w:val="en-US" w:eastAsia="zh-CN" w:bidi="ar-SA"/>
          <w14:textFill>
            <w14:solidFill>
              <w14:schemeClr w14:val="tx1"/>
            </w14:solidFill>
          </w14:textFill>
        </w:rPr>
        <w:t>公共基础设施国有资产管理有待加强。公共基础设施国有资产投资建设与管理归属不同的部门，且资产多头管理和历史因素造成底数不准，数据统计难等问题仍然存在。</w:t>
      </w:r>
      <w:r>
        <w:rPr>
          <w:rFonts w:hint="eastAsia" w:ascii="仿宋" w:hAnsi="仿宋" w:eastAsia="仿宋" w:cs="仿宋"/>
          <w:b/>
          <w:bCs/>
          <w:color w:val="000000" w:themeColor="text1"/>
          <w:kern w:val="2"/>
          <w:sz w:val="32"/>
          <w:szCs w:val="24"/>
          <w:highlight w:val="none"/>
          <w:lang w:val="en-US" w:eastAsia="zh-CN" w:bidi="ar-SA"/>
          <w14:textFill>
            <w14:solidFill>
              <w14:schemeClr w14:val="tx1"/>
            </w14:solidFill>
          </w14:textFill>
        </w:rPr>
        <w:t>四是</w:t>
      </w:r>
      <w:r>
        <w:rPr>
          <w:rFonts w:hint="eastAsia" w:ascii="仿宋" w:hAnsi="仿宋" w:eastAsia="仿宋" w:cs="仿宋"/>
          <w:color w:val="000000" w:themeColor="text1"/>
          <w:kern w:val="2"/>
          <w:sz w:val="32"/>
          <w:szCs w:val="24"/>
          <w:highlight w:val="none"/>
          <w:lang w:val="en-US" w:eastAsia="zh-CN" w:bidi="ar-SA"/>
          <w14:textFill>
            <w14:solidFill>
              <w14:schemeClr w14:val="tx1"/>
            </w14:solidFill>
          </w14:textFill>
        </w:rPr>
        <w:t>资产管理与财务管理衔接不够紧密。主要表现为部分单位购置、处置资产后未及时进行会计账务处理,应计提而未计提固定资产折旧等。</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（四）下一步工作措施</w:t>
      </w:r>
    </w:p>
    <w:p>
      <w:pPr>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pacing w:before="0" w:beforeLines="0" w:afterLines="0" w:line="560" w:lineRule="exact"/>
        <w:ind w:left="0" w:leftChars="0" w:right="0" w:rightChars="0" w:firstLine="640" w:firstLineChars="200"/>
        <w:jc w:val="both"/>
        <w:textAlignment w:val="auto"/>
        <w:rPr>
          <w:rFonts w:hint="eastAsia" w:ascii="仿宋" w:hAnsi="仿宋" w:eastAsia="仿宋" w:cs="仿宋"/>
          <w:color w:val="000000" w:themeColor="text1"/>
          <w:kern w:val="2"/>
          <w:sz w:val="32"/>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2"/>
          <w:szCs w:val="24"/>
          <w:highlight w:val="none"/>
          <w:lang w:val="en-US" w:eastAsia="zh-CN" w:bidi="ar-SA"/>
          <w14:textFill>
            <w14:solidFill>
              <w14:schemeClr w14:val="tx1"/>
            </w14:solidFill>
          </w14:textFill>
        </w:rPr>
        <w:t>1.会同市机关后勤服务中心进一步加强市级行政事业性国有资产管理，优化管理流程，完善相关制度，全面提升国有资产管理水平。</w:t>
      </w:r>
    </w:p>
    <w:p>
      <w:pPr>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pacing w:before="0" w:beforeLines="0" w:afterLines="0" w:line="560" w:lineRule="exact"/>
        <w:ind w:left="0" w:leftChars="0" w:right="0" w:rightChars="0" w:firstLine="640" w:firstLineChars="200"/>
        <w:jc w:val="both"/>
        <w:textAlignment w:val="auto"/>
        <w:rPr>
          <w:rFonts w:hint="eastAsia" w:ascii="仿宋" w:hAnsi="仿宋" w:eastAsia="仿宋" w:cs="仿宋"/>
          <w:color w:val="000000" w:themeColor="text1"/>
          <w:kern w:val="2"/>
          <w:sz w:val="32"/>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2"/>
          <w:szCs w:val="24"/>
          <w:highlight w:val="none"/>
          <w:lang w:val="en-US" w:eastAsia="zh-CN" w:bidi="ar-SA"/>
          <w14:textFill>
            <w14:solidFill>
              <w14:schemeClr w14:val="tx1"/>
            </w14:solidFill>
          </w14:textFill>
        </w:rPr>
        <w:t>2.有效盘活利用闲置资产，充分发挥公物仓管理效能，推进市级国有资产共享共用，提高资产使用效益，建设节约型机关。</w:t>
      </w:r>
    </w:p>
    <w:p>
      <w:pPr>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pacing w:before="0" w:beforeLines="0" w:afterLines="0" w:line="560" w:lineRule="exact"/>
        <w:ind w:left="0" w:leftChars="0" w:right="0" w:rightChars="0" w:firstLine="640" w:firstLineChars="200"/>
        <w:jc w:val="both"/>
        <w:textAlignment w:val="auto"/>
        <w:rPr>
          <w:rFonts w:hint="eastAsia" w:ascii="仿宋" w:hAnsi="仿宋" w:eastAsia="仿宋" w:cs="仿宋"/>
          <w:color w:val="000000" w:themeColor="text1"/>
          <w:kern w:val="2"/>
          <w:sz w:val="32"/>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2"/>
          <w:szCs w:val="24"/>
          <w:highlight w:val="none"/>
          <w:lang w:val="en-US" w:eastAsia="zh-CN" w:bidi="ar-SA"/>
          <w14:textFill>
            <w14:solidFill>
              <w14:schemeClr w14:val="tx1"/>
            </w14:solidFill>
          </w14:textFill>
        </w:rPr>
        <w:t>3.推动公务用车“以租代购”模式，降低一次性购车成本，提升车辆使用效率与灵活性，促进资源优化配置。</w:t>
      </w:r>
    </w:p>
    <w:p>
      <w:pPr>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pacing w:before="0" w:beforeLines="0" w:afterLines="0" w:line="560" w:lineRule="exact"/>
        <w:ind w:left="0" w:leftChars="0" w:right="0" w:rightChars="0" w:firstLine="640" w:firstLineChars="200"/>
        <w:jc w:val="both"/>
        <w:textAlignment w:val="auto"/>
        <w:rPr>
          <w:rFonts w:hint="eastAsia" w:ascii="仿宋" w:hAnsi="仿宋" w:eastAsia="仿宋" w:cs="仿宋"/>
          <w:color w:val="000000" w:themeColor="text1"/>
          <w:kern w:val="2"/>
          <w:sz w:val="32"/>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2"/>
          <w:szCs w:val="24"/>
          <w:highlight w:val="none"/>
          <w:lang w:val="en-US" w:eastAsia="zh-CN" w:bidi="ar-SA"/>
          <w14:textFill>
            <w14:solidFill>
              <w14:schemeClr w14:val="tx1"/>
            </w14:solidFill>
          </w14:textFill>
        </w:rPr>
        <w:t>4.会同有关部门（机构）积极探索数据资产的管理与应用，增强我市经济发展新动能。</w:t>
      </w:r>
    </w:p>
    <w:p>
      <w:pPr>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pacing w:before="0" w:beforeLines="0" w:afterLines="0" w:line="560" w:lineRule="exact"/>
        <w:ind w:left="0" w:leftChars="0" w:right="0" w:rightChars="0" w:firstLine="640" w:firstLineChars="200"/>
        <w:jc w:val="both"/>
        <w:textAlignment w:val="auto"/>
        <w:rPr>
          <w:rFonts w:hint="eastAsia"/>
          <w:color w:val="000000" w:themeColor="text1"/>
          <w:lang w:eastAsia="zh-CN"/>
          <w14:textFill>
            <w14:solidFill>
              <w14:schemeClr w14:val="tx1"/>
            </w14:solidFill>
          </w14:textFill>
        </w:rPr>
      </w:pPr>
      <w:r>
        <w:rPr>
          <w:rFonts w:hint="eastAsia" w:ascii="仿宋" w:hAnsi="仿宋" w:eastAsia="仿宋" w:cs="仿宋"/>
          <w:color w:val="000000" w:themeColor="text1"/>
          <w:kern w:val="2"/>
          <w:sz w:val="32"/>
          <w:szCs w:val="24"/>
          <w:highlight w:val="none"/>
          <w:lang w:val="en-US" w:eastAsia="zh-CN" w:bidi="ar-SA"/>
          <w14:textFill>
            <w14:solidFill>
              <w14:schemeClr w14:val="tx1"/>
            </w14:solidFill>
          </w14:textFill>
        </w:rPr>
        <w:t>5.</w:t>
      </w:r>
      <w:r>
        <w:rPr>
          <w:rFonts w:hint="eastAsia" w:ascii="仿宋" w:hAnsi="仿宋" w:eastAsia="仿宋" w:cs="仿宋"/>
          <w:color w:val="000000" w:themeColor="text1"/>
          <w:kern w:val="2"/>
          <w:sz w:val="32"/>
          <w:szCs w:val="24"/>
          <w:highlight w:val="none"/>
          <w:lang w:val="zh-CN" w:eastAsia="zh-CN" w:bidi="ar-SA"/>
          <w14:textFill>
            <w14:solidFill>
              <w14:schemeClr w14:val="tx1"/>
            </w14:solidFill>
          </w14:textFill>
        </w:rPr>
        <w:t>进一步加强预算管理一体化资产管理系统建设</w:t>
      </w:r>
      <w:r>
        <w:rPr>
          <w:rFonts w:hint="eastAsia" w:ascii="仿宋" w:hAnsi="仿宋" w:eastAsia="仿宋" w:cs="仿宋"/>
          <w:color w:val="000000" w:themeColor="text1"/>
          <w:kern w:val="2"/>
          <w:sz w:val="32"/>
          <w:szCs w:val="24"/>
          <w:highlight w:val="none"/>
          <w:lang w:val="en-US" w:eastAsia="zh-CN" w:bidi="ar-SA"/>
          <w14:textFill>
            <w14:solidFill>
              <w14:schemeClr w14:val="tx1"/>
            </w14:solidFill>
          </w14:textFill>
        </w:rPr>
        <w:t>，搭建从单位记账、购置到处置收入上缴形成的全过程管理链条，实现资产预算编制基础数据与单位会计核算、非税收入、政府采购等数据共享，实现以信息化手段规范和创新资产管理的目标。</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spacing w:before="0" w:beforeLines="0" w:afterLines="0" w:line="560" w:lineRule="exact"/>
        <w:ind w:left="0" w:leftChars="0" w:right="0" w:rightChars="0" w:firstLine="616" w:firstLineChars="200"/>
        <w:jc w:val="both"/>
        <w:textAlignment w:val="auto"/>
        <w:rPr>
          <w:rFonts w:hint="eastAsia" w:ascii="黑体" w:hAnsi="黑体" w:eastAsia="黑体" w:cs="黑体"/>
          <w:color w:val="000000" w:themeColor="text1"/>
          <w:spacing w:val="-6"/>
          <w:sz w:val="32"/>
          <w:szCs w:val="32"/>
          <w:lang w:eastAsia="zh-CN"/>
          <w14:textFill>
            <w14:solidFill>
              <w14:schemeClr w14:val="tx1"/>
            </w14:solidFill>
          </w14:textFill>
        </w:rPr>
      </w:pPr>
      <w:r>
        <w:rPr>
          <w:rFonts w:hint="eastAsia" w:ascii="黑体" w:hAnsi="黑体" w:eastAsia="黑体" w:cs="黑体"/>
          <w:color w:val="000000" w:themeColor="text1"/>
          <w:spacing w:val="-6"/>
          <w:sz w:val="32"/>
          <w:szCs w:val="32"/>
          <w:lang w:eastAsia="zh-CN"/>
          <w14:textFill>
            <w14:solidFill>
              <w14:schemeClr w14:val="tx1"/>
            </w14:solidFill>
          </w14:textFill>
        </w:rPr>
        <w:t>四</w:t>
      </w:r>
      <w:r>
        <w:rPr>
          <w:rFonts w:hint="eastAsia" w:ascii="黑体" w:hAnsi="黑体" w:eastAsia="黑体" w:cs="黑体"/>
          <w:color w:val="000000" w:themeColor="text1"/>
          <w:spacing w:val="-6"/>
          <w:sz w:val="32"/>
          <w:szCs w:val="32"/>
          <w14:textFill>
            <w14:solidFill>
              <w14:schemeClr w14:val="tx1"/>
            </w14:solidFill>
          </w14:textFill>
        </w:rPr>
        <w:t>、</w:t>
      </w:r>
      <w:r>
        <w:rPr>
          <w:rFonts w:hint="eastAsia" w:ascii="黑体" w:hAnsi="黑体" w:eastAsia="黑体" w:cs="黑体"/>
          <w:color w:val="000000" w:themeColor="text1"/>
          <w:spacing w:val="-6"/>
          <w:sz w:val="32"/>
          <w:szCs w:val="32"/>
          <w:lang w:eastAsia="zh-CN"/>
          <w14:textFill>
            <w14:solidFill>
              <w14:schemeClr w14:val="tx1"/>
            </w14:solidFill>
          </w14:textFill>
        </w:rPr>
        <w:t>全市国有自然资源资产管理情况</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（一）全市国有自然资源资产基本情况</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spacing w:before="0" w:beforeLines="0" w:afterLines="0" w:line="560" w:lineRule="exact"/>
        <w:ind w:left="0" w:leftChars="0" w:right="0" w:rightChars="0" w:firstLine="616" w:firstLineChars="200"/>
        <w:jc w:val="both"/>
        <w:textAlignment w:val="auto"/>
        <w:rPr>
          <w:rFonts w:hint="eastAsia" w:ascii="仿宋" w:hAnsi="仿宋" w:eastAsia="仿宋" w:cs="仿宋"/>
          <w:b w:val="0"/>
          <w:bCs w:val="0"/>
          <w:color w:val="000000" w:themeColor="text1"/>
          <w:spacing w:val="-6"/>
          <w:sz w:val="32"/>
          <w:szCs w:val="32"/>
          <w:lang w:val="en-US" w:eastAsia="zh-CN"/>
          <w14:textFill>
            <w14:solidFill>
              <w14:schemeClr w14:val="tx1"/>
            </w14:solidFill>
          </w14:textFill>
        </w:rPr>
      </w:pPr>
      <w:r>
        <w:rPr>
          <w:rFonts w:hint="eastAsia" w:ascii="仿宋" w:hAnsi="仿宋" w:eastAsia="仿宋" w:cs="仿宋"/>
          <w:b w:val="0"/>
          <w:bCs w:val="0"/>
          <w:color w:val="000000" w:themeColor="text1"/>
          <w:spacing w:val="-6"/>
          <w:sz w:val="32"/>
          <w:szCs w:val="32"/>
          <w:lang w:val="en-US" w:eastAsia="zh-CN"/>
          <w14:textFill>
            <w14:solidFill>
              <w14:schemeClr w14:val="tx1"/>
            </w14:solidFill>
          </w14:textFill>
        </w:rPr>
        <w:t>1.国有自然资源资产总量情况</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spacing w:before="0" w:beforeLines="0" w:afterLines="0" w:line="560" w:lineRule="exact"/>
        <w:ind w:left="0" w:leftChars="0" w:right="0" w:rightChars="0" w:firstLine="616" w:firstLineChars="200"/>
        <w:jc w:val="both"/>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val="0"/>
          <w:color w:val="000000" w:themeColor="text1"/>
          <w:spacing w:val="-6"/>
          <w:kern w:val="0"/>
          <w:sz w:val="32"/>
          <w:szCs w:val="32"/>
          <w:highlight w:val="none"/>
          <w:lang w:val="en-US" w:eastAsia="zh-CN"/>
          <w14:textFill>
            <w14:solidFill>
              <w14:schemeClr w14:val="tx1"/>
            </w14:solidFill>
          </w14:textFill>
        </w:rPr>
        <w:t>（1）土地资源情况。</w:t>
      </w:r>
      <w:r>
        <w:rPr>
          <w:rFonts w:hint="eastAsia" w:ascii="仿宋" w:hAnsi="仿宋" w:eastAsia="仿宋" w:cs="仿宋"/>
          <w:color w:val="000000" w:themeColor="text1"/>
          <w:spacing w:val="-6"/>
          <w:kern w:val="0"/>
          <w:sz w:val="32"/>
          <w:szCs w:val="32"/>
          <w:highlight w:val="none"/>
          <w:lang w:val="en-US" w:eastAsia="zh-CN"/>
          <w14:textFill>
            <w14:solidFill>
              <w14:schemeClr w14:val="tx1"/>
            </w14:solidFill>
          </w14:textFill>
        </w:rPr>
        <w:t>依据2023年国土变更调查成果，全市湿地5635.21</w:t>
      </w:r>
      <w:r>
        <w:rPr>
          <w:rFonts w:hint="eastAsia" w:ascii="仿宋" w:hAnsi="仿宋" w:eastAsia="仿宋" w:cs="仿宋"/>
          <w:color w:val="000000" w:themeColor="text1"/>
          <w:sz w:val="32"/>
          <w:szCs w:val="32"/>
          <w:highlight w:val="none"/>
          <w:lang w:val="en-US" w:eastAsia="zh-CN"/>
          <w14:textFill>
            <w14:solidFill>
              <w14:schemeClr w14:val="tx1"/>
            </w14:solidFill>
          </w14:textFill>
        </w:rPr>
        <w:t>公顷；耕地607676.79公顷；园地87405.96公顷；林地236594.51公顷；草地29493.10公顷；城镇村及工矿用地191248.92公顷；交通运输用地</w:t>
      </w:r>
      <w:r>
        <w:rPr>
          <w:rFonts w:hint="eastAsia" w:ascii="仿宋" w:hAnsi="仿宋" w:eastAsia="仿宋" w:cs="仿宋"/>
          <w:b w:val="0"/>
          <w:bCs w:val="0"/>
          <w:color w:val="000000" w:themeColor="text1"/>
          <w:sz w:val="32"/>
          <w:szCs w:val="32"/>
          <w:highlight w:val="none"/>
          <w:u w:val="none"/>
          <w:lang w:val="en-US" w:eastAsia="zh-CN"/>
          <w14:textFill>
            <w14:solidFill>
              <w14:schemeClr w14:val="tx1"/>
            </w14:solidFill>
          </w14:textFill>
        </w:rPr>
        <w:t>38801.93</w:t>
      </w:r>
      <w:r>
        <w:rPr>
          <w:rFonts w:hint="eastAsia" w:ascii="仿宋" w:hAnsi="仿宋" w:eastAsia="仿宋" w:cs="仿宋"/>
          <w:color w:val="000000" w:themeColor="text1"/>
          <w:sz w:val="32"/>
          <w:szCs w:val="32"/>
          <w:highlight w:val="none"/>
          <w:lang w:val="en-US" w:eastAsia="zh-CN"/>
          <w14:textFill>
            <w14:solidFill>
              <w14:schemeClr w14:val="tx1"/>
            </w14:solidFill>
          </w14:textFill>
        </w:rPr>
        <w:t>公顷；水域及水利设施用地30624.53公顷。</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val="0"/>
        <w:snapToGrid w:val="0"/>
        <w:spacing w:before="0" w:beforeLines="0" w:afterLines="0" w:line="560" w:lineRule="exact"/>
        <w:ind w:left="0" w:leftChars="0" w:right="0" w:rightChars="0" w:firstLine="616"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pacing w:val="-6"/>
          <w:kern w:val="0"/>
          <w:sz w:val="32"/>
          <w:szCs w:val="32"/>
          <w:lang w:val="en-US" w:eastAsia="zh-CN"/>
          <w14:textFill>
            <w14:solidFill>
              <w14:schemeClr w14:val="tx1"/>
            </w14:solidFill>
          </w14:textFill>
        </w:rPr>
        <w:t>（2）矿产资源情况。</w:t>
      </w:r>
      <w:r>
        <w:rPr>
          <w:rFonts w:hint="eastAsia" w:ascii="仿宋" w:hAnsi="仿宋" w:eastAsia="仿宋" w:cs="仿宋"/>
          <w:color w:val="000000" w:themeColor="text1"/>
          <w:spacing w:val="-6"/>
          <w:kern w:val="0"/>
          <w:sz w:val="32"/>
          <w:szCs w:val="32"/>
          <w:lang w:val="en-US" w:eastAsia="zh-CN"/>
          <w14:textFill>
            <w14:solidFill>
              <w14:schemeClr w14:val="tx1"/>
            </w14:solidFill>
          </w14:textFill>
        </w:rPr>
        <w:t>邢台市矿产资源丰富，区域特色明显。</w:t>
      </w:r>
      <w:r>
        <w:rPr>
          <w:rFonts w:hint="eastAsia" w:ascii="仿宋" w:hAnsi="仿宋" w:eastAsia="仿宋" w:cs="仿宋"/>
          <w:b w:val="0"/>
          <w:bCs w:val="0"/>
          <w:color w:val="000000" w:themeColor="text1"/>
          <w:kern w:val="0"/>
          <w:sz w:val="32"/>
          <w:szCs w:val="32"/>
          <w:lang w:val="en-US" w:eastAsia="zh-CN"/>
          <w14:textFill>
            <w14:solidFill>
              <w14:schemeClr w14:val="tx1"/>
            </w14:solidFill>
          </w14:textFill>
        </w:rPr>
        <w:t>截至2024年底</w:t>
      </w:r>
      <w:r>
        <w:rPr>
          <w:rFonts w:hint="eastAsia" w:ascii="仿宋" w:hAnsi="仿宋" w:eastAsia="仿宋" w:cs="仿宋"/>
          <w:color w:val="000000" w:themeColor="text1"/>
          <w:spacing w:val="-6"/>
          <w:kern w:val="0"/>
          <w:sz w:val="32"/>
          <w:szCs w:val="32"/>
          <w:lang w:val="en-US" w:eastAsia="zh-CN"/>
          <w14:textFill>
            <w14:solidFill>
              <w14:schemeClr w14:val="tx1"/>
            </w14:solidFill>
          </w14:textFill>
        </w:rPr>
        <w:t>全市发现矿产61种，查明资源储量矿产40种，列入《河北省矿产资源储量表》矿产31种，采矿登记矿产17种。矿产地以中小型为主，大型矿产地较少</w:t>
      </w:r>
      <w:r>
        <w:rPr>
          <w:rFonts w:hint="eastAsia" w:ascii="仿宋" w:hAnsi="仿宋" w:eastAsia="仿宋" w:cs="仿宋"/>
          <w:b w:val="0"/>
          <w:bCs w:val="0"/>
          <w:color w:val="000000" w:themeColor="text1"/>
          <w:spacing w:val="-6"/>
          <w:kern w:val="0"/>
          <w:sz w:val="32"/>
          <w:szCs w:val="32"/>
          <w:lang w:val="en-US" w:eastAsia="zh-CN"/>
          <w14:textFill>
            <w14:solidFill>
              <w14:schemeClr w14:val="tx1"/>
            </w14:solidFill>
          </w14:textFill>
        </w:rPr>
        <w:t>，</w:t>
      </w:r>
      <w:r>
        <w:rPr>
          <w:rFonts w:hint="eastAsia" w:ascii="仿宋" w:hAnsi="仿宋" w:eastAsia="仿宋" w:cs="仿宋"/>
          <w:color w:val="000000" w:themeColor="text1"/>
          <w:spacing w:val="-6"/>
          <w:kern w:val="0"/>
          <w:sz w:val="32"/>
          <w:szCs w:val="32"/>
          <w:lang w:val="en-US" w:eastAsia="zh-CN"/>
          <w14:textFill>
            <w14:solidFill>
              <w14:schemeClr w14:val="tx1"/>
            </w14:solidFill>
          </w14:textFill>
        </w:rPr>
        <w:t>煤、铁、岩盐、蓝晶石等在全省占有重要地位，优势矿种还有水泥用灰岩、玻璃用砂岩、硫铁矿等。</w:t>
      </w:r>
    </w:p>
    <w:p>
      <w:pPr>
        <w:pStyle w:val="29"/>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spacing w:before="0" w:beforeLines="0" w:afterLines="0" w:line="560" w:lineRule="exact"/>
        <w:ind w:left="0" w:leftChars="0" w:right="0" w:rightChars="0" w:firstLine="616" w:firstLineChars="200"/>
        <w:jc w:val="both"/>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val="0"/>
          <w:color w:val="000000" w:themeColor="text1"/>
          <w:spacing w:val="-6"/>
          <w:kern w:val="0"/>
          <w:sz w:val="32"/>
          <w:szCs w:val="32"/>
          <w:lang w:val="en-US" w:eastAsia="zh-CN"/>
          <w14:textFill>
            <w14:solidFill>
              <w14:schemeClr w14:val="tx1"/>
            </w14:solidFill>
          </w14:textFill>
        </w:rPr>
        <w:t>（3）储备土地情况。</w:t>
      </w:r>
      <w:r>
        <w:rPr>
          <w:rFonts w:hint="eastAsia" w:ascii="仿宋" w:hAnsi="仿宋" w:eastAsia="仿宋" w:cs="仿宋"/>
          <w:color w:val="000000" w:themeColor="text1"/>
          <w:kern w:val="2"/>
          <w:sz w:val="32"/>
          <w:szCs w:val="32"/>
          <w:lang w:val="en-US" w:eastAsia="zh-CN" w:bidi="ar-SA"/>
          <w14:textFill>
            <w14:solidFill>
              <w14:schemeClr w14:val="tx1"/>
            </w14:solidFill>
          </w14:textFill>
        </w:rPr>
        <w:t>截至2024年底，全市储备土地总面积为649</w:t>
      </w:r>
      <w:r>
        <w:rPr>
          <w:rFonts w:hint="eastAsia" w:ascii="仿宋" w:hAnsi="仿宋" w:eastAsia="仿宋" w:cs="仿宋"/>
          <w:color w:val="000000" w:themeColor="text1"/>
          <w:kern w:val="0"/>
          <w:sz w:val="32"/>
          <w:szCs w:val="32"/>
          <w:lang w:val="en-US" w:eastAsia="zh-CN"/>
          <w14:textFill>
            <w14:solidFill>
              <w14:schemeClr w14:val="tx1"/>
            </w14:solidFill>
          </w14:textFill>
        </w:rPr>
        <w:t>公顷。其中新增建设用地面积520公顷；存量建设用地面积129公顷。</w:t>
      </w: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spacing w:before="0" w:beforeLines="0" w:afterLines="0" w:line="560" w:lineRule="exact"/>
        <w:ind w:left="0" w:leftChars="0" w:right="0" w:rightChars="0" w:firstLine="616" w:firstLineChars="200"/>
        <w:jc w:val="both"/>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pacing w:val="-6"/>
          <w:sz w:val="32"/>
          <w:szCs w:val="32"/>
          <w:lang w:val="en-US" w:eastAsia="zh-CN"/>
          <w14:textFill>
            <w14:solidFill>
              <w14:schemeClr w14:val="tx1"/>
            </w14:solidFill>
          </w14:textFill>
        </w:rPr>
        <w:t>2.国有自然资源资产配置情况</w:t>
      </w:r>
      <w:r>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t xml:space="preserve"> </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spacing w:before="0" w:beforeLines="0" w:afterLines="0" w:line="560" w:lineRule="exact"/>
        <w:ind w:left="0" w:leftChars="0" w:right="0" w:rightChars="0"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t>（1）国有建设用地供应情况。</w:t>
      </w:r>
      <w:r>
        <w:rPr>
          <w:rFonts w:hint="eastAsia" w:ascii="仿宋" w:hAnsi="仿宋" w:eastAsia="仿宋" w:cs="仿宋"/>
          <w:color w:val="000000" w:themeColor="text1"/>
          <w:sz w:val="32"/>
          <w:szCs w:val="32"/>
          <w:lang w:val="en-US" w:eastAsia="zh-CN"/>
          <w14:textFill>
            <w14:solidFill>
              <w14:schemeClr w14:val="tx1"/>
            </w14:solidFill>
          </w14:textFill>
        </w:rPr>
        <w:t>根据土地市场动态监测与监管系统网统计，全市2024年建设用地供应面积2457.36公顷。</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spacing w:before="0" w:beforeLines="0" w:afterLines="0" w:line="560" w:lineRule="exact"/>
        <w:ind w:left="0" w:leftChars="0" w:right="0" w:rightChars="0"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（2）矿业权审查情况。</w:t>
      </w:r>
      <w:r>
        <w:rPr>
          <w:rFonts w:hint="eastAsia" w:ascii="仿宋" w:hAnsi="仿宋" w:eastAsia="仿宋" w:cs="仿宋"/>
          <w:color w:val="000000" w:themeColor="text1"/>
          <w:spacing w:val="-6"/>
          <w:kern w:val="0"/>
          <w:sz w:val="32"/>
          <w:szCs w:val="32"/>
          <w:lang w:val="en-US" w:eastAsia="zh-CN"/>
          <w14:textFill>
            <w14:solidFill>
              <w14:schemeClr w14:val="tx1"/>
            </w14:solidFill>
          </w14:textFill>
        </w:rPr>
        <w:t>截至2024年底,全市在册</w:t>
      </w:r>
      <w:r>
        <w:rPr>
          <w:rFonts w:hint="eastAsia" w:ascii="仿宋" w:hAnsi="仿宋" w:eastAsia="仿宋" w:cs="仿宋"/>
          <w:color w:val="000000" w:themeColor="text1"/>
          <w:sz w:val="32"/>
          <w:szCs w:val="32"/>
          <w:lang w:val="en-US" w:eastAsia="zh-CN"/>
          <w14:textFill>
            <w14:solidFill>
              <w14:schemeClr w14:val="tx1"/>
            </w14:solidFill>
          </w14:textFill>
        </w:rPr>
        <w:t>采矿权121</w:t>
      </w:r>
      <w:r>
        <w:rPr>
          <w:rFonts w:hint="eastAsia" w:ascii="仿宋" w:hAnsi="仿宋" w:eastAsia="仿宋" w:cs="仿宋"/>
          <w:color w:val="000000" w:themeColor="text1"/>
          <w:spacing w:val="-6"/>
          <w:kern w:val="0"/>
          <w:sz w:val="32"/>
          <w:szCs w:val="32"/>
          <w:lang w:val="en-US" w:eastAsia="zh-CN"/>
          <w14:textFill>
            <w14:solidFill>
              <w14:schemeClr w14:val="tx1"/>
            </w14:solidFill>
          </w14:textFill>
        </w:rPr>
        <w:t>个,其中煤矿12个,铁矿57个 ,岩盐1个, 石灰岩、白云岩、石英砂岩等非金属建材类42个，地热7个,矿泉水2个；</w:t>
      </w:r>
      <w:r>
        <w:rPr>
          <w:rFonts w:hint="eastAsia" w:ascii="仿宋" w:hAnsi="仿宋" w:eastAsia="仿宋" w:cs="仿宋"/>
          <w:color w:val="000000" w:themeColor="text1"/>
          <w:sz w:val="32"/>
          <w:szCs w:val="32"/>
          <w:lang w:val="en-US" w:eastAsia="zh-CN"/>
          <w14:textFill>
            <w14:solidFill>
              <w14:schemeClr w14:val="tx1"/>
            </w14:solidFill>
          </w14:textFill>
        </w:rPr>
        <w:t>在册探矿权20个，</w:t>
      </w:r>
      <w:r>
        <w:rPr>
          <w:rFonts w:hint="eastAsia" w:ascii="仿宋" w:hAnsi="仿宋" w:eastAsia="仿宋" w:cs="仿宋"/>
          <w:color w:val="000000" w:themeColor="text1"/>
          <w:spacing w:val="-6"/>
          <w:kern w:val="0"/>
          <w:sz w:val="32"/>
          <w:szCs w:val="32"/>
          <w:lang w:val="en-US" w:eastAsia="zh-CN"/>
          <w14:textFill>
            <w14:solidFill>
              <w14:schemeClr w14:val="tx1"/>
            </w14:solidFill>
          </w14:textFill>
        </w:rPr>
        <w:t>其中</w:t>
      </w:r>
      <w:r>
        <w:rPr>
          <w:rFonts w:hint="eastAsia" w:ascii="仿宋" w:hAnsi="仿宋" w:eastAsia="仿宋" w:cs="仿宋"/>
          <w:color w:val="000000" w:themeColor="text1"/>
          <w:sz w:val="32"/>
          <w:szCs w:val="32"/>
          <w:lang w:val="en-US" w:eastAsia="zh-CN"/>
          <w14:textFill>
            <w14:solidFill>
              <w14:schemeClr w14:val="tx1"/>
            </w14:solidFill>
          </w14:textFill>
        </w:rPr>
        <w:t>铁矿14个、矿泉水2个、盐岩2个、铜矿1个、云母1个。实行矿山数量减量化管理，矿山数量逐年减少。</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rPr>
          <w:rFonts w:hint="eastAsia" w:ascii="楷体_GB2312" w:hAnsi="楷体_GB2312" w:eastAsia="楷体_GB2312" w:cs="楷体_GB2312"/>
          <w:b/>
          <w:bCs/>
          <w:color w:val="000000" w:themeColor="text1"/>
          <w:sz w:val="32"/>
          <w:szCs w:val="32"/>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 xml:space="preserve">（二）国有自然资源资产管理情况 </w:t>
      </w: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val="0"/>
        <w:topLinePunct w:val="0"/>
        <w:autoSpaceDE/>
        <w:autoSpaceDN/>
        <w:bidi w:val="0"/>
        <w:adjustRightInd/>
        <w:snapToGrid/>
        <w:spacing w:before="0" w:beforeLines="0" w:afterLines="0" w:line="560" w:lineRule="exact"/>
        <w:ind w:left="0" w:leftChars="0" w:right="0" w:rightChars="0" w:firstLine="616" w:firstLineChars="200"/>
        <w:jc w:val="both"/>
        <w:textAlignment w:val="auto"/>
        <w:rPr>
          <w:rFonts w:hint="eastAsia" w:ascii="仿宋" w:hAnsi="仿宋" w:eastAsia="仿宋" w:cs="仿宋"/>
          <w:color w:val="000000" w:themeColor="text1"/>
          <w:kern w:val="0"/>
          <w:sz w:val="32"/>
          <w:szCs w:val="32"/>
          <w:lang w:val="en-US" w:eastAsia="zh-CN" w:bidi="ar"/>
          <w14:textFill>
            <w14:solidFill>
              <w14:schemeClr w14:val="tx1"/>
            </w14:solidFill>
          </w14:textFill>
        </w:rPr>
      </w:pPr>
      <w:r>
        <w:rPr>
          <w:rFonts w:hint="eastAsia" w:ascii="仿宋" w:hAnsi="仿宋" w:eastAsia="仿宋" w:cs="仿宋"/>
          <w:b w:val="0"/>
          <w:bCs w:val="0"/>
          <w:color w:val="000000" w:themeColor="text1"/>
          <w:spacing w:val="-6"/>
          <w:kern w:val="2"/>
          <w:sz w:val="32"/>
          <w:szCs w:val="32"/>
          <w:lang w:val="en-US" w:eastAsia="zh-CN" w:bidi="ar-SA"/>
          <w14:textFill>
            <w14:solidFill>
              <w14:schemeClr w14:val="tx1"/>
            </w14:solidFill>
          </w14:textFill>
        </w:rPr>
        <w:t>1.优化国土空间开发格局。</w:t>
      </w:r>
      <w:r>
        <w:rPr>
          <w:rFonts w:hint="eastAsia" w:ascii="仿宋" w:hAnsi="仿宋" w:eastAsia="仿宋" w:cs="仿宋"/>
          <w:b/>
          <w:bCs/>
          <w:color w:val="000000" w:themeColor="text1"/>
          <w:kern w:val="0"/>
          <w:sz w:val="32"/>
          <w:szCs w:val="32"/>
          <w:highlight w:val="none"/>
          <w:lang w:val="en-US" w:eastAsia="zh-CN" w:bidi="ar"/>
          <w14:textFill>
            <w14:solidFill>
              <w14:schemeClr w14:val="tx1"/>
            </w14:solidFill>
          </w14:textFill>
        </w:rPr>
        <w:t>一是</w:t>
      </w:r>
      <w:r>
        <w:rPr>
          <w:rFonts w:hint="eastAsia" w:ascii="仿宋" w:hAnsi="仿宋" w:eastAsia="仿宋" w:cs="仿宋"/>
          <w:b w:val="0"/>
          <w:bCs w:val="0"/>
          <w:color w:val="000000" w:themeColor="text1"/>
          <w:kern w:val="0"/>
          <w:sz w:val="32"/>
          <w:szCs w:val="32"/>
          <w:highlight w:val="none"/>
          <w:lang w:val="en-US" w:eastAsia="zh-CN" w:bidi="ar"/>
          <w14:textFill>
            <w14:solidFill>
              <w14:schemeClr w14:val="tx1"/>
            </w14:solidFill>
          </w14:textFill>
        </w:rPr>
        <w:t>全面划定三区三线。到2035年，</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全市耕地保有量不低于880.79万亩，其中永久基本农田保护面积不低于772.64万亩；生态保护红线面积不低于808.75平方千米；城镇开发边界扩展倍数控制在基于2020年城镇建设用地规模的1.3倍以内。</w:t>
      </w:r>
      <w:r>
        <w:rPr>
          <w:rFonts w:hint="eastAsia" w:ascii="仿宋" w:hAnsi="仿宋" w:eastAsia="仿宋" w:cs="仿宋"/>
          <w:b/>
          <w:bCs/>
          <w:color w:val="000000" w:themeColor="text1"/>
          <w:kern w:val="0"/>
          <w:sz w:val="32"/>
          <w:szCs w:val="32"/>
          <w:highlight w:val="none"/>
          <w:lang w:val="en-US" w:eastAsia="zh-CN" w:bidi="ar"/>
          <w14:textFill>
            <w14:solidFill>
              <w14:schemeClr w14:val="tx1"/>
            </w14:solidFill>
          </w14:textFill>
        </w:rPr>
        <w:t>二是</w:t>
      </w:r>
      <w:r>
        <w:rPr>
          <w:rFonts w:hint="eastAsia" w:ascii="仿宋" w:hAnsi="仿宋" w:eastAsia="仿宋" w:cs="仿宋"/>
          <w:b w:val="0"/>
          <w:bCs w:val="0"/>
          <w:color w:val="000000" w:themeColor="text1"/>
          <w:sz w:val="32"/>
          <w:szCs w:val="32"/>
          <w:highlight w:val="none"/>
          <w:u w:val="none"/>
          <w:lang w:val="en-US" w:eastAsia="zh-CN"/>
          <w14:textFill>
            <w14:solidFill>
              <w14:schemeClr w14:val="tx1"/>
            </w14:solidFill>
          </w14:textFill>
        </w:rPr>
        <w:t>全省率先完成市、县、乡镇三级国土空间总体规划审查批复。坚持</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质效并重、多措并举，市县规划“齐步走”，规划质量和进度“同步抓”，《邢台市国土空间总体规划（2021—2035年）》于2024年1月22日全省第二个通过省政府批复，2月6日全省第一个完成县级国土空间总体规划审批，</w:t>
      </w:r>
      <w:r>
        <w:rPr>
          <w:rFonts w:hint="eastAsia" w:ascii="仿宋" w:hAnsi="仿宋" w:eastAsia="仿宋" w:cs="仿宋"/>
          <w:color w:val="000000" w:themeColor="text1"/>
          <w:sz w:val="32"/>
          <w:szCs w:val="32"/>
          <w:highlight w:val="none"/>
          <w14:textFill>
            <w14:solidFill>
              <w14:schemeClr w14:val="tx1"/>
            </w14:solidFill>
          </w14:textFill>
        </w:rPr>
        <w:t>全市需要编制的151个乡镇国土空间总体规划</w:t>
      </w:r>
      <w:r>
        <w:rPr>
          <w:rFonts w:hint="eastAsia" w:ascii="仿宋" w:hAnsi="仿宋" w:eastAsia="仿宋" w:cs="仿宋"/>
          <w:color w:val="000000" w:themeColor="text1"/>
          <w:sz w:val="32"/>
          <w:szCs w:val="32"/>
          <w:highlight w:val="none"/>
          <w:lang w:val="en-US" w:eastAsia="zh-CN"/>
          <w14:textFill>
            <w14:solidFill>
              <w14:schemeClr w14:val="tx1"/>
            </w14:solidFill>
          </w14:textFill>
        </w:rPr>
        <w:t>于</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2024年12月底前在全省第一个</w:t>
      </w:r>
      <w:r>
        <w:rPr>
          <w:rFonts w:hint="eastAsia" w:ascii="仿宋" w:hAnsi="仿宋" w:eastAsia="仿宋" w:cs="仿宋"/>
          <w:color w:val="000000" w:themeColor="text1"/>
          <w:sz w:val="32"/>
          <w:szCs w:val="32"/>
          <w:highlight w:val="none"/>
          <w14:textFill>
            <w14:solidFill>
              <w14:schemeClr w14:val="tx1"/>
            </w14:solidFill>
          </w14:textFill>
        </w:rPr>
        <w:t>全部完成审批</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整体工作位于全省前列。</w:t>
      </w:r>
      <w:r>
        <w:rPr>
          <w:rFonts w:hint="eastAsia" w:ascii="仿宋" w:hAnsi="仿宋" w:eastAsia="仿宋" w:cs="仿宋"/>
          <w:b/>
          <w:bCs/>
          <w:color w:val="000000" w:themeColor="text1"/>
          <w:kern w:val="0"/>
          <w:sz w:val="32"/>
          <w:szCs w:val="32"/>
          <w:lang w:val="en-US" w:eastAsia="zh-CN" w:bidi="ar"/>
          <w14:textFill>
            <w14:solidFill>
              <w14:schemeClr w14:val="tx1"/>
            </w14:solidFill>
          </w14:textFill>
        </w:rPr>
        <w:t>三是</w:t>
      </w:r>
      <w:r>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t>自然资源调查监测取得显著进展。</w:t>
      </w:r>
      <w:r>
        <w:rPr>
          <w:rFonts w:hint="eastAsia" w:ascii="仿宋" w:hAnsi="仿宋" w:eastAsia="仿宋" w:cs="仿宋"/>
          <w:b w:val="0"/>
          <w:bCs w:val="0"/>
          <w:color w:val="000000" w:themeColor="text1"/>
          <w:kern w:val="0"/>
          <w:sz w:val="32"/>
          <w:szCs w:val="32"/>
          <w:highlight w:val="none"/>
          <w:lang w:val="en-US" w:eastAsia="zh-CN" w:bidi="ar"/>
          <w14:textFill>
            <w14:solidFill>
              <w14:schemeClr w14:val="tx1"/>
            </w14:solidFill>
          </w14:textFill>
        </w:rPr>
        <w:t>2024年度国土变更调查成</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果已上报国家待批。</w:t>
      </w:r>
      <w:r>
        <w:rPr>
          <w:rFonts w:hint="eastAsia" w:ascii="仿宋" w:hAnsi="仿宋" w:eastAsia="仿宋" w:cs="仿宋"/>
          <w:b/>
          <w:bCs/>
          <w:color w:val="000000" w:themeColor="text1"/>
          <w:kern w:val="0"/>
          <w:sz w:val="32"/>
          <w:szCs w:val="32"/>
          <w:lang w:val="en-US" w:eastAsia="zh-CN" w:bidi="ar"/>
          <w14:textFill>
            <w14:solidFill>
              <w14:schemeClr w14:val="tx1"/>
            </w14:solidFill>
          </w14:textFill>
        </w:rPr>
        <w:t>四是</w:t>
      </w:r>
      <w:r>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t>自然资源和不动产登记取得明显进展。我市作为全国取水权不动产登记唯一的试点改革地区，被中央广播电视台《朝闻天下》栏目、自然资源部《登记与法治》工作专刊、《中国改革报》《中国自然资源报》等媒体刊物宣传推广经验做法。2024年共为17个用水单位办理取水权不动产权登记17宗。2024年共办理国有建设用地使用权首次登记912宗，其中市区范围103宗，保障了国有土地使用权用地权益。</w:t>
      </w:r>
      <w:r>
        <w:rPr>
          <w:rFonts w:hint="eastAsia" w:ascii="仿宋" w:hAnsi="仿宋" w:eastAsia="仿宋" w:cs="仿宋"/>
          <w:b/>
          <w:bCs/>
          <w:color w:val="000000" w:themeColor="text1"/>
          <w:kern w:val="0"/>
          <w:sz w:val="32"/>
          <w:szCs w:val="32"/>
          <w:lang w:val="en-US" w:eastAsia="zh-CN" w:bidi="ar"/>
          <w14:textFill>
            <w14:solidFill>
              <w14:schemeClr w14:val="tx1"/>
            </w14:solidFill>
          </w14:textFill>
        </w:rPr>
        <w:t>五是</w:t>
      </w:r>
      <w:r>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t>稳步推进国土空间用途管制制度体系建设。</w:t>
      </w:r>
      <w:r>
        <w:rPr>
          <w:rFonts w:hint="eastAsia" w:ascii="仿宋" w:hAnsi="仿宋" w:eastAsia="仿宋" w:cs="仿宋"/>
          <w:b w:val="0"/>
          <w:bCs w:val="0"/>
          <w:color w:val="000000" w:themeColor="text1"/>
          <w:kern w:val="0"/>
          <w:sz w:val="32"/>
          <w:szCs w:val="32"/>
          <w:highlight w:val="none"/>
          <w:lang w:val="en-US" w:eastAsia="zh-CN" w:bidi="ar"/>
          <w14:textFill>
            <w14:solidFill>
              <w14:schemeClr w14:val="tx1"/>
            </w14:solidFill>
          </w14:textFill>
        </w:rPr>
        <w:t>严格落实自然资源部</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省自然资源厅关于“项目跟着规划走，要素跟着项目走，全力保障重点项目建设”的要求，新增建设用地指标按照“优先保障省重点，有序保障市重点，挖潜存量保一般”的原则，集中向省级以上开发区、省市重点项目、重大基础设施项目倾斜，优先保障京津冀协同发展、特色产业集群和乡村振兴建设等用地需求。</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kinsoku/>
        <w:wordWrap/>
        <w:overflowPunct w:val="0"/>
        <w:topLinePunct w:val="0"/>
        <w:autoSpaceDE/>
        <w:autoSpaceDN/>
        <w:bidi w:val="0"/>
        <w:adjustRightInd/>
        <w:snapToGrid/>
        <w:spacing w:before="0" w:beforeLines="0" w:afterLines="0" w:line="560" w:lineRule="exact"/>
        <w:ind w:left="0" w:leftChars="0" w:right="0" w:rightChars="0" w:firstLine="616" w:firstLineChars="200"/>
        <w:jc w:val="both"/>
        <w:textAlignment w:val="auto"/>
        <w:rPr>
          <w:rFonts w:hint="eastAsia" w:ascii="仿宋" w:hAnsi="仿宋" w:eastAsia="仿宋" w:cs="仿宋"/>
          <w:color w:val="000000" w:themeColor="text1"/>
          <w:kern w:val="0"/>
          <w:sz w:val="32"/>
          <w:szCs w:val="32"/>
          <w:highlight w:val="none"/>
          <w:shd w:val="clear" w:color="auto" w:fill="auto"/>
          <w:lang w:val="en-US" w:eastAsia="zh-CN" w:bidi="ar"/>
          <w14:textFill>
            <w14:solidFill>
              <w14:schemeClr w14:val="tx1"/>
            </w14:solidFill>
          </w14:textFill>
        </w:rPr>
      </w:pPr>
      <w:r>
        <w:rPr>
          <w:rFonts w:hint="eastAsia" w:ascii="仿宋" w:hAnsi="仿宋" w:eastAsia="仿宋" w:cs="仿宋"/>
          <w:b w:val="0"/>
          <w:bCs w:val="0"/>
          <w:color w:val="000000" w:themeColor="text1"/>
          <w:spacing w:val="-6"/>
          <w:sz w:val="32"/>
          <w:szCs w:val="32"/>
          <w:highlight w:val="none"/>
          <w:shd w:val="clear" w:color="auto" w:fill="auto"/>
          <w:lang w:val="en-US" w:eastAsia="zh-CN"/>
          <w14:textFill>
            <w14:solidFill>
              <w14:schemeClr w14:val="tx1"/>
            </w14:solidFill>
          </w14:textFill>
        </w:rPr>
        <w:t>2.改善生态环境质量。</w:t>
      </w:r>
      <w:r>
        <w:rPr>
          <w:rFonts w:hint="eastAsia" w:ascii="仿宋" w:hAnsi="仿宋" w:eastAsia="仿宋" w:cs="仿宋"/>
          <w:b/>
          <w:bCs/>
          <w:color w:val="000000" w:themeColor="text1"/>
          <w:kern w:val="0"/>
          <w:sz w:val="32"/>
          <w:szCs w:val="32"/>
          <w:highlight w:val="none"/>
          <w:shd w:val="clear" w:color="auto" w:fill="auto"/>
          <w:lang w:val="en-US" w:eastAsia="zh-CN" w:bidi="ar"/>
          <w14:textFill>
            <w14:solidFill>
              <w14:schemeClr w14:val="tx1"/>
            </w14:solidFill>
          </w14:textFill>
        </w:rPr>
        <w:t>一是</w:t>
      </w:r>
      <w:r>
        <w:rPr>
          <w:rFonts w:hint="eastAsia" w:ascii="仿宋" w:hAnsi="仿宋" w:eastAsia="仿宋" w:cs="仿宋"/>
          <w:b w:val="0"/>
          <w:bCs w:val="0"/>
          <w:color w:val="000000" w:themeColor="text1"/>
          <w:kern w:val="0"/>
          <w:sz w:val="32"/>
          <w:szCs w:val="32"/>
          <w:highlight w:val="none"/>
          <w:shd w:val="clear" w:color="auto" w:fill="auto"/>
          <w:lang w:val="en-US" w:eastAsia="zh-CN" w:bidi="ar"/>
          <w14:textFill>
            <w14:solidFill>
              <w14:schemeClr w14:val="tx1"/>
            </w14:solidFill>
          </w14:textFill>
        </w:rPr>
        <w:t>积极推进生态系统修复总体规划编制。</w:t>
      </w:r>
      <w:r>
        <w:rPr>
          <w:rFonts w:hint="eastAsia" w:ascii="仿宋" w:hAnsi="仿宋" w:eastAsia="仿宋" w:cs="仿宋"/>
          <w:b w:val="0"/>
          <w:bCs w:val="0"/>
          <w:color w:val="000000" w:themeColor="text1"/>
          <w:sz w:val="32"/>
          <w:highlight w:val="none"/>
          <w:shd w:val="clear" w:color="auto" w:fill="auto"/>
          <w14:textFill>
            <w14:solidFill>
              <w14:schemeClr w14:val="tx1"/>
            </w14:solidFill>
          </w14:textFill>
        </w:rPr>
        <w:t>2021年</w:t>
      </w:r>
      <w:r>
        <w:rPr>
          <w:rFonts w:hint="eastAsia" w:ascii="仿宋" w:hAnsi="仿宋" w:eastAsia="仿宋" w:cs="仿宋"/>
          <w:b w:val="0"/>
          <w:bCs w:val="0"/>
          <w:color w:val="000000" w:themeColor="text1"/>
          <w:sz w:val="32"/>
          <w:highlight w:val="none"/>
          <w:shd w:val="clear" w:color="auto" w:fill="auto"/>
          <w:lang w:eastAsia="zh-CN"/>
          <w14:textFill>
            <w14:solidFill>
              <w14:schemeClr w14:val="tx1"/>
            </w14:solidFill>
          </w14:textFill>
        </w:rPr>
        <w:t>我</w:t>
      </w:r>
      <w:r>
        <w:rPr>
          <w:rFonts w:hint="eastAsia" w:ascii="仿宋" w:hAnsi="仿宋" w:eastAsia="仿宋" w:cs="仿宋"/>
          <w:b w:val="0"/>
          <w:bCs w:val="0"/>
          <w:color w:val="000000" w:themeColor="text1"/>
          <w:sz w:val="32"/>
          <w:highlight w:val="none"/>
          <w:shd w:val="clear" w:color="auto" w:fill="auto"/>
          <w14:textFill>
            <w14:solidFill>
              <w14:schemeClr w14:val="tx1"/>
            </w14:solidFill>
          </w14:textFill>
        </w:rPr>
        <w:t>市启动生态修复规划</w:t>
      </w:r>
      <w:r>
        <w:rPr>
          <w:rFonts w:hint="eastAsia" w:ascii="仿宋" w:hAnsi="仿宋" w:eastAsia="仿宋" w:cs="仿宋"/>
          <w:color w:val="000000" w:themeColor="text1"/>
          <w:sz w:val="32"/>
          <w:highlight w:val="none"/>
          <w:shd w:val="clear" w:color="auto" w:fill="auto"/>
          <w14:textFill>
            <w14:solidFill>
              <w14:schemeClr w14:val="tx1"/>
            </w14:solidFill>
          </w14:textFill>
        </w:rPr>
        <w:t>编制工作</w:t>
      </w:r>
      <w:r>
        <w:rPr>
          <w:rFonts w:hint="eastAsia" w:ascii="仿宋" w:hAnsi="仿宋" w:eastAsia="仿宋" w:cs="仿宋"/>
          <w:color w:val="000000" w:themeColor="text1"/>
          <w:sz w:val="32"/>
          <w:highlight w:val="none"/>
          <w:shd w:val="clear" w:color="auto" w:fill="auto"/>
          <w:lang w:eastAsia="zh-CN"/>
          <w14:textFill>
            <w14:solidFill>
              <w14:schemeClr w14:val="tx1"/>
            </w14:solidFill>
          </w14:textFill>
        </w:rPr>
        <w:t>，</w:t>
      </w:r>
      <w:r>
        <w:rPr>
          <w:rFonts w:hint="eastAsia" w:ascii="仿宋" w:hAnsi="仿宋" w:eastAsia="仿宋" w:cs="仿宋"/>
          <w:color w:val="000000" w:themeColor="text1"/>
          <w:sz w:val="32"/>
          <w:highlight w:val="none"/>
          <w:shd w:val="clear" w:color="auto" w:fill="auto"/>
          <w14:textFill>
            <w14:solidFill>
              <w14:schemeClr w14:val="tx1"/>
            </w14:solidFill>
          </w14:textFill>
        </w:rPr>
        <w:t>11月底完成《邢台市国土空间生态修复规划（2021</w:t>
      </w:r>
      <w:r>
        <w:rPr>
          <w:rFonts w:hint="eastAsia" w:ascii="仿宋" w:hAnsi="仿宋" w:eastAsia="仿宋" w:cs="仿宋"/>
          <w:color w:val="000000" w:themeColor="text1"/>
          <w:sz w:val="32"/>
          <w:highlight w:val="none"/>
          <w:shd w:val="clear" w:color="auto" w:fill="auto"/>
          <w:lang w:eastAsia="zh-CN"/>
          <w14:textFill>
            <w14:solidFill>
              <w14:schemeClr w14:val="tx1"/>
            </w14:solidFill>
          </w14:textFill>
        </w:rPr>
        <w:t>—</w:t>
      </w:r>
      <w:r>
        <w:rPr>
          <w:rFonts w:hint="eastAsia" w:ascii="仿宋" w:hAnsi="仿宋" w:eastAsia="仿宋" w:cs="仿宋"/>
          <w:color w:val="000000" w:themeColor="text1"/>
          <w:sz w:val="32"/>
          <w:highlight w:val="none"/>
          <w:shd w:val="clear" w:color="auto" w:fill="auto"/>
          <w14:textFill>
            <w14:solidFill>
              <w14:schemeClr w14:val="tx1"/>
            </w14:solidFill>
          </w14:textFill>
        </w:rPr>
        <w:t>2035年）》</w:t>
      </w:r>
      <w:r>
        <w:rPr>
          <w:rFonts w:hint="eastAsia" w:ascii="仿宋" w:hAnsi="仿宋" w:eastAsia="仿宋" w:cs="仿宋"/>
          <w:color w:val="000000" w:themeColor="text1"/>
          <w:sz w:val="32"/>
          <w:szCs w:val="24"/>
          <w:highlight w:val="none"/>
          <w:shd w:val="clear" w:color="auto" w:fill="auto"/>
          <w14:textFill>
            <w14:solidFill>
              <w14:schemeClr w14:val="tx1"/>
            </w14:solidFill>
          </w14:textFill>
        </w:rPr>
        <w:t>（以下简称《规划》）</w:t>
      </w:r>
      <w:r>
        <w:rPr>
          <w:rFonts w:hint="eastAsia" w:ascii="仿宋" w:hAnsi="仿宋" w:eastAsia="仿宋" w:cs="仿宋"/>
          <w:color w:val="000000" w:themeColor="text1"/>
          <w:sz w:val="32"/>
          <w:highlight w:val="none"/>
          <w:shd w:val="clear" w:color="auto" w:fill="auto"/>
          <w14:textFill>
            <w14:solidFill>
              <w14:schemeClr w14:val="tx1"/>
            </w14:solidFill>
          </w14:textFill>
        </w:rPr>
        <w:t>初步</w:t>
      </w:r>
      <w:r>
        <w:rPr>
          <w:rFonts w:hint="eastAsia" w:ascii="仿宋" w:hAnsi="仿宋" w:eastAsia="仿宋" w:cs="仿宋"/>
          <w:color w:val="000000" w:themeColor="text1"/>
          <w:sz w:val="32"/>
          <w:highlight w:val="none"/>
          <w:shd w:val="clear" w:color="auto" w:fill="auto"/>
          <w:lang w:eastAsia="zh-CN"/>
          <w14:textFill>
            <w14:solidFill>
              <w14:schemeClr w14:val="tx1"/>
            </w14:solidFill>
          </w14:textFill>
        </w:rPr>
        <w:t>文本。</w:t>
      </w:r>
      <w:r>
        <w:rPr>
          <w:rFonts w:hint="eastAsia" w:ascii="仿宋" w:hAnsi="仿宋" w:eastAsia="仿宋" w:cs="仿宋"/>
          <w:color w:val="000000" w:themeColor="text1"/>
          <w:sz w:val="32"/>
          <w:highlight w:val="none"/>
          <w:shd w:val="clear" w:color="auto" w:fill="auto"/>
          <w14:textFill>
            <w14:solidFill>
              <w14:schemeClr w14:val="tx1"/>
            </w14:solidFill>
          </w14:textFill>
        </w:rPr>
        <w:t>2024年3月起结合上位规划</w:t>
      </w:r>
      <w:r>
        <w:rPr>
          <w:rFonts w:hint="eastAsia" w:ascii="仿宋" w:hAnsi="仿宋" w:eastAsia="仿宋" w:cs="仿宋"/>
          <w:color w:val="000000" w:themeColor="text1"/>
          <w:sz w:val="32"/>
          <w:highlight w:val="none"/>
          <w:shd w:val="clear" w:color="auto" w:fill="auto"/>
          <w:lang w:eastAsia="zh-CN"/>
          <w14:textFill>
            <w14:solidFill>
              <w14:schemeClr w14:val="tx1"/>
            </w14:solidFill>
          </w14:textFill>
        </w:rPr>
        <w:t>确定的目标任务</w:t>
      </w:r>
      <w:r>
        <w:rPr>
          <w:rFonts w:hint="eastAsia" w:ascii="仿宋" w:hAnsi="仿宋" w:eastAsia="仿宋" w:cs="仿宋"/>
          <w:color w:val="000000" w:themeColor="text1"/>
          <w:sz w:val="32"/>
          <w:highlight w:val="none"/>
          <w:shd w:val="clear" w:color="auto" w:fill="auto"/>
          <w14:textFill>
            <w14:solidFill>
              <w14:schemeClr w14:val="tx1"/>
            </w14:solidFill>
          </w14:textFill>
        </w:rPr>
        <w:t>对《规划》初步</w:t>
      </w:r>
      <w:r>
        <w:rPr>
          <w:rFonts w:hint="eastAsia" w:ascii="仿宋" w:hAnsi="仿宋" w:eastAsia="仿宋" w:cs="仿宋"/>
          <w:color w:val="000000" w:themeColor="text1"/>
          <w:sz w:val="32"/>
          <w:highlight w:val="none"/>
          <w:shd w:val="clear" w:color="auto" w:fill="auto"/>
          <w:lang w:eastAsia="zh-CN"/>
          <w14:textFill>
            <w14:solidFill>
              <w14:schemeClr w14:val="tx1"/>
            </w14:solidFill>
          </w14:textFill>
        </w:rPr>
        <w:t>文本</w:t>
      </w:r>
      <w:r>
        <w:rPr>
          <w:rFonts w:hint="eastAsia" w:ascii="仿宋" w:hAnsi="仿宋" w:eastAsia="仿宋" w:cs="仿宋"/>
          <w:color w:val="000000" w:themeColor="text1"/>
          <w:sz w:val="32"/>
          <w:highlight w:val="none"/>
          <w:shd w:val="clear" w:color="auto" w:fill="auto"/>
          <w14:textFill>
            <w14:solidFill>
              <w14:schemeClr w14:val="tx1"/>
            </w14:solidFill>
          </w14:textFill>
        </w:rPr>
        <w:t>进行</w:t>
      </w:r>
      <w:r>
        <w:rPr>
          <w:rFonts w:hint="eastAsia" w:ascii="仿宋" w:hAnsi="仿宋" w:eastAsia="仿宋" w:cs="仿宋"/>
          <w:color w:val="000000" w:themeColor="text1"/>
          <w:sz w:val="32"/>
          <w:highlight w:val="none"/>
          <w:shd w:val="clear" w:color="auto" w:fill="auto"/>
          <w:lang w:eastAsia="zh-CN"/>
          <w14:textFill>
            <w14:solidFill>
              <w14:schemeClr w14:val="tx1"/>
            </w14:solidFill>
          </w14:textFill>
        </w:rPr>
        <w:t>了</w:t>
      </w:r>
      <w:r>
        <w:rPr>
          <w:rFonts w:hint="eastAsia" w:ascii="仿宋" w:hAnsi="仿宋" w:eastAsia="仿宋" w:cs="仿宋"/>
          <w:color w:val="000000" w:themeColor="text1"/>
          <w:sz w:val="32"/>
          <w:highlight w:val="none"/>
          <w:shd w:val="clear" w:color="auto" w:fill="auto"/>
          <w14:textFill>
            <w14:solidFill>
              <w14:schemeClr w14:val="tx1"/>
            </w14:solidFill>
          </w14:textFill>
        </w:rPr>
        <w:t>修改完善，</w:t>
      </w:r>
      <w:r>
        <w:rPr>
          <w:rFonts w:hint="eastAsia" w:ascii="仿宋" w:hAnsi="仿宋" w:eastAsia="仿宋" w:cs="仿宋"/>
          <w:color w:val="000000" w:themeColor="text1"/>
          <w:sz w:val="32"/>
          <w:highlight w:val="none"/>
          <w:shd w:val="clear" w:color="auto" w:fill="auto"/>
          <w:lang w:val="en-US" w:eastAsia="zh-CN"/>
          <w14:textFill>
            <w14:solidFill>
              <w14:schemeClr w14:val="tx1"/>
            </w14:solidFill>
          </w14:textFill>
        </w:rPr>
        <w:t>8月底前完成征求社会公众意见、</w:t>
      </w:r>
      <w:r>
        <w:rPr>
          <w:rFonts w:hint="eastAsia" w:ascii="仿宋" w:hAnsi="仿宋" w:eastAsia="仿宋" w:cs="仿宋"/>
          <w:color w:val="000000" w:themeColor="text1"/>
          <w:sz w:val="32"/>
          <w:highlight w:val="none"/>
          <w:shd w:val="clear" w:color="auto" w:fill="auto"/>
          <w:lang w:eastAsia="zh-CN"/>
          <w14:textFill>
            <w14:solidFill>
              <w14:schemeClr w14:val="tx1"/>
            </w14:solidFill>
          </w14:textFill>
        </w:rPr>
        <w:t>专家</w:t>
      </w:r>
      <w:r>
        <w:rPr>
          <w:rFonts w:hint="eastAsia" w:ascii="仿宋" w:hAnsi="仿宋" w:eastAsia="仿宋" w:cs="仿宋"/>
          <w:color w:val="000000" w:themeColor="text1"/>
          <w:sz w:val="32"/>
          <w:highlight w:val="none"/>
          <w:shd w:val="clear" w:color="auto" w:fill="auto"/>
          <w:lang w:val="en-US" w:eastAsia="zh-CN"/>
          <w14:textFill>
            <w14:solidFill>
              <w14:schemeClr w14:val="tx1"/>
            </w14:solidFill>
          </w14:textFill>
        </w:rPr>
        <w:t>技术审查，并</w:t>
      </w:r>
      <w:r>
        <w:rPr>
          <w:rFonts w:hint="eastAsia" w:ascii="仿宋" w:hAnsi="仿宋" w:eastAsia="仿宋" w:cs="仿宋"/>
          <w:color w:val="000000" w:themeColor="text1"/>
          <w:sz w:val="32"/>
          <w:szCs w:val="24"/>
          <w:highlight w:val="none"/>
          <w:shd w:val="clear" w:color="auto" w:fill="auto"/>
          <w14:textFill>
            <w14:solidFill>
              <w14:schemeClr w14:val="tx1"/>
            </w14:solidFill>
          </w14:textFill>
        </w:rPr>
        <w:t>充分征求了市直</w:t>
      </w:r>
      <w:r>
        <w:rPr>
          <w:rFonts w:hint="eastAsia" w:ascii="仿宋" w:hAnsi="仿宋" w:eastAsia="仿宋" w:cs="仿宋"/>
          <w:color w:val="000000" w:themeColor="text1"/>
          <w:sz w:val="32"/>
          <w:szCs w:val="24"/>
          <w:highlight w:val="none"/>
          <w:shd w:val="clear" w:color="auto" w:fill="auto"/>
          <w:lang w:val="en-US" w:eastAsia="zh-CN"/>
          <w14:textFill>
            <w14:solidFill>
              <w14:schemeClr w14:val="tx1"/>
            </w14:solidFill>
          </w14:textFill>
        </w:rPr>
        <w:t>相关</w:t>
      </w:r>
      <w:r>
        <w:rPr>
          <w:rFonts w:hint="eastAsia" w:ascii="仿宋" w:hAnsi="仿宋" w:eastAsia="仿宋" w:cs="仿宋"/>
          <w:color w:val="000000" w:themeColor="text1"/>
          <w:sz w:val="32"/>
          <w:szCs w:val="24"/>
          <w:highlight w:val="none"/>
          <w:shd w:val="clear" w:color="auto" w:fill="auto"/>
          <w14:textFill>
            <w14:solidFill>
              <w14:schemeClr w14:val="tx1"/>
            </w14:solidFill>
          </w14:textFill>
        </w:rPr>
        <w:t>部门、县（市、区）政府</w:t>
      </w:r>
      <w:r>
        <w:rPr>
          <w:rFonts w:hint="eastAsia" w:ascii="仿宋" w:hAnsi="仿宋" w:eastAsia="仿宋" w:cs="仿宋"/>
          <w:color w:val="000000" w:themeColor="text1"/>
          <w:sz w:val="32"/>
          <w:szCs w:val="24"/>
          <w:highlight w:val="none"/>
          <w:shd w:val="clear" w:color="auto" w:fill="auto"/>
          <w:lang w:eastAsia="zh-CN"/>
          <w14:textFill>
            <w14:solidFill>
              <w14:schemeClr w14:val="tx1"/>
            </w14:solidFill>
          </w14:textFill>
        </w:rPr>
        <w:t>意见，</w:t>
      </w:r>
      <w:r>
        <w:rPr>
          <w:rFonts w:hint="eastAsia" w:ascii="仿宋" w:hAnsi="仿宋" w:eastAsia="仿宋" w:cs="仿宋"/>
          <w:color w:val="000000" w:themeColor="text1"/>
          <w:sz w:val="32"/>
          <w:szCs w:val="24"/>
          <w:highlight w:val="none"/>
          <w:shd w:val="clear" w:color="auto" w:fill="auto"/>
          <w:lang w:val="en-US" w:eastAsia="zh-CN"/>
          <w14:textFill>
            <w14:solidFill>
              <w14:schemeClr w14:val="tx1"/>
            </w14:solidFill>
          </w14:textFill>
        </w:rPr>
        <w:t>11月14日经</w:t>
      </w:r>
      <w:r>
        <w:rPr>
          <w:rFonts w:hint="eastAsia" w:ascii="仿宋" w:hAnsi="仿宋" w:eastAsia="仿宋" w:cs="仿宋"/>
          <w:color w:val="000000" w:themeColor="text1"/>
          <w:sz w:val="32"/>
          <w:highlight w:val="none"/>
          <w:shd w:val="clear" w:color="auto" w:fill="auto"/>
          <w:lang w:val="en-US" w:eastAsia="zh-CN"/>
          <w14:textFill>
            <w14:solidFill>
              <w14:schemeClr w14:val="tx1"/>
            </w14:solidFill>
          </w14:textFill>
        </w:rPr>
        <w:t>市规委会审议通过后</w:t>
      </w:r>
      <w:r>
        <w:rPr>
          <w:rFonts w:hint="eastAsia" w:ascii="仿宋" w:hAnsi="仿宋" w:eastAsia="仿宋" w:cs="仿宋"/>
          <w:color w:val="000000" w:themeColor="text1"/>
          <w:sz w:val="32"/>
          <w:highlight w:val="none"/>
          <w:shd w:val="clear" w:color="auto" w:fill="auto"/>
          <w:lang w:val="en-US" w:eastAsia="zh"/>
          <w14:textFill>
            <w14:solidFill>
              <w14:schemeClr w14:val="tx1"/>
            </w14:solidFill>
          </w14:textFill>
        </w:rPr>
        <w:t>,</w:t>
      </w:r>
      <w:r>
        <w:rPr>
          <w:rFonts w:hint="eastAsia" w:ascii="仿宋" w:hAnsi="仿宋" w:eastAsia="仿宋" w:cs="仿宋"/>
          <w:color w:val="000000" w:themeColor="text1"/>
          <w:sz w:val="32"/>
          <w:highlight w:val="none"/>
          <w:shd w:val="clear" w:color="auto" w:fill="auto"/>
          <w:lang w:val="en-US" w:eastAsia="zh-CN"/>
          <w14:textFill>
            <w14:solidFill>
              <w14:schemeClr w14:val="tx1"/>
            </w14:solidFill>
          </w14:textFill>
        </w:rPr>
        <w:t>12月13日邢台市人民政府批复后正式印发</w:t>
      </w:r>
      <w:r>
        <w:rPr>
          <w:rFonts w:hint="eastAsia" w:ascii="仿宋" w:hAnsi="仿宋" w:eastAsia="仿宋" w:cs="仿宋"/>
          <w:color w:val="000000" w:themeColor="text1"/>
          <w:sz w:val="32"/>
          <w:szCs w:val="24"/>
          <w:highlight w:val="none"/>
          <w:shd w:val="clear" w:color="auto" w:fill="auto"/>
          <w:lang w:eastAsia="zh-CN"/>
          <w14:textFill>
            <w14:solidFill>
              <w14:schemeClr w14:val="tx1"/>
            </w14:solidFill>
          </w14:textFill>
        </w:rPr>
        <w:t>。</w:t>
      </w:r>
      <w:r>
        <w:rPr>
          <w:rFonts w:hint="eastAsia" w:ascii="仿宋" w:hAnsi="仿宋" w:eastAsia="仿宋" w:cs="仿宋"/>
          <w:color w:val="000000" w:themeColor="text1"/>
          <w:sz w:val="32"/>
          <w:highlight w:val="none"/>
          <w:shd w:val="clear" w:color="auto" w:fill="auto"/>
          <w:lang w:eastAsia="zh-CN"/>
          <w14:textFill>
            <w14:solidFill>
              <w14:schemeClr w14:val="tx1"/>
            </w14:solidFill>
          </w14:textFill>
        </w:rPr>
        <w:t>《规划》</w:t>
      </w:r>
      <w:r>
        <w:rPr>
          <w:rFonts w:hint="eastAsia" w:ascii="仿宋" w:hAnsi="仿宋" w:eastAsia="仿宋" w:cs="仿宋"/>
          <w:color w:val="000000" w:themeColor="text1"/>
          <w:sz w:val="32"/>
          <w:highlight w:val="none"/>
          <w:shd w:val="clear" w:color="auto" w:fill="auto"/>
          <w14:textFill>
            <w14:solidFill>
              <w14:schemeClr w14:val="tx1"/>
            </w14:solidFill>
          </w14:textFill>
        </w:rPr>
        <w:t>以邢台市自然生态本底为基础，充分落实了省级生态修复规划、市级国土空间总体规划等上位规划</w:t>
      </w:r>
      <w:r>
        <w:rPr>
          <w:rFonts w:hint="eastAsia" w:ascii="仿宋" w:hAnsi="仿宋" w:eastAsia="仿宋" w:cs="仿宋"/>
          <w:color w:val="000000" w:themeColor="text1"/>
          <w:sz w:val="32"/>
          <w:highlight w:val="none"/>
          <w:shd w:val="clear" w:color="auto" w:fill="auto"/>
          <w:lang w:eastAsia="zh-CN"/>
          <w14:textFill>
            <w14:solidFill>
              <w14:schemeClr w14:val="tx1"/>
            </w14:solidFill>
          </w14:textFill>
        </w:rPr>
        <w:t>确定的目标任务</w:t>
      </w:r>
      <w:r>
        <w:rPr>
          <w:rFonts w:hint="eastAsia" w:ascii="仿宋" w:hAnsi="仿宋" w:eastAsia="仿宋" w:cs="仿宋"/>
          <w:color w:val="000000" w:themeColor="text1"/>
          <w:sz w:val="32"/>
          <w:highlight w:val="none"/>
          <w:shd w:val="clear" w:color="auto" w:fill="auto"/>
          <w14:textFill>
            <w14:solidFill>
              <w14:schemeClr w14:val="tx1"/>
            </w14:solidFill>
          </w14:textFill>
        </w:rPr>
        <w:t>，同时结合我市自然生态特征、识别的主要生态问题，确定了生态修复目标，构建了“一屏一区多廊”的生态修复总体格局，划定了6个生态修复重点区域，</w:t>
      </w:r>
      <w:r>
        <w:rPr>
          <w:rFonts w:hint="eastAsia" w:ascii="仿宋" w:hAnsi="仿宋" w:eastAsia="仿宋" w:cs="仿宋"/>
          <w:color w:val="000000" w:themeColor="text1"/>
          <w:sz w:val="32"/>
          <w:highlight w:val="none"/>
          <w:shd w:val="clear" w:color="auto" w:fill="auto"/>
          <w:lang w:eastAsia="zh-CN"/>
          <w14:textFill>
            <w14:solidFill>
              <w14:schemeClr w14:val="tx1"/>
            </w14:solidFill>
          </w14:textFill>
        </w:rPr>
        <w:t>包含了自然资源和规划、</w:t>
      </w:r>
      <w:r>
        <w:rPr>
          <w:rFonts w:hint="eastAsia" w:ascii="仿宋" w:hAnsi="仿宋" w:eastAsia="仿宋" w:cs="仿宋"/>
          <w:color w:val="000000" w:themeColor="text1"/>
          <w:sz w:val="32"/>
          <w:highlight w:val="none"/>
          <w:shd w:val="clear" w:color="auto" w:fill="auto"/>
          <w14:textFill>
            <w14:solidFill>
              <w14:schemeClr w14:val="tx1"/>
            </w14:solidFill>
          </w14:textFill>
        </w:rPr>
        <w:t>水务、林业、农业农村等相关部门近期远期生态保护修复计划</w:t>
      </w:r>
      <w:r>
        <w:rPr>
          <w:rFonts w:hint="eastAsia" w:ascii="仿宋" w:hAnsi="仿宋" w:eastAsia="仿宋" w:cs="仿宋"/>
          <w:color w:val="000000" w:themeColor="text1"/>
          <w:sz w:val="32"/>
          <w:highlight w:val="none"/>
          <w:shd w:val="clear" w:color="auto" w:fill="auto"/>
          <w:lang w:eastAsia="zh-CN"/>
          <w14:textFill>
            <w14:solidFill>
              <w14:schemeClr w14:val="tx1"/>
            </w14:solidFill>
          </w14:textFill>
        </w:rPr>
        <w:t>。</w:t>
      </w:r>
      <w:r>
        <w:rPr>
          <w:rFonts w:hint="eastAsia" w:ascii="仿宋" w:hAnsi="仿宋" w:eastAsia="仿宋" w:cs="仿宋"/>
          <w:b/>
          <w:bCs/>
          <w:color w:val="000000" w:themeColor="text1"/>
          <w:kern w:val="0"/>
          <w:sz w:val="32"/>
          <w:szCs w:val="32"/>
          <w:highlight w:val="none"/>
          <w:shd w:val="clear" w:color="auto" w:fill="auto"/>
          <w:lang w:val="en-US" w:eastAsia="zh-CN" w:bidi="ar"/>
          <w14:textFill>
            <w14:solidFill>
              <w14:schemeClr w14:val="tx1"/>
            </w14:solidFill>
          </w14:textFill>
        </w:rPr>
        <w:t>二是</w:t>
      </w:r>
      <w:r>
        <w:rPr>
          <w:rFonts w:hint="eastAsia" w:ascii="仿宋" w:hAnsi="仿宋" w:eastAsia="仿宋" w:cs="仿宋"/>
          <w:b w:val="0"/>
          <w:bCs w:val="0"/>
          <w:color w:val="000000" w:themeColor="text1"/>
          <w:kern w:val="0"/>
          <w:sz w:val="32"/>
          <w:szCs w:val="32"/>
          <w:highlight w:val="none"/>
          <w:shd w:val="clear" w:color="auto" w:fill="auto"/>
          <w:lang w:val="en-US" w:eastAsia="zh-CN" w:bidi="ar"/>
          <w14:textFill>
            <w14:solidFill>
              <w14:schemeClr w14:val="tx1"/>
            </w14:solidFill>
          </w14:textFill>
        </w:rPr>
        <w:t>地质灾害防治能力不断提升。强化联防联控，进一步压实了各级地质灾害防治</w:t>
      </w:r>
      <w:r>
        <w:rPr>
          <w:rFonts w:hint="eastAsia" w:ascii="仿宋" w:hAnsi="仿宋" w:eastAsia="仿宋" w:cs="仿宋"/>
          <w:color w:val="000000" w:themeColor="text1"/>
          <w:kern w:val="0"/>
          <w:sz w:val="32"/>
          <w:szCs w:val="32"/>
          <w:highlight w:val="none"/>
          <w:shd w:val="clear" w:color="auto" w:fill="auto"/>
          <w:lang w:val="en-US" w:eastAsia="zh-CN" w:bidi="ar"/>
          <w14:textFill>
            <w14:solidFill>
              <w14:schemeClr w14:val="tx1"/>
            </w14:solidFill>
          </w14:textFill>
        </w:rPr>
        <w:t>主体责任，全市形成了横向到边、纵向到底的网格化地质灾害防治机制。</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kinsoku/>
        <w:wordWrap/>
        <w:overflowPunct w:val="0"/>
        <w:topLinePunct w:val="0"/>
        <w:autoSpaceDE/>
        <w:autoSpaceDN/>
        <w:bidi w:val="0"/>
        <w:spacing w:before="0" w:beforeLines="0" w:afterLines="0" w:line="560" w:lineRule="exact"/>
        <w:ind w:left="0" w:leftChars="0" w:right="0" w:rightChars="0" w:firstLine="616" w:firstLineChars="200"/>
        <w:jc w:val="both"/>
        <w:textAlignment w:val="auto"/>
        <w:rPr>
          <w:rFonts w:hint="eastAsia" w:ascii="仿宋" w:hAnsi="仿宋" w:eastAsia="仿宋" w:cs="仿宋"/>
          <w:color w:val="000000" w:themeColor="text1"/>
          <w:sz w:val="32"/>
          <w:szCs w:val="32"/>
          <w:lang w:val="en-US"/>
          <w14:textFill>
            <w14:solidFill>
              <w14:schemeClr w14:val="tx1"/>
            </w14:solidFill>
          </w14:textFill>
        </w:rPr>
      </w:pPr>
      <w:r>
        <w:rPr>
          <w:rFonts w:hint="eastAsia" w:ascii="仿宋" w:hAnsi="仿宋" w:eastAsia="仿宋" w:cs="仿宋"/>
          <w:b w:val="0"/>
          <w:bCs w:val="0"/>
          <w:color w:val="000000" w:themeColor="text1"/>
          <w:spacing w:val="-6"/>
          <w:sz w:val="32"/>
          <w:szCs w:val="32"/>
          <w:lang w:val="en-US" w:eastAsia="zh-CN"/>
          <w14:textFill>
            <w14:solidFill>
              <w14:schemeClr w14:val="tx1"/>
            </w14:solidFill>
          </w14:textFill>
        </w:rPr>
        <w:t>3.推进生态文明等相关重大制度建设。</w:t>
      </w:r>
      <w:r>
        <w:rPr>
          <w:rFonts w:hint="eastAsia" w:ascii="仿宋" w:hAnsi="仿宋" w:eastAsia="仿宋" w:cs="仿宋"/>
          <w:b/>
          <w:bCs/>
          <w:color w:val="000000" w:themeColor="text1"/>
          <w:kern w:val="0"/>
          <w:sz w:val="32"/>
          <w:szCs w:val="32"/>
          <w:lang w:val="en-US" w:eastAsia="zh-CN" w:bidi="ar"/>
          <w14:textFill>
            <w14:solidFill>
              <w14:schemeClr w14:val="tx1"/>
            </w14:solidFill>
          </w14:textFill>
        </w:rPr>
        <w:t>一是</w:t>
      </w:r>
      <w:r>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t>持续抓好自然资源管理“放管服”改革。持续开展登记、交易、税</w:t>
      </w:r>
      <w:r>
        <w:rPr>
          <w:rFonts w:hint="eastAsia" w:ascii="仿宋" w:hAnsi="仿宋" w:eastAsia="仿宋" w:cs="仿宋"/>
          <w:color w:val="000000" w:themeColor="text1"/>
          <w:kern w:val="0"/>
          <w:sz w:val="32"/>
          <w:szCs w:val="32"/>
          <w:lang w:val="en-US" w:eastAsia="zh-CN" w:bidi="ar"/>
          <w14:textFill>
            <w14:solidFill>
              <w14:schemeClr w14:val="tx1"/>
            </w14:solidFill>
          </w14:textFill>
        </w:rPr>
        <w:t>务业务“一窗受理、并行办理”，实施“互联网＋不动产登记”，实现不动产登记24小时“不打烊”；23项一般不动产登记业务实现“即申即办”。</w:t>
      </w:r>
      <w:r>
        <w:rPr>
          <w:rFonts w:hint="eastAsia" w:ascii="仿宋" w:hAnsi="仿宋" w:eastAsia="仿宋" w:cs="仿宋"/>
          <w:b/>
          <w:bCs/>
          <w:color w:val="000000" w:themeColor="text1"/>
          <w:kern w:val="0"/>
          <w:sz w:val="32"/>
          <w:szCs w:val="32"/>
          <w:lang w:val="en-US" w:eastAsia="zh-CN" w:bidi="ar"/>
          <w14:textFill>
            <w14:solidFill>
              <w14:schemeClr w14:val="tx1"/>
            </w14:solidFill>
          </w14:textFill>
        </w:rPr>
        <w:t>二是</w:t>
      </w:r>
      <w:r>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t>列入自然资源资产负债表编制试点。按照省自然资源厅工作安排，我市被列入</w:t>
      </w:r>
      <w:r>
        <w:rPr>
          <w:rFonts w:hint="eastAsia" w:ascii="仿宋" w:hAnsi="仿宋" w:eastAsia="仿宋" w:cs="仿宋"/>
          <w:color w:val="000000" w:themeColor="text1"/>
          <w:kern w:val="0"/>
          <w:sz w:val="32"/>
          <w:szCs w:val="32"/>
          <w:lang w:val="en-US" w:eastAsia="zh-CN" w:bidi="ar"/>
          <w14:textFill>
            <w14:solidFill>
              <w14:schemeClr w14:val="tx1"/>
            </w14:solidFill>
          </w14:textFill>
        </w:rPr>
        <w:t>市级全民所有自然资源资产负债表编制第二批试点地区。</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kinsoku/>
        <w:wordWrap/>
        <w:overflowPunct w:val="0"/>
        <w:topLinePunct w:val="0"/>
        <w:autoSpaceDE/>
        <w:autoSpaceDN/>
        <w:bidi w:val="0"/>
        <w:adjustRightInd/>
        <w:snapToGrid/>
        <w:spacing w:before="0" w:beforeLines="0" w:afterLines="0" w:line="560" w:lineRule="exact"/>
        <w:ind w:left="0" w:leftChars="0" w:right="0" w:rightChars="0" w:firstLine="616" w:firstLineChars="200"/>
        <w:jc w:val="both"/>
        <w:textAlignment w:val="auto"/>
        <w:rPr>
          <w:rFonts w:hint="eastAsia" w:ascii="仿宋" w:hAnsi="仿宋" w:eastAsia="仿宋" w:cs="仿宋"/>
          <w:color w:val="000000" w:themeColor="text1"/>
          <w:kern w:val="0"/>
          <w:sz w:val="32"/>
          <w:szCs w:val="32"/>
          <w:lang w:val="en-US" w:eastAsia="zh-CN" w:bidi="ar"/>
          <w14:textFill>
            <w14:solidFill>
              <w14:schemeClr w14:val="tx1"/>
            </w14:solidFill>
          </w14:textFill>
        </w:rPr>
      </w:pPr>
      <w:r>
        <w:rPr>
          <w:rFonts w:hint="eastAsia" w:ascii="仿宋" w:hAnsi="仿宋" w:eastAsia="仿宋" w:cs="仿宋"/>
          <w:b w:val="0"/>
          <w:bCs w:val="0"/>
          <w:color w:val="000000" w:themeColor="text1"/>
          <w:spacing w:val="-6"/>
          <w:sz w:val="32"/>
          <w:szCs w:val="32"/>
          <w:lang w:val="en-US" w:eastAsia="zh-CN"/>
          <w14:textFill>
            <w14:solidFill>
              <w14:schemeClr w14:val="tx1"/>
            </w14:solidFill>
          </w14:textFill>
        </w:rPr>
        <w:t>4.强化自然资源保护和开发利用。</w:t>
      </w:r>
      <w:r>
        <w:rPr>
          <w:rFonts w:hint="eastAsia" w:ascii="仿宋" w:hAnsi="仿宋" w:eastAsia="仿宋" w:cs="仿宋"/>
          <w:b/>
          <w:bCs/>
          <w:color w:val="000000" w:themeColor="text1"/>
          <w:kern w:val="0"/>
          <w:sz w:val="32"/>
          <w:szCs w:val="32"/>
          <w:highlight w:val="none"/>
          <w:lang w:val="en-US" w:eastAsia="zh-CN" w:bidi="ar"/>
          <w14:textFill>
            <w14:solidFill>
              <w14:schemeClr w14:val="tx1"/>
            </w14:solidFill>
          </w14:textFill>
        </w:rPr>
        <w:t>一是</w:t>
      </w:r>
      <w:r>
        <w:rPr>
          <w:rFonts w:hint="eastAsia" w:ascii="仿宋" w:hAnsi="仿宋" w:eastAsia="仿宋" w:cs="仿宋"/>
          <w:b w:val="0"/>
          <w:bCs w:val="0"/>
          <w:color w:val="000000" w:themeColor="text1"/>
          <w:kern w:val="0"/>
          <w:sz w:val="32"/>
          <w:szCs w:val="32"/>
          <w:highlight w:val="none"/>
          <w:lang w:val="en-US" w:eastAsia="zh-CN" w:bidi="ar"/>
          <w14:textFill>
            <w14:solidFill>
              <w14:schemeClr w14:val="tx1"/>
            </w14:solidFill>
          </w14:textFill>
        </w:rPr>
        <w:t>落实最严格的耕地保护制度。</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始终坚持以严守耕地和永久基本农田</w:t>
      </w:r>
      <w:r>
        <w:rPr>
          <w:rFonts w:hint="eastAsia" w:ascii="仿宋" w:hAnsi="仿宋" w:eastAsia="仿宋" w:cs="仿宋"/>
          <w:color w:val="000000" w:themeColor="text1"/>
          <w:sz w:val="32"/>
          <w:szCs w:val="32"/>
          <w:highlight w:val="none"/>
          <w:lang w:val="en-US" w:eastAsia="zh-CN"/>
          <w14:textFill>
            <w14:solidFill>
              <w14:schemeClr w14:val="tx1"/>
            </w14:solidFill>
          </w14:textFill>
        </w:rPr>
        <w:t>保护任务为目标，落实最严格的耕地保护制度。2024年全面完成年度耕地保护战线工作任务，</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成立邢台市耕地保护战线工作领导小组,</w:t>
      </w:r>
      <w:r>
        <w:rPr>
          <w:rFonts w:hint="eastAsia" w:ascii="仿宋" w:hAnsi="仿宋" w:eastAsia="仿宋" w:cs="仿宋"/>
          <w:color w:val="000000" w:themeColor="text1"/>
          <w:sz w:val="32"/>
          <w:szCs w:val="32"/>
          <w:highlight w:val="none"/>
          <w:lang w:val="en-US" w:eastAsia="zh-CN"/>
          <w14:textFill>
            <w14:solidFill>
              <w14:schemeClr w14:val="tx1"/>
            </w14:solidFill>
          </w14:textFill>
        </w:rPr>
        <w:t>并印发了《关于做好全市2024年耕地保护工作的十条措施》，聚焦耕地保护考核、永久基本农田保护、耕地流出问题整改等重点工作制定具体落实措施，为完成年度任务目标提供有力措施保障。持续深入开展耕地流出问题整改，严格遏制耕地“非农化”，稳妥有序消除存量“非耕地”问题。全年耕地净流入21.29万亩，耕地流入量位居全省前列。积极落实部、省关于占补平衡制度改革的各项安排部署，做好新老政策的有效衔接。指导各县（市、区）开展补充耕地资源调查摸底，合理开发复垦新增耕地，在确保耕地总量动态平衡的前提下，实现县域占补平衡指标自求平衡，确保市域整体水平不降低。根据2024年国土变更调查“一上”成果，2024年全市耕地面积932.8万亩，实现全市耕地面积连续三年净增加，永久基本农田耕地776.07万亩，超额完成上级下达我市耕地（880.79万亩）和永久基本农田（772.64万亩）保护任务。</w:t>
      </w:r>
      <w:r>
        <w:rPr>
          <w:rFonts w:hint="eastAsia" w:ascii="仿宋" w:hAnsi="仿宋" w:eastAsia="仿宋" w:cs="仿宋"/>
          <w:b/>
          <w:bCs/>
          <w:color w:val="000000" w:themeColor="text1"/>
          <w:kern w:val="0"/>
          <w:sz w:val="32"/>
          <w:szCs w:val="32"/>
          <w:highlight w:val="none"/>
          <w:lang w:val="en-US" w:eastAsia="zh-CN" w:bidi="ar"/>
          <w14:textFill>
            <w14:solidFill>
              <w14:schemeClr w14:val="tx1"/>
            </w14:solidFill>
          </w14:textFill>
        </w:rPr>
        <w:t>二</w:t>
      </w:r>
      <w:r>
        <w:rPr>
          <w:rFonts w:hint="eastAsia" w:ascii="仿宋" w:hAnsi="仿宋" w:eastAsia="仿宋" w:cs="仿宋"/>
          <w:b/>
          <w:bCs/>
          <w:color w:val="000000" w:themeColor="text1"/>
          <w:kern w:val="0"/>
          <w:sz w:val="32"/>
          <w:szCs w:val="32"/>
          <w:lang w:val="en-US" w:eastAsia="zh-CN" w:bidi="ar"/>
          <w14:textFill>
            <w14:solidFill>
              <w14:schemeClr w14:val="tx1"/>
            </w14:solidFill>
          </w14:textFill>
        </w:rPr>
        <w:t>是</w:t>
      </w:r>
      <w:r>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t>提高矿产资源节约和综合利用，加强绿色矿山建设。持续强化矿产</w:t>
      </w:r>
      <w:r>
        <w:rPr>
          <w:rFonts w:hint="eastAsia" w:ascii="仿宋" w:hAnsi="仿宋" w:eastAsia="仿宋" w:cs="仿宋"/>
          <w:color w:val="000000" w:themeColor="text1"/>
          <w:kern w:val="0"/>
          <w:sz w:val="32"/>
          <w:szCs w:val="32"/>
          <w:lang w:val="en-US" w:eastAsia="zh-CN" w:bidi="ar"/>
          <w14:textFill>
            <w14:solidFill>
              <w14:schemeClr w14:val="tx1"/>
            </w14:solidFill>
          </w14:textFill>
        </w:rPr>
        <w:t>资源保护管理,严控矿产资源开发,严格执行产业负面清单。首次开展矿产资源开发利用水平调查评估工作,全省领先档次共6个县（市、区），我市内丘县、襄都区、沙河市处于领先档次。加强绿色矿山建设，2家矿山纳入全国绿色矿山名录，5家矿山纳入省绿色矿山名录库，9家矿山纳入省级绿色矿山储备库。</w:t>
      </w:r>
      <w:r>
        <w:rPr>
          <w:rFonts w:hint="eastAsia" w:ascii="仿宋" w:hAnsi="仿宋" w:eastAsia="仿宋" w:cs="仿宋"/>
          <w:b/>
          <w:bCs/>
          <w:color w:val="000000" w:themeColor="text1"/>
          <w:kern w:val="0"/>
          <w:sz w:val="32"/>
          <w:szCs w:val="32"/>
          <w:lang w:val="en-US" w:eastAsia="zh-CN" w:bidi="ar"/>
          <w14:textFill>
            <w14:solidFill>
              <w14:schemeClr w14:val="tx1"/>
            </w14:solidFill>
          </w14:textFill>
        </w:rPr>
        <w:t>三是</w:t>
      </w:r>
      <w:r>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t>编纂节地技术和节地模式示范案例。编纂了《邢台市节地技术和</w:t>
      </w:r>
      <w:r>
        <w:rPr>
          <w:rFonts w:hint="eastAsia" w:ascii="仿宋" w:hAnsi="仿宋" w:eastAsia="仿宋" w:cs="仿宋"/>
          <w:color w:val="000000" w:themeColor="text1"/>
          <w:kern w:val="0"/>
          <w:sz w:val="32"/>
          <w:szCs w:val="32"/>
          <w:lang w:val="en-US" w:eastAsia="zh-CN" w:bidi="ar"/>
          <w14:textFill>
            <w14:solidFill>
              <w14:schemeClr w14:val="tx1"/>
            </w14:solidFill>
          </w14:textFill>
        </w:rPr>
        <w:t>节地模式示范案例》，对近年来各地涌现出的改变厂房设计、提升工艺设计、挖掘存量土地等节地技术和节地模式进行了全面梳理，总结提炼了22个典型案例，共包含电子商务产业园、工业厂房、服装加工等节地技术和节地模式8大类，旨在推广应用节地技术和节地模式，充分发挥节地典型案例的示范作用和指导意义，为我市土地节约集约利用提供技术支撑，推动经济发展从资源依赖型向创新驱动型转变。</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（三）存在问题</w:t>
      </w:r>
    </w:p>
    <w:p>
      <w:pPr>
        <w:pStyle w:val="11"/>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pacing w:before="0" w:beforeLines="0" w:afterLines="0" w:line="560" w:lineRule="exact"/>
        <w:ind w:left="0" w:leftChars="0" w:right="0" w:rightChars="0" w:firstLine="640" w:firstLineChars="200"/>
        <w:jc w:val="both"/>
        <w:textAlignment w:val="auto"/>
        <w:rPr>
          <w:rFonts w:hint="eastAsia" w:ascii="仿宋" w:hAnsi="仿宋" w:eastAsia="仿宋" w:cs="仿宋"/>
          <w:color w:val="000000" w:themeColor="text1"/>
          <w:kern w:val="0"/>
          <w:sz w:val="32"/>
          <w:szCs w:val="32"/>
          <w:lang w:val="en-US" w:eastAsia="zh-CN" w:bidi="ar"/>
          <w14:textFill>
            <w14:solidFill>
              <w14:schemeClr w14:val="tx1"/>
            </w14:solidFill>
          </w14:textFill>
        </w:rPr>
      </w:pPr>
      <w:r>
        <w:rPr>
          <w:rFonts w:hint="eastAsia" w:ascii="仿宋" w:hAnsi="仿宋" w:eastAsia="仿宋" w:cs="仿宋"/>
          <w:color w:val="000000" w:themeColor="text1"/>
          <w:kern w:val="0"/>
          <w:sz w:val="32"/>
          <w:szCs w:val="32"/>
          <w:lang w:val="en-US" w:eastAsia="zh-CN" w:bidi="ar"/>
          <w14:textFill>
            <w14:solidFill>
              <w14:schemeClr w14:val="tx1"/>
            </w14:solidFill>
          </w14:textFill>
        </w:rPr>
        <w:t>自然资源价格体系尚在建设中，相关数据多为实物量，反映自然资源资产的经济效益时，难以准确估量市场价值，一定程度上制约着自然资源资产的有效保护、合理利用和严格监管。</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（四）下一步工作措施</w:t>
      </w: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spacing w:before="0" w:beforeLines="0" w:afterLines="0" w:line="560" w:lineRule="exact"/>
        <w:ind w:left="0" w:leftChars="0" w:right="0" w:rightChars="0" w:firstLine="616" w:firstLineChars="200"/>
        <w:jc w:val="both"/>
        <w:textAlignment w:val="auto"/>
        <w:rPr>
          <w:rFonts w:hint="eastAsia" w:ascii="仿宋" w:hAnsi="仿宋" w:eastAsia="仿宋" w:cs="仿宋"/>
          <w:color w:val="000000" w:themeColor="text1"/>
          <w:kern w:val="0"/>
          <w:sz w:val="32"/>
          <w:szCs w:val="32"/>
          <w:lang w:val="en-US" w:eastAsia="zh-CN" w:bidi="ar"/>
          <w14:textFill>
            <w14:solidFill>
              <w14:schemeClr w14:val="tx1"/>
            </w14:solidFill>
          </w14:textFill>
        </w:rPr>
      </w:pPr>
      <w:r>
        <w:rPr>
          <w:rFonts w:hint="eastAsia" w:ascii="仿宋" w:hAnsi="仿宋" w:eastAsia="仿宋" w:cs="仿宋"/>
          <w:b w:val="0"/>
          <w:bCs w:val="0"/>
          <w:color w:val="000000" w:themeColor="text1"/>
          <w:spacing w:val="-6"/>
          <w:sz w:val="32"/>
          <w:szCs w:val="32"/>
          <w:lang w:val="en-US" w:eastAsia="zh-CN"/>
          <w14:textFill>
            <w14:solidFill>
              <w14:schemeClr w14:val="tx1"/>
            </w14:solidFill>
          </w14:textFill>
        </w:rPr>
        <w:t>1.不断夯实自然资源资产管理基础。</w:t>
      </w:r>
      <w:r>
        <w:rPr>
          <w:rFonts w:hint="eastAsia" w:ascii="仿宋" w:hAnsi="仿宋" w:eastAsia="仿宋" w:cs="仿宋"/>
          <w:b/>
          <w:bCs/>
          <w:color w:val="000000" w:themeColor="text1"/>
          <w:kern w:val="0"/>
          <w:sz w:val="32"/>
          <w:szCs w:val="32"/>
          <w:lang w:val="en-US" w:eastAsia="zh-CN" w:bidi="ar"/>
          <w14:textFill>
            <w14:solidFill>
              <w14:schemeClr w14:val="tx1"/>
            </w14:solidFill>
          </w14:textFill>
        </w:rPr>
        <w:t>一是</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进一步完善自然资源资产调查监测体系。按照国家和省级要求，做好2025年上半年国土变更调查工作、完成年度国土变更调查，掌握全市土地利用变化情况。</w:t>
      </w:r>
      <w:r>
        <w:rPr>
          <w:rFonts w:hint="eastAsia" w:ascii="仿宋" w:hAnsi="仿宋" w:eastAsia="仿宋" w:cs="仿宋"/>
          <w:b/>
          <w:bCs/>
          <w:color w:val="000000" w:themeColor="text1"/>
          <w:kern w:val="0"/>
          <w:sz w:val="32"/>
          <w:szCs w:val="32"/>
          <w:lang w:val="en-US" w:eastAsia="zh-CN" w:bidi="ar"/>
          <w14:textFill>
            <w14:solidFill>
              <w14:schemeClr w14:val="tx1"/>
            </w14:solidFill>
          </w14:textFill>
        </w:rPr>
        <w:t>二是</w:t>
      </w:r>
      <w:r>
        <w:rPr>
          <w:rFonts w:hint="eastAsia" w:ascii="仿宋" w:hAnsi="仿宋" w:eastAsia="仿宋" w:cs="仿宋"/>
          <w:color w:val="000000" w:themeColor="text1"/>
          <w:kern w:val="0"/>
          <w:sz w:val="32"/>
          <w:szCs w:val="32"/>
          <w:lang w:val="en-US" w:eastAsia="zh-CN" w:bidi="ar"/>
          <w14:textFill>
            <w14:solidFill>
              <w14:schemeClr w14:val="tx1"/>
            </w14:solidFill>
          </w14:textFill>
        </w:rPr>
        <w:t>认真做好自然资源和不动产登记。</w:t>
      </w:r>
      <w:r>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t>按照确定的全民所有自然资源资产清单，根据部委和省厅出台的自然资源统一确权登记工作方法，扎实做好山、河、林、田、湖、草的自然资源确权登记工作，确定代国家行使管理权主体，充分保护国有自然资源产权；通过前置地籍调查工作，常态化推行“交地即交证”服务举措，为取得国有土地使用权的企业单位提供高效的土地登记服务，保障国有土地使用权权益；将国有林场、农场纳入不动产登记业务，明晰产权范围，保护国有林场、农场产权权益。</w:t>
      </w:r>
      <w:r>
        <w:rPr>
          <w:rFonts w:hint="eastAsia" w:ascii="仿宋" w:hAnsi="仿宋" w:eastAsia="仿宋" w:cs="仿宋"/>
          <w:b/>
          <w:bCs/>
          <w:color w:val="000000" w:themeColor="text1"/>
          <w:kern w:val="0"/>
          <w:sz w:val="32"/>
          <w:szCs w:val="32"/>
          <w:lang w:val="en-US" w:eastAsia="zh-CN" w:bidi="ar"/>
          <w14:textFill>
            <w14:solidFill>
              <w14:schemeClr w14:val="tx1"/>
            </w14:solidFill>
          </w14:textFill>
        </w:rPr>
        <w:t>三是</w:t>
      </w:r>
      <w:r>
        <w:rPr>
          <w:rFonts w:hint="eastAsia" w:ascii="仿宋" w:hAnsi="仿宋" w:eastAsia="仿宋" w:cs="仿宋"/>
          <w:color w:val="000000" w:themeColor="text1"/>
          <w:kern w:val="0"/>
          <w:sz w:val="32"/>
          <w:szCs w:val="32"/>
          <w:lang w:val="en-US" w:eastAsia="zh-CN" w:bidi="ar"/>
          <w14:textFill>
            <w14:solidFill>
              <w14:schemeClr w14:val="tx1"/>
            </w14:solidFill>
          </w14:textFill>
        </w:rPr>
        <w:t>持续推进国有自然资源资产权益管理工作。按照省自然资源厅工作安排，2025年开展市级自然资源资产负债表编制试点和邢台市全民所有自然资源资产清查工作。</w:t>
      </w:r>
    </w:p>
    <w:p>
      <w:pPr>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pacing w:before="0" w:beforeLines="0" w:afterLines="0" w:line="560" w:lineRule="exact"/>
        <w:ind w:left="0" w:leftChars="0" w:right="0" w:rightChars="0" w:firstLine="616" w:firstLineChars="200"/>
        <w:jc w:val="both"/>
        <w:textAlignment w:val="auto"/>
        <w:rPr>
          <w:rFonts w:hint="eastAsia" w:ascii="仿宋" w:hAnsi="仿宋" w:eastAsia="仿宋" w:cs="仿宋"/>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pacing w:val="-6"/>
          <w:sz w:val="32"/>
          <w:szCs w:val="32"/>
          <w:lang w:val="en-US" w:eastAsia="zh-CN"/>
          <w14:textFill>
            <w14:solidFill>
              <w14:schemeClr w14:val="tx1"/>
            </w14:solidFill>
          </w14:textFill>
        </w:rPr>
        <w:t>2.</w:t>
      </w:r>
      <w:r>
        <w:rPr>
          <w:rFonts w:hint="eastAsia" w:ascii="仿宋" w:hAnsi="仿宋" w:eastAsia="仿宋" w:cs="仿宋"/>
          <w:b w:val="0"/>
          <w:bCs w:val="0"/>
          <w:color w:val="000000" w:themeColor="text1"/>
          <w:sz w:val="32"/>
          <w:szCs w:val="32"/>
          <w:highlight w:val="none"/>
          <w:u w:val="none"/>
          <w:lang w:val="en-US" w:eastAsia="zh-CN"/>
          <w14:textFill>
            <w14:solidFill>
              <w14:schemeClr w14:val="tx1"/>
            </w14:solidFill>
          </w14:textFill>
        </w:rPr>
        <w:t>扎实推进国土空间规划体系建设。</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目前我市国土空间规划“一张图”已基本形成，全市国土空间规划体系也已基本建立。下一步按照省、市工作安排，</w:t>
      </w:r>
      <w:r>
        <w:rPr>
          <w:rFonts w:hint="eastAsia" w:ascii="仿宋" w:hAnsi="仿宋" w:eastAsia="仿宋" w:cs="仿宋"/>
          <w:b/>
          <w:bCs/>
          <w:color w:val="000000" w:themeColor="text1"/>
          <w:sz w:val="32"/>
          <w:szCs w:val="32"/>
          <w:highlight w:val="none"/>
          <w:u w:val="none"/>
          <w:lang w:val="en-US" w:eastAsia="zh-CN"/>
          <w14:textFill>
            <w14:solidFill>
              <w14:schemeClr w14:val="tx1"/>
            </w14:solidFill>
          </w14:textFill>
        </w:rPr>
        <w:t>一是</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指导各县（市、区）有序推进有条件有需求的村庄规划编制。</w:t>
      </w:r>
      <w:r>
        <w:rPr>
          <w:rFonts w:hint="eastAsia" w:ascii="仿宋" w:hAnsi="仿宋" w:eastAsia="仿宋" w:cs="仿宋"/>
          <w:b/>
          <w:bCs/>
          <w:color w:val="000000" w:themeColor="text1"/>
          <w:sz w:val="32"/>
          <w:szCs w:val="32"/>
          <w:highlight w:val="none"/>
          <w:u w:val="none"/>
          <w:lang w:val="en-US" w:eastAsia="zh-CN"/>
          <w14:textFill>
            <w14:solidFill>
              <w14:schemeClr w14:val="tx1"/>
            </w14:solidFill>
          </w14:textFill>
        </w:rPr>
        <w:t>二是</w:t>
      </w:r>
      <w:r>
        <w:rPr>
          <w:rFonts w:hint="eastAsia" w:ascii="仿宋" w:hAnsi="仿宋" w:eastAsia="仿宋" w:cs="仿宋"/>
          <w:color w:val="000000" w:themeColor="text1"/>
          <w:sz w:val="32"/>
          <w:szCs w:val="36"/>
          <w14:textFill>
            <w14:solidFill>
              <w14:schemeClr w14:val="tx1"/>
            </w14:solidFill>
          </w14:textFill>
        </w:rPr>
        <w:t>协调指导相关部门做好</w:t>
      </w:r>
      <w:r>
        <w:rPr>
          <w:rFonts w:hint="eastAsia" w:ascii="仿宋" w:hAnsi="仿宋" w:eastAsia="仿宋" w:cs="仿宋"/>
          <w:color w:val="000000" w:themeColor="text1"/>
          <w:sz w:val="32"/>
          <w:szCs w:val="36"/>
          <w:lang w:val="en-US" w:eastAsia="zh-CN"/>
          <w14:textFill>
            <w14:solidFill>
              <w14:schemeClr w14:val="tx1"/>
            </w14:solidFill>
          </w14:textFill>
        </w:rPr>
        <w:t>相关</w:t>
      </w:r>
      <w:r>
        <w:rPr>
          <w:rFonts w:hint="eastAsia" w:ascii="仿宋" w:hAnsi="仿宋" w:eastAsia="仿宋" w:cs="仿宋"/>
          <w:color w:val="000000" w:themeColor="text1"/>
          <w:sz w:val="32"/>
          <w:szCs w:val="36"/>
          <w14:textFill>
            <w14:solidFill>
              <w14:schemeClr w14:val="tx1"/>
            </w14:solidFill>
          </w14:textFill>
        </w:rPr>
        <w:t>专项规划的审查报批</w:t>
      </w:r>
      <w:r>
        <w:rPr>
          <w:rFonts w:hint="eastAsia" w:ascii="仿宋" w:hAnsi="仿宋" w:eastAsia="仿宋" w:cs="仿宋"/>
          <w:color w:val="000000" w:themeColor="text1"/>
          <w:sz w:val="32"/>
          <w:szCs w:val="36"/>
          <w:lang w:eastAsia="zh-CN"/>
          <w14:textFill>
            <w14:solidFill>
              <w14:schemeClr w14:val="tx1"/>
            </w14:solidFill>
          </w14:textFill>
        </w:rPr>
        <w:t>。</w:t>
      </w:r>
    </w:p>
    <w:p>
      <w:pPr>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pacing w:before="0" w:beforeLines="0" w:afterLines="0" w:line="560" w:lineRule="exact"/>
        <w:ind w:left="0" w:leftChars="0" w:right="0" w:rightChars="0" w:firstLine="640" w:firstLineChars="200"/>
        <w:jc w:val="both"/>
        <w:textAlignment w:val="auto"/>
        <w:rPr>
          <w:rFonts w:hint="eastAsia" w:ascii="仿宋" w:hAnsi="仿宋" w:eastAsia="仿宋" w:cs="仿宋"/>
          <w:color w:val="000000" w:themeColor="text1"/>
          <w:sz w:val="32"/>
          <w:szCs w:val="32"/>
          <w:highlight w:val="none"/>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u w:val="none"/>
          <w:lang w:val="en-US" w:eastAsia="zh-CN"/>
          <w14:textFill>
            <w14:solidFill>
              <w14:schemeClr w14:val="tx1"/>
            </w14:solidFill>
          </w14:textFill>
        </w:rPr>
        <w:t>3.持续深化自然资源管护利用。</w:t>
      </w:r>
      <w:r>
        <w:rPr>
          <w:rFonts w:hint="eastAsia" w:ascii="仿宋" w:hAnsi="仿宋" w:eastAsia="仿宋" w:cs="仿宋"/>
          <w:b/>
          <w:bCs/>
          <w:color w:val="000000" w:themeColor="text1"/>
          <w:sz w:val="32"/>
          <w:szCs w:val="32"/>
          <w:highlight w:val="none"/>
          <w:u w:val="none"/>
          <w:lang w:val="en-US" w:eastAsia="zh-CN"/>
          <w14:textFill>
            <w14:solidFill>
              <w14:schemeClr w14:val="tx1"/>
            </w14:solidFill>
          </w14:textFill>
        </w:rPr>
        <w:t>一是</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强化土地资源管控，实行最严格的耕地保护和节约用地制度。严守耕地红线，坚决制止耕地“非农化”行为。</w:t>
      </w:r>
      <w:r>
        <w:rPr>
          <w:rFonts w:hint="eastAsia" w:ascii="仿宋" w:hAnsi="仿宋" w:eastAsia="仿宋" w:cs="仿宋"/>
          <w:b/>
          <w:bCs/>
          <w:color w:val="000000" w:themeColor="text1"/>
          <w:sz w:val="32"/>
          <w:szCs w:val="32"/>
          <w:highlight w:val="none"/>
          <w:u w:val="none"/>
          <w:lang w:val="en-US" w:eastAsia="zh-CN"/>
          <w14:textFill>
            <w14:solidFill>
              <w14:schemeClr w14:val="tx1"/>
            </w14:solidFill>
          </w14:textFill>
        </w:rPr>
        <w:t>二是</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提高重要矿产资源保障能力。积极推进亿吨资源储量的沙河市白涧铁矿探矿权转采矿权。</w:t>
      </w:r>
    </w:p>
    <w:p>
      <w:pPr>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pacing w:before="0" w:beforeLines="0" w:afterLines="0" w:line="560" w:lineRule="exact"/>
        <w:ind w:left="0" w:leftChars="0" w:right="0" w:rightChars="0" w:firstLine="640" w:firstLineChars="200"/>
        <w:jc w:val="both"/>
        <w:textAlignment w:val="auto"/>
        <w:rPr>
          <w:rFonts w:hint="eastAsia" w:ascii="仿宋" w:hAnsi="仿宋" w:eastAsia="仿宋" w:cs="仿宋"/>
          <w:color w:val="000000" w:themeColor="text1"/>
          <w:sz w:val="32"/>
          <w:szCs w:val="32"/>
          <w:highlight w:val="none"/>
          <w:u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以上报告，请予审议。</w:t>
      </w:r>
    </w:p>
    <w:sectPr>
      <w:headerReference r:id="rId5" w:type="default"/>
      <w:footerReference r:id="rId7" w:type="default"/>
      <w:headerReference r:id="rId6" w:type="even"/>
      <w:footerReference r:id="rId8" w:type="even"/>
      <w:footnotePr>
        <w:numFmt w:val="decimalHalfWidth"/>
      </w:footnotePr>
      <w:endnotePr>
        <w:numFmt w:val="chineseCounting"/>
      </w:endnotePr>
      <w:pgSz w:w="11905" w:h="16837"/>
      <w:pgMar w:top="2154" w:right="1531" w:bottom="1984" w:left="1531" w:header="566" w:footer="1701" w:gutter="0"/>
      <w:pgBorders>
        <w:top w:val="none" w:sz="0" w:space="0"/>
        <w:left w:val="none" w:sz="0" w:space="0"/>
        <w:bottom w:val="none" w:sz="0" w:space="0"/>
        <w:right w:val="none" w:sz="0" w:space="0"/>
      </w:pgBorders>
      <w:pgNumType w:fmt="numberInDash" w:start="1"/>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pPr>
    <w:r>
      <w:rPr>
        <w:sz w:val="20"/>
      </w:rPr>
      <mc:AlternateContent>
        <mc:Choice Requires="wps">
          <w:drawing>
            <wp:anchor distT="0" distB="0" distL="114300" distR="114300" simplePos="0" relativeHeight="251660288" behindDoc="0" locked="0" layoutInCell="1" allowOverlap="1">
              <wp:simplePos x="0" y="0"/>
              <wp:positionH relativeFrom="margin">
                <wp:posOffset>5093335</wp:posOffset>
              </wp:positionH>
              <wp:positionV relativeFrom="paragraph">
                <wp:posOffset>0</wp:posOffset>
              </wp:positionV>
              <wp:extent cx="52197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52197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ascii="Batang" w:hAnsi="Batang" w:eastAsia="Batang" w:cs="Batang"/>
                              <w:sz w:val="24"/>
                              <w:szCs w:val="24"/>
                              <w:lang w:eastAsia="zh-CN"/>
                            </w:rPr>
                            <w:fldChar w:fldCharType="begin"/>
                          </w:r>
                          <w:r>
                            <w:rPr>
                              <w:rFonts w:hint="eastAsia" w:ascii="Batang" w:hAnsi="Batang" w:eastAsia="Batang" w:cs="Batang"/>
                              <w:sz w:val="24"/>
                              <w:szCs w:val="24"/>
                              <w:lang w:eastAsia="zh-CN"/>
                            </w:rPr>
                            <w:instrText xml:space="preserve"> PAGE  \* MERGEFORMAT </w:instrText>
                          </w:r>
                          <w:r>
                            <w:rPr>
                              <w:rFonts w:hint="eastAsia" w:ascii="Batang" w:hAnsi="Batang" w:eastAsia="Batang" w:cs="Batang"/>
                              <w:sz w:val="24"/>
                              <w:szCs w:val="24"/>
                              <w:lang w:eastAsia="zh-CN"/>
                            </w:rPr>
                            <w:fldChar w:fldCharType="separate"/>
                          </w:r>
                          <w:r>
                            <w:rPr>
                              <w:rFonts w:hint="eastAsia" w:ascii="Batang" w:hAnsi="Batang" w:eastAsia="Batang" w:cs="Batang"/>
                              <w:sz w:val="24"/>
                              <w:szCs w:val="24"/>
                              <w:lang w:eastAsia="zh-CN"/>
                            </w:rPr>
                            <w:t>- 1 -</w:t>
                          </w:r>
                          <w:r>
                            <w:rPr>
                              <w:rFonts w:hint="eastAsia" w:ascii="Batang" w:hAnsi="Batang" w:eastAsia="Batang" w:cs="Batang"/>
                              <w:sz w:val="24"/>
                              <w:szCs w:val="24"/>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01.05pt;margin-top:0pt;height:144pt;width:41.1pt;mso-position-horizontal-relative:margin;z-index:251660288;mso-width-relative:page;mso-height-relative:page;" filled="f" stroked="f" coordsize="21600,21600" o:gfxdata="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KVGfrTVAAAACAEAAA8AAAAAAAAAAQAgAAAAIgAAAGRycy9kb3ducmV2&#10;LnhtbFBLAQIUABQAAAAIAIdO4kD8UCiEOAIAAGIEAAAOAAAAAAAAAAEAIAAAACQBAABkcnMvZTJv&#10;RG9jLnhtbFBLBQYAAAAABgAGAFkBAADOBQ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ascii="Batang" w:hAnsi="Batang" w:eastAsia="Batang" w:cs="Batang"/>
                        <w:sz w:val="24"/>
                        <w:szCs w:val="24"/>
                        <w:lang w:eastAsia="zh-CN"/>
                      </w:rPr>
                      <w:fldChar w:fldCharType="begin"/>
                    </w:r>
                    <w:r>
                      <w:rPr>
                        <w:rFonts w:hint="eastAsia" w:ascii="Batang" w:hAnsi="Batang" w:eastAsia="Batang" w:cs="Batang"/>
                        <w:sz w:val="24"/>
                        <w:szCs w:val="24"/>
                        <w:lang w:eastAsia="zh-CN"/>
                      </w:rPr>
                      <w:instrText xml:space="preserve"> PAGE  \* MERGEFORMAT </w:instrText>
                    </w:r>
                    <w:r>
                      <w:rPr>
                        <w:rFonts w:hint="eastAsia" w:ascii="Batang" w:hAnsi="Batang" w:eastAsia="Batang" w:cs="Batang"/>
                        <w:sz w:val="24"/>
                        <w:szCs w:val="24"/>
                        <w:lang w:eastAsia="zh-CN"/>
                      </w:rPr>
                      <w:fldChar w:fldCharType="separate"/>
                    </w:r>
                    <w:r>
                      <w:rPr>
                        <w:rFonts w:hint="eastAsia" w:ascii="Batang" w:hAnsi="Batang" w:eastAsia="Batang" w:cs="Batang"/>
                        <w:sz w:val="24"/>
                        <w:szCs w:val="24"/>
                        <w:lang w:eastAsia="zh-CN"/>
                      </w:rPr>
                      <w:t>- 1 -</w:t>
                    </w:r>
                    <w:r>
                      <w:rPr>
                        <w:rFonts w:hint="eastAsia" w:ascii="Batang" w:hAnsi="Batang" w:eastAsia="Batang" w:cs="Batang"/>
                        <w:sz w:val="24"/>
                        <w:szCs w:val="24"/>
                        <w:lang w:eastAsia="zh-CN"/>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0</wp:posOffset>
              </wp:positionV>
              <wp:extent cx="5759450" cy="683895"/>
              <wp:effectExtent l="0" t="0" r="0" b="0"/>
              <wp:wrapNone/>
              <wp:docPr id="8" name="图片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759450" cy="683895"/>
                      </a:xfrm>
                      <a:prstGeom prst="rect">
                        <a:avLst/>
                      </a:prstGeom>
                      <a:noFill/>
                      <a:ln>
                        <a:noFill/>
                      </a:ln>
                    </wps:spPr>
                    <wps:bodyPr wrap="square" upright="1"/>
                  </wps:wsp>
                </a:graphicData>
              </a:graphic>
            </wp:anchor>
          </w:drawing>
        </mc:Choice>
        <mc:Fallback>
          <w:pict>
            <v:rect id="图片 4" o:spid="_x0000_s1026" o:spt="1" style="position:absolute;left:0pt;margin-left:0.05pt;margin-top:0pt;height:53.85pt;width:453.5pt;z-index:251659264;mso-width-relative:page;mso-height-relative:page;" filled="f" stroked="f" coordsize="21600,21600" o:gfxdata="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c/mWjVAAAABQEAAA8AAAAAAAAAAQAgAAAAIgAAAGRycy9kb3ducmV2LnhtbFBLAQIU&#10;ABQAAAAIAIdO4kCkEguCvQEAAHADAAAOAAAAAAAAAAEAIAAAACQBAABkcnMvZTJvRG9jLnhtbFBL&#10;BQYAAAAABgAGAFkBAABTBQAAAAA=&#10;">
              <v:fill on="f" focussize="0,0"/>
              <v:stroke on="f"/>
              <v:imagedata o:title=""/>
              <o:lock v:ext="edit" aspectratio="t"/>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pPr>
    <w:r>
      <w:rPr>
        <w:sz w:val="20"/>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ascii="Batang" w:hAnsi="Batang" w:eastAsia="Batang" w:cs="Batang"/>
                              <w:sz w:val="24"/>
                              <w:szCs w:val="24"/>
                              <w:lang w:eastAsia="zh-CN"/>
                            </w:rPr>
                          </w:pPr>
                          <w:r>
                            <w:rPr>
                              <w:rFonts w:hint="eastAsia" w:ascii="Batang" w:hAnsi="Batang" w:eastAsia="Batang" w:cs="Batang"/>
                              <w:sz w:val="24"/>
                              <w:szCs w:val="24"/>
                              <w:lang w:eastAsia="zh-CN"/>
                            </w:rPr>
                            <w:t>　</w:t>
                          </w:r>
                          <w:r>
                            <w:rPr>
                              <w:rFonts w:hint="eastAsia" w:ascii="Batang" w:hAnsi="Batang" w:eastAsia="Batang" w:cs="Batang"/>
                              <w:sz w:val="24"/>
                              <w:szCs w:val="24"/>
                              <w:lang w:eastAsia="zh-CN"/>
                            </w:rPr>
                            <w:fldChar w:fldCharType="begin"/>
                          </w:r>
                          <w:r>
                            <w:rPr>
                              <w:rFonts w:hint="eastAsia" w:ascii="Batang" w:hAnsi="Batang" w:eastAsia="Batang" w:cs="Batang"/>
                              <w:sz w:val="24"/>
                              <w:szCs w:val="24"/>
                              <w:lang w:eastAsia="zh-CN"/>
                            </w:rPr>
                            <w:instrText xml:space="preserve"> PAGE  \* MERGEFORMAT </w:instrText>
                          </w:r>
                          <w:r>
                            <w:rPr>
                              <w:rFonts w:hint="eastAsia" w:ascii="Batang" w:hAnsi="Batang" w:eastAsia="Batang" w:cs="Batang"/>
                              <w:sz w:val="24"/>
                              <w:szCs w:val="24"/>
                              <w:lang w:eastAsia="zh-CN"/>
                            </w:rPr>
                            <w:fldChar w:fldCharType="separate"/>
                          </w:r>
                          <w:r>
                            <w:rPr>
                              <w:rFonts w:hint="eastAsia" w:ascii="Batang" w:hAnsi="Batang" w:eastAsia="Batang" w:cs="Batang"/>
                              <w:sz w:val="24"/>
                              <w:szCs w:val="24"/>
                              <w:lang w:eastAsia="zh-CN"/>
                            </w:rPr>
                            <w:t>- 2 -</w:t>
                          </w:r>
                          <w:r>
                            <w:rPr>
                              <w:rFonts w:hint="eastAsia" w:ascii="Batang" w:hAnsi="Batang" w:eastAsia="Batang" w:cs="Batang"/>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1"/>
                      <w:rPr>
                        <w:rFonts w:hint="eastAsia" w:ascii="Batang" w:hAnsi="Batang" w:eastAsia="Batang" w:cs="Batang"/>
                        <w:sz w:val="24"/>
                        <w:szCs w:val="24"/>
                        <w:lang w:eastAsia="zh-CN"/>
                      </w:rPr>
                    </w:pPr>
                    <w:r>
                      <w:rPr>
                        <w:rFonts w:hint="eastAsia" w:ascii="Batang" w:hAnsi="Batang" w:eastAsia="Batang" w:cs="Batang"/>
                        <w:sz w:val="24"/>
                        <w:szCs w:val="24"/>
                        <w:lang w:eastAsia="zh-CN"/>
                      </w:rPr>
                      <w:t>　</w:t>
                    </w:r>
                    <w:r>
                      <w:rPr>
                        <w:rFonts w:hint="eastAsia" w:ascii="Batang" w:hAnsi="Batang" w:eastAsia="Batang" w:cs="Batang"/>
                        <w:sz w:val="24"/>
                        <w:szCs w:val="24"/>
                        <w:lang w:eastAsia="zh-CN"/>
                      </w:rPr>
                      <w:fldChar w:fldCharType="begin"/>
                    </w:r>
                    <w:r>
                      <w:rPr>
                        <w:rFonts w:hint="eastAsia" w:ascii="Batang" w:hAnsi="Batang" w:eastAsia="Batang" w:cs="Batang"/>
                        <w:sz w:val="24"/>
                        <w:szCs w:val="24"/>
                        <w:lang w:eastAsia="zh-CN"/>
                      </w:rPr>
                      <w:instrText xml:space="preserve"> PAGE  \* MERGEFORMAT </w:instrText>
                    </w:r>
                    <w:r>
                      <w:rPr>
                        <w:rFonts w:hint="eastAsia" w:ascii="Batang" w:hAnsi="Batang" w:eastAsia="Batang" w:cs="Batang"/>
                        <w:sz w:val="24"/>
                        <w:szCs w:val="24"/>
                        <w:lang w:eastAsia="zh-CN"/>
                      </w:rPr>
                      <w:fldChar w:fldCharType="separate"/>
                    </w:r>
                    <w:r>
                      <w:rPr>
                        <w:rFonts w:hint="eastAsia" w:ascii="Batang" w:hAnsi="Batang" w:eastAsia="Batang" w:cs="Batang"/>
                        <w:sz w:val="24"/>
                        <w:szCs w:val="24"/>
                        <w:lang w:eastAsia="zh-CN"/>
                      </w:rPr>
                      <w:t>- 2 -</w:t>
                    </w:r>
                    <w:r>
                      <w:rPr>
                        <w:rFonts w:hint="eastAsia" w:ascii="Batang" w:hAnsi="Batang" w:eastAsia="Batang" w:cs="Batang"/>
                        <w:sz w:val="24"/>
                        <w:szCs w:val="24"/>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spacing w:line="1" w:lineRule="atLea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839"/>
  <w:hyphenationZone w:val="360"/>
  <w:evenAndOddHeaders w:val="1"/>
  <w:displayHorizontalDrawingGridEvery w:val="1"/>
  <w:displayVerticalDrawingGridEvery w:val="1"/>
  <w:doNotUseMarginsForDrawingGridOrigin w:val="1"/>
  <w:drawingGridHorizontalOrigin w:val="0"/>
  <w:drawingGridVerticalOrigin w:val="0"/>
  <w:doNotShadeFormData w:val="1"/>
  <w:noPunctuationKerning w:val="1"/>
  <w:characterSpacingControl w:val="compressPunctuation"/>
  <w:doNotValidateAgainstSchema/>
  <w:doNotDemarcateInvalidXml/>
  <w:hdrShapeDefaults>
    <o:shapelayout v:ext="edit">
      <o:idmap v:ext="edit" data="1"/>
    </o:shapelayout>
  </w:hdrShapeDefaults>
  <w:footnotePr>
    <w:numFmt w:val="decimalHalfWidth"/>
    <w:footnote w:id="0"/>
    <w:footnote w:id="1"/>
  </w:footnotePr>
  <w:endnotePr>
    <w:numFmt w:val="chineseCounting"/>
    <w:endnote w:id="0"/>
    <w:endnote w:id="1"/>
  </w:endnotePr>
  <w:compat>
    <w:spaceForUL/>
    <w:balanceSingleByteDoubleByteWidth/>
    <w:doNotLeaveBackslashAlone/>
    <w:ulTrailSpace/>
    <w:adjustLineHeightInTable/>
    <w:doNotBreakWrappedTables/>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xNzNiZDMwZWViNDk2ODA3MWY1NDY2YWVhMzk0MzkifQ=="/>
  </w:docVars>
  <w:rsids>
    <w:rsidRoot w:val="00000000"/>
    <w:rsid w:val="00663159"/>
    <w:rsid w:val="0210500C"/>
    <w:rsid w:val="0D0D3853"/>
    <w:rsid w:val="0E20133D"/>
    <w:rsid w:val="0E6C3A00"/>
    <w:rsid w:val="1469609C"/>
    <w:rsid w:val="14AC5A62"/>
    <w:rsid w:val="153F7E17"/>
    <w:rsid w:val="17556F22"/>
    <w:rsid w:val="18153ECD"/>
    <w:rsid w:val="18246CDA"/>
    <w:rsid w:val="18C96B4E"/>
    <w:rsid w:val="18D83C38"/>
    <w:rsid w:val="1E7872C1"/>
    <w:rsid w:val="1F6C5A3E"/>
    <w:rsid w:val="1FC67D65"/>
    <w:rsid w:val="21F26423"/>
    <w:rsid w:val="22824E03"/>
    <w:rsid w:val="240E1EC6"/>
    <w:rsid w:val="272C3940"/>
    <w:rsid w:val="291543B6"/>
    <w:rsid w:val="2A3C7A40"/>
    <w:rsid w:val="2AA72155"/>
    <w:rsid w:val="2B1C7988"/>
    <w:rsid w:val="2C736BB0"/>
    <w:rsid w:val="317E3A74"/>
    <w:rsid w:val="33CC1536"/>
    <w:rsid w:val="364B0859"/>
    <w:rsid w:val="3C271D01"/>
    <w:rsid w:val="3D387FBE"/>
    <w:rsid w:val="3F623867"/>
    <w:rsid w:val="3FA96962"/>
    <w:rsid w:val="4CDC1628"/>
    <w:rsid w:val="4FF5731A"/>
    <w:rsid w:val="50412AEF"/>
    <w:rsid w:val="50D469B2"/>
    <w:rsid w:val="51476DFB"/>
    <w:rsid w:val="52FC44F6"/>
    <w:rsid w:val="571C766A"/>
    <w:rsid w:val="57202655"/>
    <w:rsid w:val="5727076F"/>
    <w:rsid w:val="57A16053"/>
    <w:rsid w:val="57A2724A"/>
    <w:rsid w:val="57FE7C59"/>
    <w:rsid w:val="592A1843"/>
    <w:rsid w:val="59935935"/>
    <w:rsid w:val="59D264E5"/>
    <w:rsid w:val="5E6A0459"/>
    <w:rsid w:val="5EB172D4"/>
    <w:rsid w:val="60E43248"/>
    <w:rsid w:val="64F54F6E"/>
    <w:rsid w:val="652061EE"/>
    <w:rsid w:val="66BB021B"/>
    <w:rsid w:val="6AC412B9"/>
    <w:rsid w:val="6E5264AD"/>
    <w:rsid w:val="6F936C29"/>
    <w:rsid w:val="702E7E5F"/>
    <w:rsid w:val="716B05E6"/>
    <w:rsid w:val="74494223"/>
    <w:rsid w:val="76A80FB4"/>
    <w:rsid w:val="7C13669D"/>
    <w:rsid w:val="7DA30A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99" w:name="toc 5"/>
    <w:lsdException w:uiPriority="99" w:name="toc 6"/>
    <w:lsdException w:uiPriority="99" w:name="toc 7"/>
    <w:lsdException w:uiPriority="99" w:name="toc 8"/>
    <w:lsdException w:uiPriority="99" w:name="toc 9"/>
    <w:lsdException w:qFormat="1" w:unhideWhenUsed="0" w:uiPriority="0" w:semiHidden="0" w:name="Normal Indent"/>
    <w:lsdException w:qFormat="1" w:uiPriority="99" w:semiHidden="0" w:name="footnote text"/>
    <w:lsdException w:qFormat="1" w:uiPriority="99" w:semiHidden="0" w:name="annotation text"/>
    <w:lsdException w:qFormat="1" w:unhideWhenUsed="0" w:uiPriority="99" w:name="header"/>
    <w:lsdException w:qFormat="1"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qFormat="1" w:unhideWhenUsed="0" w:uiPriority="2"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0" w:beforeLines="0" w:after="0" w:afterLines="0" w:line="365" w:lineRule="atLeast"/>
      <w:ind w:left="1" w:right="0" w:firstLine="0" w:firstLineChars="0"/>
      <w:jc w:val="both"/>
      <w:textAlignment w:val="bottom"/>
    </w:pPr>
    <w:rPr>
      <w:rFonts w:ascii="Times New Roman" w:hAnsi="Times New Roman" w:eastAsia="宋体" w:cs="Times New Roman"/>
    </w:rPr>
  </w:style>
  <w:style w:type="paragraph" w:styleId="4">
    <w:name w:val="heading 1"/>
    <w:basedOn w:val="1"/>
    <w:next w:val="5"/>
    <w:qFormat/>
    <w:uiPriority w:val="0"/>
    <w:pPr>
      <w:spacing w:before="104" w:beforeLines="0" w:after="104" w:afterLines="0" w:line="0" w:lineRule="atLeast"/>
      <w:ind w:firstLine="0" w:firstLineChars="0"/>
      <w:jc w:val="center"/>
      <w:outlineLvl w:val="0"/>
    </w:pPr>
    <w:rPr>
      <w:rFonts w:ascii="Arial" w:hAnsi="Arial" w:eastAsia="黑体"/>
      <w:sz w:val="32"/>
    </w:rPr>
  </w:style>
  <w:style w:type="paragraph" w:styleId="5">
    <w:name w:val="heading 2"/>
    <w:basedOn w:val="1"/>
    <w:next w:val="6"/>
    <w:qFormat/>
    <w:uiPriority w:val="0"/>
    <w:pPr>
      <w:spacing w:line="0" w:lineRule="atLeast"/>
      <w:ind w:firstLine="0" w:firstLineChars="0"/>
      <w:jc w:val="center"/>
      <w:outlineLvl w:val="1"/>
    </w:pPr>
    <w:rPr>
      <w:rFonts w:ascii="Times New Roman" w:hAnsi="Times New Roman"/>
      <w:sz w:val="28"/>
    </w:rPr>
  </w:style>
  <w:style w:type="paragraph" w:styleId="6">
    <w:name w:val="heading 3"/>
    <w:basedOn w:val="1"/>
    <w:next w:val="1"/>
    <w:qFormat/>
    <w:uiPriority w:val="0"/>
    <w:pPr>
      <w:spacing w:before="104" w:beforeLines="0" w:after="104" w:afterLines="0"/>
      <w:ind w:firstLine="0" w:firstLineChars="0"/>
      <w:outlineLvl w:val="2"/>
    </w:pPr>
    <w:rPr>
      <w:rFonts w:eastAsia="黑体"/>
    </w:rPr>
  </w:style>
  <w:style w:type="character" w:default="1" w:styleId="21">
    <w:name w:val="Default Paragraph Font"/>
    <w:qFormat/>
    <w:uiPriority w:val="0"/>
  </w:style>
  <w:style w:type="table" w:default="1" w:styleId="20">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after="120" w:afterLines="0"/>
      <w:ind w:left="200" w:leftChars="200" w:firstLine="420" w:firstLineChars="200"/>
    </w:pPr>
    <w:rPr>
      <w:rFonts w:ascii="Times New Roman"/>
    </w:rPr>
  </w:style>
  <w:style w:type="paragraph" w:styleId="3">
    <w:name w:val="Body Text Indent"/>
    <w:basedOn w:val="1"/>
    <w:next w:val="1"/>
    <w:qFormat/>
    <w:uiPriority w:val="0"/>
    <w:pPr>
      <w:ind w:firstLine="717" w:firstLineChars="239"/>
    </w:pPr>
    <w:rPr>
      <w:sz w:val="30"/>
    </w:rPr>
  </w:style>
  <w:style w:type="paragraph" w:styleId="7">
    <w:name w:val="Normal Indent"/>
    <w:next w:val="1"/>
    <w:qFormat/>
    <w:uiPriority w:val="0"/>
    <w:pPr>
      <w:widowControl w:val="0"/>
      <w:spacing w:line="365" w:lineRule="atLeast"/>
      <w:ind w:left="1" w:firstLine="420" w:firstLineChars="200"/>
      <w:jc w:val="both"/>
    </w:pPr>
    <w:rPr>
      <w:rFonts w:ascii="Calibri" w:hAnsi="Calibri" w:eastAsia="宋体" w:cs="Times New Roman"/>
      <w:lang w:val="en-US" w:eastAsia="zh-CN" w:bidi="ar-SA"/>
    </w:rPr>
  </w:style>
  <w:style w:type="paragraph" w:styleId="8">
    <w:name w:val="annotation text"/>
    <w:basedOn w:val="1"/>
    <w:unhideWhenUsed/>
    <w:qFormat/>
    <w:uiPriority w:val="99"/>
    <w:pPr>
      <w:jc w:val="left"/>
    </w:pPr>
  </w:style>
  <w:style w:type="paragraph" w:styleId="9">
    <w:name w:val="Body Text"/>
    <w:basedOn w:val="1"/>
    <w:qFormat/>
    <w:uiPriority w:val="0"/>
    <w:rPr>
      <w:rFonts w:eastAsia="仿宋_GB2312"/>
      <w:bCs/>
      <w:sz w:val="32"/>
      <w:szCs w:val="20"/>
    </w:rPr>
  </w:style>
  <w:style w:type="paragraph" w:styleId="10">
    <w:name w:val="toc 3"/>
    <w:basedOn w:val="1"/>
    <w:next w:val="1"/>
    <w:qFormat/>
    <w:uiPriority w:val="0"/>
    <w:pPr>
      <w:spacing w:line="306" w:lineRule="auto"/>
    </w:pPr>
  </w:style>
  <w:style w:type="paragraph" w:styleId="11">
    <w:name w:val="footer"/>
    <w:basedOn w:val="1"/>
    <w:next w:val="1"/>
    <w:unhideWhenUsed/>
    <w:qFormat/>
    <w:uiPriority w:val="99"/>
    <w:pPr>
      <w:tabs>
        <w:tab w:val="center" w:pos="4153"/>
        <w:tab w:val="right" w:pos="8306"/>
      </w:tabs>
      <w:snapToGrid w:val="0"/>
      <w:jc w:val="left"/>
    </w:pPr>
    <w:rPr>
      <w:sz w:val="18"/>
    </w:rPr>
  </w:style>
  <w:style w:type="paragraph" w:styleId="12">
    <w:name w:val="header"/>
    <w:basedOn w:val="1"/>
    <w:semiHidden/>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pPr>
      <w:spacing w:after="104" w:afterLines="0" w:line="0" w:lineRule="atLeast"/>
      <w:ind w:firstLine="0" w:firstLineChars="0"/>
      <w:jc w:val="left"/>
    </w:pPr>
    <w:rPr>
      <w:rFonts w:ascii="Arial" w:hAnsi="Arial" w:eastAsia="黑体"/>
      <w:sz w:val="28"/>
    </w:rPr>
  </w:style>
  <w:style w:type="paragraph" w:styleId="14">
    <w:name w:val="toc 4"/>
    <w:basedOn w:val="1"/>
    <w:next w:val="1"/>
    <w:qFormat/>
    <w:uiPriority w:val="0"/>
    <w:pPr>
      <w:spacing w:line="306" w:lineRule="auto"/>
      <w:ind w:firstLine="629" w:firstLineChars="0"/>
    </w:pPr>
  </w:style>
  <w:style w:type="paragraph" w:styleId="15">
    <w:name w:val="footnote text"/>
    <w:basedOn w:val="1"/>
    <w:unhideWhenUsed/>
    <w:qFormat/>
    <w:uiPriority w:val="99"/>
    <w:pPr>
      <w:snapToGrid w:val="0"/>
      <w:jc w:val="left"/>
    </w:pPr>
    <w:rPr>
      <w:sz w:val="18"/>
      <w:szCs w:val="18"/>
    </w:rPr>
  </w:style>
  <w:style w:type="paragraph" w:styleId="16">
    <w:name w:val="toc 2"/>
    <w:basedOn w:val="1"/>
    <w:next w:val="1"/>
    <w:qFormat/>
    <w:uiPriority w:val="0"/>
    <w:pPr>
      <w:spacing w:line="306" w:lineRule="auto"/>
      <w:ind w:firstLine="209" w:firstLineChars="0"/>
    </w:pPr>
  </w:style>
  <w:style w:type="paragraph" w:styleId="17">
    <w:name w:val="Normal (Web)"/>
    <w:basedOn w:val="1"/>
    <w:qFormat/>
    <w:uiPriority w:val="2"/>
    <w:pPr>
      <w:widowControl/>
      <w:spacing w:before="100" w:beforeLines="0" w:beforeAutospacing="1" w:after="100" w:afterLines="0" w:afterAutospacing="1"/>
      <w:jc w:val="left"/>
    </w:pPr>
    <w:rPr>
      <w:rFonts w:ascii="宋体" w:hAnsi="宋体"/>
      <w:kern w:val="0"/>
      <w:sz w:val="24"/>
    </w:rPr>
  </w:style>
  <w:style w:type="paragraph" w:styleId="18">
    <w:name w:val="Title"/>
    <w:basedOn w:val="1"/>
    <w:next w:val="19"/>
    <w:qFormat/>
    <w:uiPriority w:val="0"/>
    <w:pPr>
      <w:spacing w:before="209" w:beforeLines="0" w:after="209" w:afterLines="0" w:line="0" w:lineRule="atLeast"/>
      <w:ind w:firstLine="0" w:firstLineChars="0"/>
      <w:jc w:val="center"/>
    </w:pPr>
    <w:rPr>
      <w:rFonts w:ascii="Arial" w:hAnsi="Arial" w:eastAsia="黑体"/>
      <w:sz w:val="52"/>
    </w:rPr>
  </w:style>
  <w:style w:type="paragraph" w:customStyle="1" w:styleId="19">
    <w:name w:val="文章附标题"/>
    <w:basedOn w:val="1"/>
    <w:next w:val="4"/>
    <w:qFormat/>
    <w:uiPriority w:val="0"/>
    <w:pPr>
      <w:spacing w:before="104" w:beforeLines="0" w:after="104" w:afterLines="0" w:line="0" w:lineRule="atLeast"/>
      <w:ind w:firstLine="0" w:firstLineChars="0"/>
      <w:jc w:val="center"/>
    </w:pPr>
    <w:rPr>
      <w:sz w:val="36"/>
    </w:rPr>
  </w:style>
  <w:style w:type="paragraph" w:customStyle="1" w:styleId="22">
    <w:name w:val="正文文本首行缩进 21"/>
    <w:basedOn w:val="23"/>
    <w:qFormat/>
    <w:uiPriority w:val="0"/>
    <w:pPr>
      <w:ind w:firstLine="420" w:firstLineChars="200"/>
    </w:pPr>
  </w:style>
  <w:style w:type="paragraph" w:customStyle="1" w:styleId="23">
    <w:name w:val="正文文本缩进1"/>
    <w:basedOn w:val="1"/>
    <w:qFormat/>
    <w:uiPriority w:val="0"/>
    <w:pPr>
      <w:ind w:firstLine="621" w:firstLineChars="199"/>
    </w:pPr>
  </w:style>
  <w:style w:type="character" w:customStyle="1" w:styleId="24">
    <w:name w:val="链接"/>
    <w:basedOn w:val="21"/>
    <w:qFormat/>
    <w:uiPriority w:val="0"/>
    <w:rPr>
      <w:color w:val="0000FF"/>
      <w:u w:val="single" w:color="0000FF"/>
    </w:rPr>
  </w:style>
  <w:style w:type="character" w:customStyle="1" w:styleId="25">
    <w:name w:val="超级链接"/>
    <w:basedOn w:val="21"/>
    <w:qFormat/>
    <w:uiPriority w:val="0"/>
    <w:rPr>
      <w:color w:val="0000FF"/>
      <w:u w:val="single" w:color="0000FF"/>
    </w:rPr>
  </w:style>
  <w:style w:type="paragraph" w:customStyle="1" w:styleId="26">
    <w:name w:val="目录标题"/>
    <w:basedOn w:val="1"/>
    <w:next w:val="1"/>
    <w:qFormat/>
    <w:uiPriority w:val="0"/>
    <w:pPr>
      <w:spacing w:before="209" w:beforeLines="0" w:after="209" w:afterLines="0" w:line="0" w:lineRule="atLeast"/>
      <w:jc w:val="center"/>
    </w:pPr>
    <w:rPr>
      <w:rFonts w:ascii="Arial" w:hAnsi="Arial" w:eastAsia="黑体"/>
      <w:spacing w:val="209"/>
      <w:sz w:val="52"/>
    </w:rPr>
  </w:style>
  <w:style w:type="paragraph" w:customStyle="1" w:styleId="27">
    <w:name w:val="WPS Plain"/>
    <w:qFormat/>
    <w:uiPriority w:val="0"/>
    <w:rPr>
      <w:rFonts w:ascii="Times New Roman" w:hAnsi="Times New Roman" w:eastAsia="宋体" w:cs="Times New Roman"/>
    </w:rPr>
  </w:style>
  <w:style w:type="paragraph" w:customStyle="1" w:styleId="28">
    <w:name w:val="Default"/>
    <w:qFormat/>
    <w:uiPriority w:val="0"/>
    <w:pPr>
      <w:widowControl w:val="0"/>
      <w:autoSpaceDE w:val="0"/>
      <w:autoSpaceDN w:val="0"/>
      <w:adjustRightInd w:val="0"/>
    </w:pPr>
    <w:rPr>
      <w:rFonts w:hint="eastAsia" w:ascii="方正小标宋_GBK" w:hAnsi="方正小标宋_GBK" w:eastAsia="方正小标宋_GBK" w:cs="Times New Roman"/>
      <w:color w:val="000000"/>
      <w:sz w:val="24"/>
      <w:szCs w:val="22"/>
      <w:lang w:val="en-US" w:eastAsia="zh-CN" w:bidi="ar-SA"/>
    </w:rPr>
  </w:style>
  <w:style w:type="paragraph" w:customStyle="1" w:styleId="29">
    <w:name w:val="正文样式"/>
    <w:basedOn w:val="1"/>
    <w:qFormat/>
    <w:uiPriority w:val="0"/>
    <w:pPr>
      <w:adjustRightInd w:val="0"/>
      <w:snapToGrid w:val="0"/>
      <w:spacing w:line="360" w:lineRule="auto"/>
      <w:ind w:firstLine="480"/>
    </w:pPr>
    <w:rPr>
      <w:rFonts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24</Pages>
  <Words>12951</Words>
  <Characters>13885</Characters>
  <Lines>0</Lines>
  <Paragraphs>0</Paragraphs>
  <TotalTime>1</TotalTime>
  <ScaleCrop>false</ScaleCrop>
  <LinksUpToDate>false</LinksUpToDate>
  <CharactersWithSpaces>13895</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2018-11-29T01:15:00Z</dcterms:created>
  <dc:creator>Administrator</dc:creator>
  <cp:lastModifiedBy>KFF</cp:lastModifiedBy>
  <cp:lastPrinted>2025-09-01T08:30:00Z</cp:lastPrinted>
  <dcterms:modified xsi:type="dcterms:W3CDTF">2026-01-19T09:13:03Z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25C07258B8CC4951A0E0DA0182056771</vt:lpwstr>
  </property>
  <property fmtid="{D5CDD505-2E9C-101B-9397-08002B2CF9AE}" pid="4" name="KSOTemplateDocerSaveRecord">
    <vt:lpwstr>eyJoZGlkIjoiMzRhMjM3MzY3ZGY4ZjdhMzliNWRjMGY0MmE3ZWIxMmMiLCJ1c2VySWQiOiIyNDg2MDI5MzIifQ==</vt:lpwstr>
  </property>
</Properties>
</file>